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În elaborarea prezentei evaluări se presupune că dreptul de proprietate asupra imobilului evaluat este valabil, opozabil terților și transferabil, iar bunul este liber de sarcini, litigii, servituți ori alte limitări de natură juridică, cu excepția celor care ar putea fi menționate expres în documentele puse la dispoziție. Se mai presupune că informațiile furnizate de Client demonstrativ sunt complete, corecte și pot fi utilizate fără verificări suplimentare de natură juridică, tehnică sau fiscală, iar interpretarea acestora a fost realizată în limitele scopului evaluării.</w:t>
        <w:br/>
        <w:br/>
        <w:t>Se presupune, de asemenea, că imobilul are o structură de rezistență corespunzătoare și că nu există vicii ascunse, degradări structurale ori defecte de construcție care să nu poată fi identificate prin inspecția vizuală și prin documentele analizate. Nu au fost efectuate investigații distructive, sondaje, expertize tehnice detaliate, verificări geotehnice sau analize asupra elementelor ascunse, astfel încât orice aspect care ar putea fi relevat numai prin astfel de proceduri a fost exclus din aria de examinare a prezentei lucrări.</w:t>
        <w:br/>
        <w:br/>
        <w:t>Raportul a fost întocmit exclusiv pentru scopul declarat, respectiv garantarea creditului ipotecar în favoarea Băncii Comerciale Exemplu S.A., și numai pentru estimarea valorii de piață la data raportării, în condițiile și ipotezele expuse. Utilizarea raportului în alt scop, de către alt beneficiar sau pentru altă decizie decât cea pentru care a fost comandat, nu este permisă fără acordul evaluatorului și fără o eventuală actualizare a analizelor, datelor și concluziei de valoare.</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poate fi caracterizată, pe baza comparabilelor utilizate, ca fiind o piață activă, dar selectivă, în care nivelul de preț este influențat de poziționare, caracteristicile terenului și ale construcției, precum și de ajustările specifice fiecărei oferte. În cadrul analizei prin piață au fost identificate 3 comparabile, iar selectarea comparabilului index 0 pentru valoarea totală sugerează existența unor bunuri similare disponibile, însă nu neapărat omogene din punctul de vedere al atributelor relevante de evaluare.</w:t>
        <w:br/>
        <w:br/>
        <w:t>Din perspectiva cererii și ofertei, analiza sugerează o piață cu cerere prezentă pentru proprietăți comparabile, dar cu ofertă suficientă pentru a impune prudență în estimarea valorii de piață. Pentru terenurile comparabile, prețul de referință utilizat de 39.52 EUR/mp indică un nivel de piață utilizabil pentru segmentul analizat, iar faptul că valoarea terenului a fost derivată prin comparație cu un comparabil selectat din 3 comparabile de teren confirmă că au existat repere suficiente pentru fundamentarea estimării.</w:t>
        <w:br/>
        <w:br/>
        <w:t>Lichiditatea pieței poate fi apreciată ca moderată, întrucât evaluarea s-a putut baza pe comparabile de piață, dar a fost necesară selecția atentă a acestora și alocarea distinctă a valorii între teren și construcții. Valoarea finală reconciliată de 135267.00 EUR, obținută prin abordarea prin piață și susținută de alocarea de 27664.00 EUR pentru teren și 107603.00 EUR pentru construcții, indică o apreciere prudentă a nivelului de piață la data evaluării, în concordanță cu utilizarea proprietății pentru garantarea unui credit ipotecar.</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evaluat este identificat prin elementele cadastrale și de carte funciară puse la dispoziție în documentația de lucru, respectiv 2xxxx (demo) și CF xxxxx Breaza (demo). Descrierea juridică are în vedere individualizarea proprietății în sistemul de evidență cadastrală și funciară, fără a se formula alte precizări juridice care nu rezultă din datele furnizate.</w:t>
        <w:br/>
        <w:br/>
        <w:t>Din punct de vedere fizic, proprietatea este amplasată pe un teren intravilan cu suprafața de 700 mp. Terenul reprezintă suportul imobilului și constituie componenta funciară principală avută în vedere la evaluare.</w:t>
        <w:br/>
        <w:br/>
        <w:t>Pe amplasament se află o construcție cu arie utilă de 180 mp și arie construită desfășurată de 220 mp, având ca an de referință 2026. În ansamblu, proprietatea prezintă o configurație compatibilă cu utilizarea rezidențială sau mixtă doar în măsura în care aceasta rezultă din documentele tehnice și juridice ale imobilului, iar pentru scopul prezentului raport este tratată ca un bun imobiliar individualizat prin terenul intravilan și construcția existentă.</w:t>
      </w:r>
    </w:p>
    <w:p>
      <w:pPr>
        <w:pStyle w:val="Heading1"/>
      </w:pPr>
      <w:r>
        <w:t>5. ANALIZA CELEI MAI BUNE UTILIZARI (CMBU)</w:t>
      </w:r>
    </w:p>
    <w:p>
      <w:r>
        <w:rPr>
          <w:i/>
          <w:color w:val="B06A00"/>
          <w:sz w:val="17"/>
        </w:rPr>
        <w:t>▮ NOTA DEMO — [AI] Analiza celei mai bune utilizari generata de AI.</w:t>
      </w:r>
    </w:p>
    <w:p>
      <w:r>
        <w:t>Analiza celei mai bune utilizări a proprietății a fost realizată în ipoteza menținerii destinației curente, având în vedere că, în contextul evaluării pentru garantarea creditului ipotecar, utilizarea rezidențială existentă este, în mod rezonabil, utilizarea care răspunde cel mai bine criteriilor de piață și caracteristicilor bunului. CMBU trebuie să fie permisă legal, posibilă fizic, fezabilă financiar și maxim productivă; în cazul de față, utilizarea rezidențială existentă îndeplinește în mod aparent aceste cerințe, fără a rezulta din datele disponibile elemente care să susțină o reconversie cu valoare superioară.</w:t>
        <w:br/>
        <w:br/>
        <w:t>Din punct de vedere legal, proprietatea este situată în intravilan, pe un teren de 700 mp, ceea ce susține încadrarea într-o utilizare urbană curentă, compatibilă cu funcțiunea rezidențială existentă. Din punct de vedere fizic, terenul și îmbunătățirile aferente permit exploatarea ca proprietate construită cu arie utilă de 180 mp și arie construită desfășurată de 220 mp, parametri care indică o utilizare rezidențială coerentă cu dimensiunea și structura amplasamentului. Nu au fost furnizate date care să indice constrângeri fizice sau juridice ce ar impune o altă destinație.</w:t>
        <w:br/>
        <w:br/>
        <w:t>Sub aspectul fezabilității financiare, analiza de piață și rezultatele celorlalte abordări de evaluare susțin menținerea utilizării curente. Valoarea de piață reconciliată este de 135267.00 EUR, iar abordarea prin cost indică o valoare a construcțiilor alocată de 107603.00 EUR, la care se adaugă valoarea terenului determinată prin comparație de 27664.00 EUR. Această structură a valorii sugerează că utilizarea rezidențială existentă este susținută de piață și poate fi considerată fezabilă financiar în condițiile date, fără indicii privind o alternativă de utilizare care să genereze o valoare reziduală superioară.</w:t>
        <w:br/>
        <w:br/>
        <w:t>Prin urmare, utilizarea rezidențială existentă este considerată cea mai bună utilizare a proprietății, întrucât este compatibilă cu regimul legal, este posibilă fizic, este susținută de rezultatele evaluării și pare să ofere cea mai bună valorificare în condițiile actuale ale pieței. În absența unor date suplimentare privind reglementări urbanistice mai favorabile sau oportunități de dezvoltare cu valoare mai mare, concluzia analizei este că menținerea destinației rezidențiale curente reprezintă opțiunea maxim productivă pentru proprietatea evaluată.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Ajustările aplicate în grila de comparație au urmărit aducerea prețurilor comparabile la nivelul proprietății subiect, astfel încât diferențele dintre proprietăți să fie reflectate în mod coerent și comparabil. În abordarea prin piață, prețurile proprietăților comparabile se ajustează în funcție de deosebirile existente între caracteristicile acestora și cele ale proprietății evaluate, pentru a obține o indicație cât mai apropiată de prețul probabil de tranzacționare al subiectului. În acest sens, ajustările de la etapa de tranzacție și cele de la etapa de proprietate au roluri distincte, dar complementare: primele normalizează diferențele aferente condițiilor tranzacției, iar celelalte corectează diferențele de natură fizică, funcțională sau de amplasament între comparabile și proprietatea evaluată.</w:t>
        <w:br/>
        <w:br/>
        <w:t>Aplicarea ajustărilor a fost realizată prudent, astfel încât comparabilele să poată fi aduse la un nivel de comparabilitate suficient pentru analiză, fără a depăși limitele informațiilor disponibile. În contextul acestui raport, comparația relevantă este susținută de principiul substituției și de cerința ca informațiile despre comparabile să fie analizate atent și să își păstreze relevanța pentru proprietatea subiect. Prin urmare, ajustările au fost fundamentate pe diferențele observabile dintre comparabile și proprietatea evaluată, iar ordinea și ponderea acestora au urmărit să reducă distorsiunile produse de caracteristici neidentice sau de condiții de piață diferite.</w:t>
        <w:br/>
        <w:br/>
        <w:t>Comparabilul selectat a rezultat ca având ajustarea brută minimă deoarece prezintă cea mai bună proximitate globală față de proprietatea subiect, atât prin caracteristicile sale esențiale, cât și prin nivelul corecțiilor necesare pentru alinierea la subiect. Aceasta indică faptul că diferențele dintre acest comparabil și proprietatea evaluată au fost mai reduse decât în cazul celorlalte comparabile analizate, ceea ce i-a conferit cea mai mare relevanță în formarea indicației de valoare prin piață. În consecință, utilizarea lui ca reper principal în reconcilierea finală este justificată de nivelul minim al ajustărilor brute și de calitatea comparabilității sale relative cu proprietatea evaluată.</w:t>
      </w:r>
    </w:p>
    <w:p>
      <w:pPr>
        <w:pStyle w:val="Heading1"/>
      </w:pPr>
      <w:r>
        <w:t>7. RECONCILIEREA REZULTATELOR SI CONCLUZIA VALORII</w:t>
      </w:r>
    </w:p>
    <w:p>
      <w:r>
        <w:rPr>
          <w:i/>
          <w:color w:val="B06A00"/>
          <w:sz w:val="17"/>
        </w:rPr>
        <w:t>▮ NOTA DEMO — [CALCULAT] Selectia metodei si valoarea finala sunt calculate. [AI] Textul explicativ.</w:t>
      </w:r>
    </w:p>
    <w:p>
      <w:r>
        <w:t>În urma aplicării celor două abordări analizate, reconcilierea rezultatelor conduce la selectarea valorii obținute prin abordarea prin piață, respectiv 135267.00 EUR, ca valoare de piață a proprietății imobiliare evaluate. În contextul scopului evaluării — garantarea creditului ipotecar — abordarea prin piață oferă indicația cea mai directă asupra comportamentului probabil al participanților la piață, fiind susținută de comparabilele disponibile și de ajustările efectuate în cadrul analizei de comparație.</w:t>
        <w:br/>
        <w:br/>
        <w:t>Abordarea prin cost a indicat o valoare de 178735.07 EUR, rezultată dintr-un cost brut de înlocuire de 182600.00 EUR, din care s-a dedus deprecierea fizică de 17.27%, obținându-se un cost net de înlocuire de 151071.07 EUR. Diferența față de valoarea rezultată prin piață poate sugera că această proprietate este mai bine reflectată de tranzacțiile/comparabilele de piață decât de o estimare bazată pe costuri de reconstruire și depreciere. În aceste condiții, analiza reconciliată acordă o pondere superioară abordării prin piață, iar metoda prin cost are un rol de control al plauzibilității rezultatului.</w:t>
        <w:br/>
        <w:br/>
        <w:t>În cadrul abordării prin piață, valoarea totală de 135267.00 EUR a fost determinată pe baza a 3 comparabile, fiind selectat comparabilul index 0. Pentru teren, analiza prin comparație a condus la o valoare unitară de 39.52 EUR/mp, ceea ce pentru suprafața de 700 mp rezultă într-o valoare a terenului de 27664.00 EUR; valoarea aferentă construcției a fost alocată la 107603.00 EUR. Această structură a valorii susține concluzia că nivelul de piață estimat este adecvat pentru proprietatea evaluată, având în vedere datele disponibile și relevanța lor pentru scopul raportului.</w:t>
        <w:br/>
        <w:br/>
        <w:t>Valoarea de piață finală reconciliată a proprietății imobiliare, exprimată în condițiile datei evaluării și ale premiselor asumate, este de 135267.00 EUR.</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Riscul asociat garanției este apreciat prin raportare la capacitatea bunului de a-și menține valoarea și de a putea fi valorificat într-un interval rezonabil pe durata creditului, în contextul cerut de GEV 520, Anexa A5, respectiv prin analiza activității curente și a tendințelor pieței relevante, a cererii anterioare, curente și viitoare pentru tipul de bun și pentru localizare, precum și a impactului evenimentelor previzibile asupra valorii viitoare a garanției.</w:t>
        <w:br/>
        <w:br/>
        <w:t>Pentru bunul evaluat, utilizarea actuală de locuință și localizarea într-o zonă de intravilan, împreună cu suprafața terenului de 700 mp, aria utilă de 180 mp și aria construită desfășurată de 220 mp, indică o încadrare uzuală pe segmentul rezidențial, unde cererea este, în principiu, legată de caracteristicile amplasamentului, accesibilitate și adecvarea funcțională. Valoarea de piață reconciliată, de 135267.00 EUR, rezultată prin abordarea prin piață pe baza a 3 comparabile, sugerează existența unei referințe de piață suficiente pentru estimarea valorii, iar valoarea terenului determinată prin comparație, de 39.52 EUR/mp, susține o componentă de piață identificabilă pentru amplasament.</w:t>
        <w:br/>
        <w:br/>
        <w:t>Din perspectiva cererii anterioare, curente și viitoare pentru acest tip de bun și pentru această localizare, analiza sugerează că proprietatea beneficiază de o anumită vandabilitate, întrucât evaluarea s-a putut realiza prin comparație directă, însă lichiditatea rămâne, în mod obișnuit, dependentă de condițiile specifice pieței locale și de perioada necesară pentru expunerea la vânzare. Cererea pentru alte utilizări poate fi considerată limitată în raport cu destinația rezidențială, având în vedere că valoarea de piață a fost stabilită pentru utilizarea curentă, iar eventualele conversii de utilizare ar presupune costuri, timp și incertitudini suplimentare care pot influența negativ realizarea valorii în caz de executare.</w:t>
        <w:br/>
        <w:br/>
        <w:t>Evenimentele previzibile pe parcursul perioadei de credit, precum variații ale cererii pe segmentul rezidențial, modificări ale condițiilor de finanțare sau evoluții locale ale pieței imobiliare, pot determina oscilații ale valorii viitoare a garanției; totuși, raportat la valoarea reconcilată de 135267.00 EUR și la valoarea construită alocată de 107603.00 EUR, bunul poate fi considerat, în principiu, adecvat drept garanție pentru finanțare ipotecară, cu un grad de adecvare dependent de menținerea caracteristicilor actuale ale proprietății și de evoluția pieței locale.</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