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MEJORAS IMPLEMENTADAS EN LOS CÓDIGOS FISCALES (VERSIÓN RESUMIDA)</w:t>
      </w:r>
    </w:p>
    <w:p>
      <w:pPr>
        <w:pStyle w:val="Heading1"/>
        <w:spacing w:after="80" w:before="2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Introducción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4"/>
          <w:szCs w:val="24"/>
        </w:rPr>
        <w:t xml:space="preserve">Este documento resume cómo evolucionaron los códigos que extraen y procesan la ejecución presupuestal del MEF para Loreto, San Martín y Ucayali, desde sus primeras versiones hasta hoy.</w:t>
      </w:r>
    </w:p>
    <w:p>
      <w:pPr>
        <w:pStyle w:val="Heading1"/>
        <w:spacing w:after="80" w:before="2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Punto de partida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4"/>
          <w:szCs w:val="24"/>
        </w:rPr>
        <w:t xml:space="preserve">Había seis notebooks independientes, solo de inversión (genérica 2.6). Se corrigieron filtros de URL, el devengado pasó a número, los errores se hicieron visibles y se agregaron controles.</w:t>
      </w:r>
    </w:p>
    <w:p>
      <w:pPr>
        <w:pStyle w:val="Heading1"/>
        <w:spacing w:after="80" w:before="2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Unificación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4"/>
          <w:szCs w:val="24"/>
        </w:rPr>
        <w:t xml:space="preserve">Un único scraper extrae genérica, fuente, función, inversión por fuente y deuda, y se autocalibra. El procesamiento genera un Excel por departamento, con series reales y controles.</w:t>
      </w:r>
    </w:p>
    <w:p>
      <w:pPr>
        <w:pStyle w:val="Heading1"/>
        <w:spacing w:after="80" w:before="2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Servicio de la deuda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4"/>
          <w:szCs w:val="24"/>
        </w:rPr>
        <w:t xml:space="preserve">La deuda aparecía en cero. Ahora el scraper valida la clave 25 y guarda el total, y el procesamiento toma el subtotal de la genérica 2.8.</w:t>
      </w:r>
    </w:p>
    <w:p>
      <w:pPr>
        <w:pStyle w:val="Heading1"/>
        <w:spacing w:after="80" w:before="2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Rango de años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4"/>
          <w:szCs w:val="24"/>
        </w:rPr>
        <w:t xml:space="preserve">Se agregaron año y mes de inicio y de fin, para extraer varios años en una sola corrida, por ejemplo de enero de 2025 a septiembre de 2026.</w:t>
      </w:r>
    </w:p>
    <w:p>
      <w:pPr>
        <w:pStyle w:val="Heading1"/>
        <w:spacing w:after="80" w:before="2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Eficiencia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4"/>
          <w:szCs w:val="24"/>
        </w:rPr>
        <w:t xml:space="preserve">Se desarrollaron mejoras para evitar consultas repetidas y acelerar el control. La versión en uso procesa y guarda mes por mes, en unos cuatro minutos cada uno.</w:t>
      </w:r>
    </w:p>
    <w:p>
      <w:pPr>
        <w:pStyle w:val="Heading1"/>
        <w:spacing w:after="80" w:before="2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Resultados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4"/>
          <w:szCs w:val="24"/>
        </w:rPr>
        <w:t xml:space="preserve">Enero de 2025 a septiembre de 2026 se extrajo sin errores. Todos los controles resultaron conformes, incluido el PIM. Los avisos de deuda en cero no son errores.</w:t>
      </w:r>
    </w:p>
    <w:p>
      <w:pPr>
        <w:pStyle w:val="Heading1"/>
        <w:spacing w:after="80" w:before="2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Conclusión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4"/>
          <w:szCs w:val="24"/>
        </w:rPr>
        <w:t xml:space="preserve">El proyecto pasó de scrapers aislados a un flujo integrado y validado. Falta consolidar la versión más eficiente y llevar los cambios a la rama principal del repositorio.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2026-10-15T15:53:13.163Z</dcterms:created>
  <dcterms:modified xsi:type="dcterms:W3CDTF">2026-10-15T15:53:13.163Z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