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Diccionario de datos: PP_canon_nivel_gobierno_mef_anio.csv</w:t>
      </w:r>
    </w:p>
    <w:p>
      <w:pPr>
        <w:spacing w:line="48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Proyecto Petróleo</w:t>
      </w:r>
    </w:p>
    <w:p>
      <w:pPr>
        <w:spacing w:line="48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Versión del 20 de octubre de 2026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Propósito del archivo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Contiene, para cada año y tipo de recurso petrolero de la Consulta Amigable de Ingresos del MEF, el monto recaudado por cada nivel de gobierno: gobierno nacional (E), gobiernos locales (M) y gobiernos regionales (R), en total país y, cuando la consulta lo permite, por departamento.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Sirve para ver cómo se distribuye el canon petrolero entre niveles de gobierno antes del detalle por municipalidad (PP_canon_municipal_mef_anio.csv) y para contrastarlo con el reparto por beneficiario de PERUPETRO.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Origen y actualización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Notebook PP_MEF_Canon_Municipal.ipynb: navega con requests el formulario ASP.NET de la Consulta Amigable de Ingresos, como el navegador (la consulta ignora los filtros puestos en la URL). Desde 2007: fuente 5 → rubro 18 → tipos «5» y «K» de canon y sobrecanon petrolero; 2003–2006: fuente 01 → tipo «4» (petrolero) y, en 2005–2006, «0: NORMAL» (todos los canones). 2003–2004 no tienen «Nivel de Gobierno»: se registra el reparto por sector y pliego (2003: todo al Consejo Nacional de Descentralización), con NIVEL_GOBIERNO «SIN NIVEL EN LA CONSULTA · sector › pliego». Se acumula por año. Control: suma de niveles = total del tipo de recurso (CONTROL PP canon_nivel_gobierno_mef.csv).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Unidad de observación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Un año, un tipo de recurso, un nivel de gobierno y un departamento (o TOTAL PAÍS). Clave: AÑO + TIPO_RECURSO + NIVEL_GOBIERNO + DEPARTAMENTO.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Formato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Archivo CSV separado por comas, codificado en UTF-8 con BOM (se abre directamente en Excel con tildes correctas) y con punto decimal. Una celda vacía significa sin dato.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Variables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La Tabla 1 describe cada variable (columna) del archivo, en el orden en que aparecen.</w:t>
      </w:r>
    </w:p>
    <w:p>
      <w:pPr>
        <w:keepNext/>
        <w:spacing w:before="240" w:line="4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Tabla 1</w:t>
      </w:r>
    </w:p>
    <w:p>
      <w:pPr>
        <w:keepNext/>
        <w:spacing w:line="480"/>
      </w:pP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Variables del archivo PP_canon_nivel_gobierno_mef_anio.csv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4126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Variable</w:t>
            </w:r>
          </w:p>
        </w:tc>
        <w:tc>
          <w:tcPr>
            <w:tcW w:type="dxa" w:w="19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Tipo y unidad</w:t>
            </w:r>
          </w:p>
        </w:tc>
        <w:tc>
          <w:tcPr>
            <w:tcW w:type="dxa" w:w="412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AÑO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Entero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Año calendario del dato.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TIPO_RECURSO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Tipo de recurso del MEF (p. ej., «5: CANON Y SOBRECANON PETROLERO»); «(todos los canones)» si es el tipo NORMAL.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NIVEL_GOBIERNO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E: GOBIERNO NACIONAL, M: GOBIERNOS LOCALES o R: GOBIERNOS REGIONALES.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DEPARTAMENTO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TOTAL PAÍS o el departamento.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RECAUDADO_SOLES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soles (S/)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Monto recaudado en el año.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FUENTE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MEF, Consulta Amigable de Ingresos (recaudado).</w:t>
            </w:r>
          </w:p>
        </w:tc>
      </w:tr>
    </w:tbl>
    <w:p>
      <w:pPr>
        <w:spacing w:line="240"/>
      </w:pP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Referencias</w:t>
      </w:r>
    </w:p>
    <w:p>
      <w:pPr>
        <w:spacing w:line="480"/>
        <w:ind w:left="720" w:hanging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Ministerio de Economía y Finanzas. (s. f.). </w:t>
      </w: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Consulta Amigable de Ingresos (mensual)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[Base de datos]. Recuperado el 20 de octubre de 2026, de https://apps5.mineco.gob.pe/transparenciaingresos/mensual/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Proyecto Petróleo (scraper-mef)</dc:creator>
  <cp:lastModifiedBy>Un-named</cp:lastModifiedBy>
  <cp:revision>1</cp:revision>
  <dcterms:created xsi:type="dcterms:W3CDTF">2026-10-21T16:31:52.813Z</dcterms:created>
  <dcterms:modified xsi:type="dcterms:W3CDTF">2026-10-21T16:31:52.813Z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