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line="480"/>
        <w:jc w:val="center"/>
      </w:pPr>
      <w:r>
        <w:rPr>
          <w:rFonts w:ascii="Arial" w:cs="Arial" w:eastAsia="Arial" w:hAnsi="Arial"/>
          <w:b/>
          <w:bCs/>
          <w:color w:val="000000"/>
          <w:sz w:val="24"/>
          <w:szCs w:val="24"/>
        </w:rPr>
        <w:t xml:space="preserve">Diccionario de datos: PP_produccion_gas_lote_mes_1994-2026.csv</w:t>
      </w:r>
    </w:p>
    <w:p>
      <w:pPr>
        <w:spacing w:line="480"/>
        <w:jc w:val="center"/>
      </w:pPr>
      <w:r>
        <w:rPr>
          <w:rFonts w:ascii="Arial" w:cs="Arial" w:eastAsia="Arial" w:hAnsi="Arial"/>
          <w:color w:val="000000"/>
          <w:sz w:val="24"/>
          <w:szCs w:val="24"/>
        </w:rPr>
        <w:t xml:space="preserve">Proyecto Petróleo</w:t>
      </w:r>
    </w:p>
    <w:p>
      <w:pPr>
        <w:spacing w:line="480"/>
        <w:jc w:val="center"/>
      </w:pPr>
      <w:r>
        <w:rPr>
          <w:rFonts w:ascii="Arial" w:cs="Arial" w:eastAsia="Arial" w:hAnsi="Arial"/>
          <w:color w:val="000000"/>
          <w:sz w:val="24"/>
          <w:szCs w:val="24"/>
        </w:rPr>
        <w:t xml:space="preserve">Versión del 20 de octubre de 2026</w:t>
      </w:r>
    </w:p>
    <w:p>
      <w:pPr>
        <w:keepNext/>
        <w:spacing w:line="480"/>
        <w:jc w:val="center"/>
      </w:pPr>
      <w:r>
        <w:rPr>
          <w:rFonts w:ascii="Arial" w:cs="Arial" w:eastAsia="Arial" w:hAnsi="Arial"/>
          <w:b/>
          <w:bCs/>
          <w:color w:val="000000"/>
          <w:sz w:val="24"/>
          <w:szCs w:val="24"/>
        </w:rPr>
        <w:t xml:space="preserve">Propósito del archivo</w:t>
      </w:r>
    </w:p>
    <w:p>
      <w:pPr>
        <w:spacing w:after="0" w:before="0" w:line="480"/>
        <w:ind w:firstLine="720"/>
        <w:jc w:val="both"/>
      </w:pPr>
      <w:r>
        <w:rPr>
          <w:rFonts w:ascii="Arial" w:cs="Arial" w:eastAsia="Arial" w:hAnsi="Arial"/>
          <w:color w:val="000000"/>
          <w:sz w:val="24"/>
          <w:szCs w:val="24"/>
        </w:rPr>
        <w:t xml:space="preserve">Contiene la producción fiscalizada mensual de gas natural de cada lote, en miles de pies cúbicos (MPC), desde enero de 1994. Proviene de la tabla «Producción fiscalizada mensual de gas natural (MPC)» de las estadísticas de PERUPETRO S.A. (s. f.-c).</w:t>
      </w:r>
    </w:p>
    <w:p>
      <w:pPr>
        <w:spacing w:after="0" w:before="0" w:line="480"/>
        <w:ind w:firstLine="720"/>
        <w:jc w:val="both"/>
      </w:pPr>
      <w:r>
        <w:rPr>
          <w:rFonts w:ascii="Arial" w:cs="Arial" w:eastAsia="Arial" w:hAnsi="Arial"/>
          <w:color w:val="000000"/>
          <w:sz w:val="24"/>
          <w:szCs w:val="24"/>
        </w:rPr>
        <w:t xml:space="preserve">Sirve para analizar la producción de gas por lote y departamento (p. ej., Lote 31-C en Ucayali), para el gas acumulado de cada campo del mapa y para el historial de operadores.</w:t>
      </w:r>
    </w:p>
    <w:p>
      <w:pPr>
        <w:keepNext/>
        <w:spacing w:line="480"/>
        <w:jc w:val="left"/>
      </w:pPr>
      <w:r>
        <w:rPr>
          <w:rFonts w:ascii="Arial" w:cs="Arial" w:eastAsia="Arial" w:hAnsi="Arial"/>
          <w:b/>
          <w:bCs/>
          <w:color w:val="000000"/>
          <w:sz w:val="24"/>
          <w:szCs w:val="24"/>
        </w:rPr>
        <w:t xml:space="preserve">Origen y actualización</w:t>
      </w:r>
    </w:p>
    <w:p>
      <w:pPr>
        <w:spacing w:after="0" w:before="0" w:line="480"/>
        <w:ind w:firstLine="720"/>
        <w:jc w:val="both"/>
      </w:pPr>
      <w:r>
        <w:rPr>
          <w:rFonts w:ascii="Arial" w:cs="Arial" w:eastAsia="Arial" w:hAnsi="Arial"/>
          <w:color w:val="000000"/>
          <w:sz w:val="24"/>
          <w:szCs w:val="24"/>
        </w:rPr>
        <w:t xml:space="preserve">Notebook PP_Produccion_Lotes.ipynb, de los mismos PDF que la producción de líquidos. Los años 1994–2000 se transcribieron a mano desde los escaneos y cuadran con los totales del PDF; desde 2001 se extraen del PDF digital.</w:t>
      </w:r>
    </w:p>
    <w:p>
      <w:pPr>
        <w:keepNext/>
        <w:spacing w:line="480"/>
        <w:jc w:val="left"/>
      </w:pPr>
      <w:r>
        <w:rPr>
          <w:rFonts w:ascii="Arial" w:cs="Arial" w:eastAsia="Arial" w:hAnsi="Arial"/>
          <w:b/>
          <w:bCs/>
          <w:color w:val="000000"/>
          <w:sz w:val="24"/>
          <w:szCs w:val="24"/>
        </w:rPr>
        <w:t xml:space="preserve">Unidad de observación</w:t>
      </w:r>
    </w:p>
    <w:p>
      <w:pPr>
        <w:spacing w:after="0" w:before="0" w:line="480"/>
        <w:ind w:firstLine="720"/>
        <w:jc w:val="both"/>
      </w:pPr>
      <w:r>
        <w:rPr>
          <w:rFonts w:ascii="Arial" w:cs="Arial" w:eastAsia="Arial" w:hAnsi="Arial"/>
          <w:color w:val="000000"/>
          <w:sz w:val="24"/>
          <w:szCs w:val="24"/>
        </w:rPr>
        <w:t xml:space="preserve">Un lote y un mes. Clave única: AÑO + MES + LOTE.</w:t>
      </w:r>
    </w:p>
    <w:p>
      <w:pPr>
        <w:keepNext/>
        <w:spacing w:line="480"/>
        <w:jc w:val="left"/>
      </w:pPr>
      <w:r>
        <w:rPr>
          <w:rFonts w:ascii="Arial" w:cs="Arial" w:eastAsia="Arial" w:hAnsi="Arial"/>
          <w:b/>
          <w:bCs/>
          <w:color w:val="000000"/>
          <w:sz w:val="24"/>
          <w:szCs w:val="24"/>
        </w:rPr>
        <w:t xml:space="preserve">Formato</w:t>
      </w:r>
    </w:p>
    <w:p>
      <w:pPr>
        <w:spacing w:after="0" w:before="0" w:line="480"/>
        <w:ind w:firstLine="720"/>
        <w:jc w:val="both"/>
      </w:pPr>
      <w:r>
        <w:rPr>
          <w:rFonts w:ascii="Arial" w:cs="Arial" w:eastAsia="Arial" w:hAnsi="Arial"/>
          <w:color w:val="000000"/>
          <w:sz w:val="24"/>
          <w:szCs w:val="24"/>
        </w:rPr>
        <w:t xml:space="preserve">Archivo CSV separado por comas, codificado en UTF-8 con BOM (se abre directamente en Excel con tildes correctas) y con punto decimal. Una celda vacía significa sin dato.</w:t>
      </w:r>
    </w:p>
    <w:p>
      <w:pPr>
        <w:keepNext/>
        <w:spacing w:line="480"/>
        <w:jc w:val="center"/>
      </w:pPr>
      <w:r>
        <w:rPr>
          <w:rFonts w:ascii="Arial" w:cs="Arial" w:eastAsia="Arial" w:hAnsi="Arial"/>
          <w:b/>
          <w:bCs/>
          <w:color w:val="000000"/>
          <w:sz w:val="24"/>
          <w:szCs w:val="24"/>
        </w:rPr>
        <w:t xml:space="preserve">Variables</w:t>
      </w:r>
    </w:p>
    <w:p>
      <w:pPr>
        <w:spacing w:after="0" w:before="0" w:line="480"/>
        <w:ind w:firstLine="720"/>
        <w:jc w:val="both"/>
      </w:pPr>
      <w:r>
        <w:rPr>
          <w:rFonts w:ascii="Arial" w:cs="Arial" w:eastAsia="Arial" w:hAnsi="Arial"/>
          <w:color w:val="000000"/>
          <w:sz w:val="24"/>
          <w:szCs w:val="24"/>
        </w:rPr>
        <w:t xml:space="preserve">La Tabla 1 describe cada variable (columna) del archivo, en el orden en que aparecen.</w:t>
      </w:r>
    </w:p>
    <w:p>
      <w:pPr>
        <w:keepNext/>
        <w:spacing w:before="240" w:line="480"/>
      </w:pPr>
      <w:r>
        <w:rPr>
          <w:rFonts w:ascii="Arial" w:cs="Arial" w:eastAsia="Arial" w:hAnsi="Arial"/>
          <w:b/>
          <w:bCs/>
          <w:color w:val="000000"/>
          <w:sz w:val="24"/>
          <w:szCs w:val="24"/>
        </w:rPr>
        <w:t xml:space="preserve">Tabla 1</w:t>
      </w:r>
    </w:p>
    <w:p>
      <w:pPr>
        <w:keepNext/>
        <w:spacing w:line="480"/>
      </w:pPr>
      <w:r>
        <w:rPr>
          <w:rFonts w:ascii="Arial" w:cs="Arial" w:eastAsia="Arial" w:hAnsi="Arial"/>
          <w:i/>
          <w:iCs/>
          <w:color w:val="000000"/>
          <w:sz w:val="24"/>
          <w:szCs w:val="24"/>
        </w:rPr>
        <w:t xml:space="preserve">Variables del archivo PP_produccion_gas_lote_mes_1994-2026.csv</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1900"/>
        <w:gridCol w:w="4126"/>
      </w:tblGrid>
      <w:tr>
        <w:trPr>
          <w:cantSplit/>
          <w:tblHeader/>
        </w:trPr>
        <w:tc>
          <w:tcPr>
            <w:tcW w:type="dxa" w:w="3000"/>
            <w:tcBorders>
              <w:top w:val="single" w:color="000000" w:sz="6"/>
              <w:left w:val="none" w:color="FFFFFF" w:sz="0"/>
              <w:bottom w:val="single" w:color="000000" w:sz="6"/>
              <w:right w:val="none" w:color="FFFFFF" w:sz="0"/>
            </w:tcBorders>
            <w:tcMar>
              <w:top w:type="dxa" w:w="60"/>
              <w:left w:type="dxa" w:w="100"/>
              <w:bottom w:type="dxa" w:w="60"/>
              <w:right w:type="dxa" w:w="100"/>
            </w:tcMar>
          </w:tcPr>
          <w:p>
            <w:pPr>
              <w:spacing w:line="240"/>
              <w:jc w:val="center"/>
            </w:pPr>
            <w:r>
              <w:rPr>
                <w:rFonts w:ascii="Arial" w:cs="Arial" w:eastAsia="Arial" w:hAnsi="Arial"/>
                <w:b/>
                <w:bCs/>
                <w:color w:val="000000"/>
                <w:sz w:val="24"/>
                <w:szCs w:val="24"/>
              </w:rPr>
              <w:t xml:space="preserve">Variable</w:t>
            </w:r>
          </w:p>
        </w:tc>
        <w:tc>
          <w:tcPr>
            <w:tcW w:type="dxa" w:w="1900"/>
            <w:tcBorders>
              <w:top w:val="single" w:color="000000" w:sz="6"/>
              <w:left w:val="none" w:color="FFFFFF" w:sz="0"/>
              <w:bottom w:val="single" w:color="000000" w:sz="6"/>
              <w:right w:val="none" w:color="FFFFFF" w:sz="0"/>
            </w:tcBorders>
            <w:tcMar>
              <w:top w:type="dxa" w:w="60"/>
              <w:left w:type="dxa" w:w="100"/>
              <w:bottom w:type="dxa" w:w="60"/>
              <w:right w:type="dxa" w:w="100"/>
            </w:tcMar>
          </w:tcPr>
          <w:p>
            <w:pPr>
              <w:spacing w:line="240"/>
              <w:jc w:val="center"/>
            </w:pPr>
            <w:r>
              <w:rPr>
                <w:rFonts w:ascii="Arial" w:cs="Arial" w:eastAsia="Arial" w:hAnsi="Arial"/>
                <w:b/>
                <w:bCs/>
                <w:color w:val="000000"/>
                <w:sz w:val="24"/>
                <w:szCs w:val="24"/>
              </w:rPr>
              <w:t xml:space="preserve">Tipo y unidad</w:t>
            </w:r>
          </w:p>
        </w:tc>
        <w:tc>
          <w:tcPr>
            <w:tcW w:type="dxa" w:w="4126"/>
            <w:tcBorders>
              <w:top w:val="single" w:color="000000" w:sz="6"/>
              <w:left w:val="none" w:color="FFFFFF" w:sz="0"/>
              <w:bottom w:val="single" w:color="000000" w:sz="6"/>
              <w:right w:val="none" w:color="FFFFFF" w:sz="0"/>
            </w:tcBorders>
            <w:tcMar>
              <w:top w:type="dxa" w:w="60"/>
              <w:left w:type="dxa" w:w="100"/>
              <w:bottom w:type="dxa" w:w="60"/>
              <w:right w:type="dxa" w:w="100"/>
            </w:tcMar>
          </w:tcPr>
          <w:p>
            <w:pPr>
              <w:spacing w:line="240"/>
              <w:jc w:val="center"/>
            </w:pPr>
            <w:r>
              <w:rPr>
                <w:rFonts w:ascii="Arial" w:cs="Arial" w:eastAsia="Arial" w:hAnsi="Arial"/>
                <w:b/>
                <w:bCs/>
                <w:color w:val="000000"/>
                <w:sz w:val="24"/>
                <w:szCs w:val="24"/>
              </w:rPr>
              <w:t xml:space="preserve">Descripción</w:t>
            </w:r>
          </w:p>
        </w:tc>
      </w:tr>
      <w:tr>
        <w:trPr>
          <w:cantSplit/>
        </w:trPr>
        <w:tc>
          <w:tcPr>
            <w:tcW w:type="dxa" w:w="30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jc w:val="left"/>
            </w:pPr>
            <w:r>
              <w:rPr>
                <w:rFonts w:ascii="Arial" w:cs="Arial" w:eastAsia="Arial" w:hAnsi="Arial"/>
                <w:color w:val="000000"/>
                <w:sz w:val="24"/>
                <w:szCs w:val="24"/>
              </w:rPr>
              <w:t xml:space="preserve">AÑO</w:t>
            </w:r>
          </w:p>
        </w:tc>
        <w:tc>
          <w:tcPr>
            <w:tcW w:type="dxa" w:w="19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jc w:val="left"/>
            </w:pPr>
            <w:r>
              <w:rPr>
                <w:rFonts w:ascii="Arial" w:cs="Arial" w:eastAsia="Arial" w:hAnsi="Arial"/>
                <w:color w:val="000000"/>
                <w:sz w:val="24"/>
                <w:szCs w:val="24"/>
              </w:rPr>
              <w:t xml:space="preserve">Entero</w:t>
            </w:r>
          </w:p>
        </w:tc>
        <w:tc>
          <w:tcPr>
            <w:tcW w:type="dxa" w:w="4126"/>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jc w:val="both"/>
            </w:pPr>
            <w:r>
              <w:rPr>
                <w:rFonts w:ascii="Arial" w:cs="Arial" w:eastAsia="Arial" w:hAnsi="Arial"/>
                <w:color w:val="000000"/>
                <w:sz w:val="24"/>
                <w:szCs w:val="24"/>
              </w:rPr>
              <w:t xml:space="preserve">Año calendario del dato.</w:t>
            </w:r>
          </w:p>
        </w:tc>
      </w:tr>
      <w:tr>
        <w:trPr>
          <w:cantSplit/>
        </w:trPr>
        <w:tc>
          <w:tcPr>
            <w:tcW w:type="dxa" w:w="30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jc w:val="left"/>
            </w:pPr>
            <w:r>
              <w:rPr>
                <w:rFonts w:ascii="Arial" w:cs="Arial" w:eastAsia="Arial" w:hAnsi="Arial"/>
                <w:color w:val="000000"/>
                <w:sz w:val="24"/>
                <w:szCs w:val="24"/>
              </w:rPr>
              <w:t xml:space="preserve">MES</w:t>
            </w:r>
          </w:p>
        </w:tc>
        <w:tc>
          <w:tcPr>
            <w:tcW w:type="dxa" w:w="19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jc w:val="left"/>
            </w:pPr>
            <w:r>
              <w:rPr>
                <w:rFonts w:ascii="Arial" w:cs="Arial" w:eastAsia="Arial" w:hAnsi="Arial"/>
                <w:color w:val="000000"/>
                <w:sz w:val="24"/>
                <w:szCs w:val="24"/>
              </w:rPr>
              <w:t xml:space="preserve">Entero (1–12)</w:t>
            </w:r>
          </w:p>
        </w:tc>
        <w:tc>
          <w:tcPr>
            <w:tcW w:type="dxa" w:w="4126"/>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jc w:val="both"/>
            </w:pPr>
            <w:r>
              <w:rPr>
                <w:rFonts w:ascii="Arial" w:cs="Arial" w:eastAsia="Arial" w:hAnsi="Arial"/>
                <w:color w:val="000000"/>
                <w:sz w:val="24"/>
                <w:szCs w:val="24"/>
              </w:rPr>
              <w:t xml:space="preserve">Mes calendario (1 = enero, 12 = diciembre).</w:t>
            </w:r>
          </w:p>
        </w:tc>
      </w:tr>
      <w:tr>
        <w:trPr>
          <w:cantSplit/>
        </w:trPr>
        <w:tc>
          <w:tcPr>
            <w:tcW w:type="dxa" w:w="30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jc w:val="left"/>
            </w:pPr>
            <w:r>
              <w:rPr>
                <w:rFonts w:ascii="Arial" w:cs="Arial" w:eastAsia="Arial" w:hAnsi="Arial"/>
                <w:color w:val="000000"/>
                <w:sz w:val="24"/>
                <w:szCs w:val="24"/>
              </w:rPr>
              <w:t xml:space="preserve">FECHA</w:t>
            </w:r>
          </w:p>
        </w:tc>
        <w:tc>
          <w:tcPr>
            <w:tcW w:type="dxa" w:w="19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jc w:val="left"/>
            </w:pPr>
            <w:r>
              <w:rPr>
                <w:rFonts w:ascii="Arial" w:cs="Arial" w:eastAsia="Arial" w:hAnsi="Arial"/>
                <w:color w:val="000000"/>
                <w:sz w:val="24"/>
                <w:szCs w:val="24"/>
              </w:rPr>
              <w:t xml:space="preserve">Texto, fecha dd/mm/aaaa</w:t>
            </w:r>
          </w:p>
        </w:tc>
        <w:tc>
          <w:tcPr>
            <w:tcW w:type="dxa" w:w="4126"/>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jc w:val="both"/>
            </w:pPr>
            <w:r>
              <w:rPr>
                <w:rFonts w:ascii="Arial" w:cs="Arial" w:eastAsia="Arial" w:hAnsi="Arial"/>
                <w:color w:val="000000"/>
                <w:sz w:val="24"/>
                <w:szCs w:val="24"/>
              </w:rPr>
              <w:t xml:space="preserve">Primer día del mes al que corresponde el dato (01/03/2015 = marzo de 2015). Sirve para ordenar y graficar series.</w:t>
            </w:r>
          </w:p>
        </w:tc>
      </w:tr>
      <w:tr>
        <w:trPr>
          <w:cantSplit/>
        </w:trPr>
        <w:tc>
          <w:tcPr>
            <w:tcW w:type="dxa" w:w="30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jc w:val="left"/>
            </w:pPr>
            <w:r>
              <w:rPr>
                <w:rFonts w:ascii="Arial" w:cs="Arial" w:eastAsia="Arial" w:hAnsi="Arial"/>
                <w:color w:val="000000"/>
                <w:sz w:val="24"/>
                <w:szCs w:val="24"/>
              </w:rPr>
              <w:t xml:space="preserve">ZONA</w:t>
            </w:r>
          </w:p>
        </w:tc>
        <w:tc>
          <w:tcPr>
            <w:tcW w:type="dxa" w:w="19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jc w:val="left"/>
            </w:pPr>
            <w:r>
              <w:rPr>
                <w:rFonts w:ascii="Arial" w:cs="Arial" w:eastAsia="Arial" w:hAnsi="Arial"/>
                <w:color w:val="000000"/>
                <w:sz w:val="24"/>
                <w:szCs w:val="24"/>
              </w:rPr>
              <w:t xml:space="preserve">Texto (código)</w:t>
            </w:r>
          </w:p>
        </w:tc>
        <w:tc>
          <w:tcPr>
            <w:tcW w:type="dxa" w:w="4126"/>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jc w:val="both"/>
            </w:pPr>
            <w:r>
              <w:rPr>
                <w:rFonts w:ascii="Arial" w:cs="Arial" w:eastAsia="Arial" w:hAnsi="Arial"/>
                <w:color w:val="000000"/>
                <w:sz w:val="24"/>
                <w:szCs w:val="24"/>
              </w:rPr>
              <w:t xml:space="preserve">Zona geográfica de PERUPETRO: NOROESTE, ZOCALO (zócalo continental, en el mar), SELVA NORTE, SELVA CENTRAL o SELVA SUR. Se toma del encabezado de la tabla del PDF o, si no lo trae, de una tabla fija por lote.</w:t>
            </w:r>
          </w:p>
        </w:tc>
      </w:tr>
      <w:tr>
        <w:trPr>
          <w:cantSplit/>
        </w:trPr>
        <w:tc>
          <w:tcPr>
            <w:tcW w:type="dxa" w:w="30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jc w:val="left"/>
            </w:pPr>
            <w:r>
              <w:rPr>
                <w:rFonts w:ascii="Arial" w:cs="Arial" w:eastAsia="Arial" w:hAnsi="Arial"/>
                <w:color w:val="000000"/>
                <w:sz w:val="24"/>
                <w:szCs w:val="24"/>
              </w:rPr>
              <w:t xml:space="preserve">DEPARTAMENTO</w:t>
            </w:r>
          </w:p>
        </w:tc>
        <w:tc>
          <w:tcPr>
            <w:tcW w:type="dxa" w:w="19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jc w:val="left"/>
            </w:pPr>
            <w:r>
              <w:rPr>
                <w:rFonts w:ascii="Arial" w:cs="Arial" w:eastAsia="Arial" w:hAnsi="Arial"/>
                <w:color w:val="000000"/>
                <w:sz w:val="24"/>
                <w:szCs w:val="24"/>
              </w:rPr>
              <w:t xml:space="preserve">Texto</w:t>
            </w:r>
          </w:p>
        </w:tc>
        <w:tc>
          <w:tcPr>
            <w:tcW w:type="dxa" w:w="4126"/>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jc w:val="both"/>
            </w:pPr>
            <w:r>
              <w:rPr>
                <w:rFonts w:ascii="Arial" w:cs="Arial" w:eastAsia="Arial" w:hAnsi="Arial"/>
                <w:color w:val="000000"/>
                <w:sz w:val="24"/>
                <w:szCs w:val="24"/>
              </w:rPr>
              <w:t xml:space="preserve">Departamento donde se ubica el lote: el que tiene la mayor parte de su área según el mapa de lotes (PP_LOTES_GEO.csv). Si el lote no tiene polígono, se asigna por la zona (SELVA NORTE → LORETO) o queda vacío.</w:t>
            </w:r>
          </w:p>
        </w:tc>
      </w:tr>
      <w:tr>
        <w:trPr>
          <w:cantSplit/>
        </w:trPr>
        <w:tc>
          <w:tcPr>
            <w:tcW w:type="dxa" w:w="30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jc w:val="left"/>
            </w:pPr>
            <w:r>
              <w:rPr>
                <w:rFonts w:ascii="Arial" w:cs="Arial" w:eastAsia="Arial" w:hAnsi="Arial"/>
                <w:color w:val="000000"/>
                <w:sz w:val="24"/>
                <w:szCs w:val="24"/>
              </w:rPr>
              <w:t xml:space="preserve">DEPARTAMENTO_FUENTE</w:t>
            </w:r>
          </w:p>
        </w:tc>
        <w:tc>
          <w:tcPr>
            <w:tcW w:type="dxa" w:w="19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jc w:val="left"/>
            </w:pPr>
            <w:r>
              <w:rPr>
                <w:rFonts w:ascii="Arial" w:cs="Arial" w:eastAsia="Arial" w:hAnsi="Arial"/>
                <w:color w:val="000000"/>
                <w:sz w:val="24"/>
                <w:szCs w:val="24"/>
              </w:rPr>
              <w:t xml:space="preserve">Texto (código)</w:t>
            </w:r>
          </w:p>
        </w:tc>
        <w:tc>
          <w:tcPr>
            <w:tcW w:type="dxa" w:w="4126"/>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jc w:val="both"/>
            </w:pPr>
            <w:r>
              <w:rPr>
                <w:rFonts w:ascii="Arial" w:cs="Arial" w:eastAsia="Arial" w:hAnsi="Arial"/>
                <w:color w:val="000000"/>
                <w:sz w:val="24"/>
                <w:szCs w:val="24"/>
              </w:rPr>
              <w:t xml:space="preserve">Cómo se asignó el departamento: MAPA (polígono del lote), ZONA (por la zona de PERUPETRO) o vacío.</w:t>
            </w:r>
          </w:p>
        </w:tc>
      </w:tr>
      <w:tr>
        <w:trPr>
          <w:cantSplit/>
        </w:trPr>
        <w:tc>
          <w:tcPr>
            <w:tcW w:type="dxa" w:w="30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jc w:val="left"/>
            </w:pPr>
            <w:r>
              <w:rPr>
                <w:rFonts w:ascii="Arial" w:cs="Arial" w:eastAsia="Arial" w:hAnsi="Arial"/>
                <w:color w:val="000000"/>
                <w:sz w:val="24"/>
                <w:szCs w:val="24"/>
              </w:rPr>
              <w:t xml:space="preserve">OPERADOR</w:t>
            </w:r>
          </w:p>
        </w:tc>
        <w:tc>
          <w:tcPr>
            <w:tcW w:type="dxa" w:w="19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jc w:val="left"/>
            </w:pPr>
            <w:r>
              <w:rPr>
                <w:rFonts w:ascii="Arial" w:cs="Arial" w:eastAsia="Arial" w:hAnsi="Arial"/>
                <w:color w:val="000000"/>
                <w:sz w:val="24"/>
                <w:szCs w:val="24"/>
              </w:rPr>
              <w:t xml:space="preserve">Texto</w:t>
            </w:r>
          </w:p>
        </w:tc>
        <w:tc>
          <w:tcPr>
            <w:tcW w:type="dxa" w:w="4126"/>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jc w:val="both"/>
            </w:pPr>
            <w:r>
              <w:rPr>
                <w:rFonts w:ascii="Arial" w:cs="Arial" w:eastAsia="Arial" w:hAnsi="Arial"/>
                <w:color w:val="000000"/>
                <w:sz w:val="24"/>
                <w:szCs w:val="24"/>
              </w:rPr>
              <w:t xml:space="preserve">Empresa que opera el lote según el PDF de ese año, con el nombre homologado (se corrigen nombres cortados y erratas, p. ej., PLUSPETRO → PLUSPETROL). Es el operador de ese período, no necesariamente el actual.</w:t>
            </w:r>
          </w:p>
        </w:tc>
      </w:tr>
      <w:tr>
        <w:trPr>
          <w:cantSplit/>
        </w:trPr>
        <w:tc>
          <w:tcPr>
            <w:tcW w:type="dxa" w:w="30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jc w:val="left"/>
            </w:pPr>
            <w:r>
              <w:rPr>
                <w:rFonts w:ascii="Arial" w:cs="Arial" w:eastAsia="Arial" w:hAnsi="Arial"/>
                <w:color w:val="000000"/>
                <w:sz w:val="24"/>
                <w:szCs w:val="24"/>
              </w:rPr>
              <w:t xml:space="preserve">OPERADOR_ORIGINAL</w:t>
            </w:r>
          </w:p>
        </w:tc>
        <w:tc>
          <w:tcPr>
            <w:tcW w:type="dxa" w:w="19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jc w:val="left"/>
            </w:pPr>
            <w:r>
              <w:rPr>
                <w:rFonts w:ascii="Arial" w:cs="Arial" w:eastAsia="Arial" w:hAnsi="Arial"/>
                <w:color w:val="000000"/>
                <w:sz w:val="24"/>
                <w:szCs w:val="24"/>
              </w:rPr>
              <w:t xml:space="preserve">Texto</w:t>
            </w:r>
          </w:p>
        </w:tc>
        <w:tc>
          <w:tcPr>
            <w:tcW w:type="dxa" w:w="4126"/>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jc w:val="both"/>
            </w:pPr>
            <w:r>
              <w:rPr>
                <w:rFonts w:ascii="Arial" w:cs="Arial" w:eastAsia="Arial" w:hAnsi="Arial"/>
                <w:color w:val="000000"/>
                <w:sz w:val="24"/>
                <w:szCs w:val="24"/>
              </w:rPr>
              <w:t xml:space="preserve">Nombre del operador tal como aparece en el PDF; permite auditar la homologación.</w:t>
            </w:r>
          </w:p>
        </w:tc>
      </w:tr>
      <w:tr>
        <w:trPr>
          <w:cantSplit/>
        </w:trPr>
        <w:tc>
          <w:tcPr>
            <w:tcW w:type="dxa" w:w="30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jc w:val="left"/>
            </w:pPr>
            <w:r>
              <w:rPr>
                <w:rFonts w:ascii="Arial" w:cs="Arial" w:eastAsia="Arial" w:hAnsi="Arial"/>
                <w:color w:val="000000"/>
                <w:sz w:val="24"/>
                <w:szCs w:val="24"/>
              </w:rPr>
              <w:t xml:space="preserve">LOTE</w:t>
            </w:r>
          </w:p>
        </w:tc>
        <w:tc>
          <w:tcPr>
            <w:tcW w:type="dxa" w:w="19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jc w:val="left"/>
            </w:pPr>
            <w:r>
              <w:rPr>
                <w:rFonts w:ascii="Arial" w:cs="Arial" w:eastAsia="Arial" w:hAnsi="Arial"/>
                <w:color w:val="000000"/>
                <w:sz w:val="24"/>
                <w:szCs w:val="24"/>
              </w:rPr>
              <w:t xml:space="preserve">Texto (código)</w:t>
            </w:r>
          </w:p>
        </w:tc>
        <w:tc>
          <w:tcPr>
            <w:tcW w:type="dxa" w:w="4126"/>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jc w:val="both"/>
            </w:pPr>
            <w:r>
              <w:rPr>
                <w:rFonts w:ascii="Arial" w:cs="Arial" w:eastAsia="Arial" w:hAnsi="Arial"/>
                <w:color w:val="000000"/>
                <w:sz w:val="24"/>
                <w:szCs w:val="24"/>
              </w:rPr>
              <w:t xml:space="preserve">Código homologado del contrato, sin la palabra «Lote» y con guion estándar (p. ej., 192, 1-AB, 8, 95, Z-2B, 31-B/D, X). Los contratos temporales conservan el sufijo (T).</w:t>
            </w:r>
          </w:p>
        </w:tc>
      </w:tr>
      <w:tr>
        <w:trPr>
          <w:cantSplit/>
        </w:trPr>
        <w:tc>
          <w:tcPr>
            <w:tcW w:type="dxa" w:w="30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jc w:val="left"/>
            </w:pPr>
            <w:r>
              <w:rPr>
                <w:rFonts w:ascii="Arial" w:cs="Arial" w:eastAsia="Arial" w:hAnsi="Arial"/>
                <w:color w:val="000000"/>
                <w:sz w:val="24"/>
                <w:szCs w:val="24"/>
              </w:rPr>
              <w:t xml:space="preserve">LOTE_HISTORICO</w:t>
            </w:r>
          </w:p>
        </w:tc>
        <w:tc>
          <w:tcPr>
            <w:tcW w:type="dxa" w:w="19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jc w:val="left"/>
            </w:pPr>
            <w:r>
              <w:rPr>
                <w:rFonts w:ascii="Arial" w:cs="Arial" w:eastAsia="Arial" w:hAnsi="Arial"/>
                <w:color w:val="000000"/>
                <w:sz w:val="24"/>
                <w:szCs w:val="24"/>
              </w:rPr>
              <w:t xml:space="preserve">Texto (código)</w:t>
            </w:r>
          </w:p>
        </w:tc>
        <w:tc>
          <w:tcPr>
            <w:tcW w:type="dxa" w:w="4126"/>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jc w:val="both"/>
            </w:pPr>
            <w:r>
              <w:rPr>
                <w:rFonts w:ascii="Arial" w:cs="Arial" w:eastAsia="Arial" w:hAnsi="Arial"/>
                <w:color w:val="000000"/>
                <w:sz w:val="24"/>
                <w:szCs w:val="24"/>
              </w:rPr>
              <w:t xml:space="preserve">Agrupa los contratos que corresponden al mismo campo a lo largo del tiempo (p. ej., 1-AB y 192 → 1-AB/192). No lleva el sufijo (T). Se usa para series largas y rankings.</w:t>
            </w:r>
          </w:p>
        </w:tc>
      </w:tr>
      <w:tr>
        <w:trPr>
          <w:cantSplit/>
        </w:trPr>
        <w:tc>
          <w:tcPr>
            <w:tcW w:type="dxa" w:w="30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jc w:val="left"/>
            </w:pPr>
            <w:r>
              <w:rPr>
                <w:rFonts w:ascii="Arial" w:cs="Arial" w:eastAsia="Arial" w:hAnsi="Arial"/>
                <w:color w:val="000000"/>
                <w:sz w:val="24"/>
                <w:szCs w:val="24"/>
              </w:rPr>
              <w:t xml:space="preserve">LOTE_ORIGINAL</w:t>
            </w:r>
          </w:p>
        </w:tc>
        <w:tc>
          <w:tcPr>
            <w:tcW w:type="dxa" w:w="19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jc w:val="left"/>
            </w:pPr>
            <w:r>
              <w:rPr>
                <w:rFonts w:ascii="Arial" w:cs="Arial" w:eastAsia="Arial" w:hAnsi="Arial"/>
                <w:color w:val="000000"/>
                <w:sz w:val="24"/>
                <w:szCs w:val="24"/>
              </w:rPr>
              <w:t xml:space="preserve">Texto</w:t>
            </w:r>
          </w:p>
        </w:tc>
        <w:tc>
          <w:tcPr>
            <w:tcW w:type="dxa" w:w="4126"/>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jc w:val="both"/>
            </w:pPr>
            <w:r>
              <w:rPr>
                <w:rFonts w:ascii="Arial" w:cs="Arial" w:eastAsia="Arial" w:hAnsi="Arial"/>
                <w:color w:val="000000"/>
                <w:sz w:val="24"/>
                <w:szCs w:val="24"/>
              </w:rPr>
              <w:t xml:space="preserve">Lote tal como aparece escrito en el PDF (p. ej., «31-C ( LGN )», «Z - 2B»); permite auditar.</w:t>
            </w:r>
          </w:p>
        </w:tc>
      </w:tr>
      <w:tr>
        <w:trPr>
          <w:cantSplit/>
        </w:trPr>
        <w:tc>
          <w:tcPr>
            <w:tcW w:type="dxa" w:w="30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jc w:val="left"/>
            </w:pPr>
            <w:r>
              <w:rPr>
                <w:rFonts w:ascii="Arial" w:cs="Arial" w:eastAsia="Arial" w:hAnsi="Arial"/>
                <w:color w:val="000000"/>
                <w:sz w:val="24"/>
                <w:szCs w:val="24"/>
              </w:rPr>
              <w:t xml:space="preserve">PRODUCTO</w:t>
            </w:r>
          </w:p>
        </w:tc>
        <w:tc>
          <w:tcPr>
            <w:tcW w:type="dxa" w:w="19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jc w:val="left"/>
            </w:pPr>
            <w:r>
              <w:rPr>
                <w:rFonts w:ascii="Arial" w:cs="Arial" w:eastAsia="Arial" w:hAnsi="Arial"/>
                <w:color w:val="000000"/>
                <w:sz w:val="24"/>
                <w:szCs w:val="24"/>
              </w:rPr>
              <w:t xml:space="preserve">Texto</w:t>
            </w:r>
          </w:p>
        </w:tc>
        <w:tc>
          <w:tcPr>
            <w:tcW w:type="dxa" w:w="4126"/>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jc w:val="both"/>
            </w:pPr>
            <w:r>
              <w:rPr>
                <w:rFonts w:ascii="Arial" w:cs="Arial" w:eastAsia="Arial" w:hAnsi="Arial"/>
                <w:color w:val="000000"/>
                <w:sz w:val="24"/>
                <w:szCs w:val="24"/>
              </w:rPr>
              <w:t xml:space="preserve">Siempre GAS NATURAL.</w:t>
            </w:r>
          </w:p>
        </w:tc>
      </w:tr>
      <w:tr>
        <w:trPr>
          <w:cantSplit/>
        </w:trPr>
        <w:tc>
          <w:tcPr>
            <w:tcW w:type="dxa" w:w="30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jc w:val="left"/>
            </w:pPr>
            <w:r>
              <w:rPr>
                <w:rFonts w:ascii="Arial" w:cs="Arial" w:eastAsia="Arial" w:hAnsi="Arial"/>
                <w:color w:val="000000"/>
                <w:sz w:val="24"/>
                <w:szCs w:val="24"/>
              </w:rPr>
              <w:t xml:space="preserve">MPC</w:t>
            </w:r>
          </w:p>
        </w:tc>
        <w:tc>
          <w:tcPr>
            <w:tcW w:type="dxa" w:w="19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jc w:val="left"/>
            </w:pPr>
            <w:r>
              <w:rPr>
                <w:rFonts w:ascii="Arial" w:cs="Arial" w:eastAsia="Arial" w:hAnsi="Arial"/>
                <w:color w:val="000000"/>
                <w:sz w:val="24"/>
                <w:szCs w:val="24"/>
              </w:rPr>
              <w:t xml:space="preserve">Decimal, miles de pies cúbicos</w:t>
            </w:r>
          </w:p>
        </w:tc>
        <w:tc>
          <w:tcPr>
            <w:tcW w:type="dxa" w:w="4126"/>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jc w:val="both"/>
            </w:pPr>
            <w:r>
              <w:rPr>
                <w:rFonts w:ascii="Arial" w:cs="Arial" w:eastAsia="Arial" w:hAnsi="Arial"/>
                <w:color w:val="000000"/>
                <w:sz w:val="24"/>
                <w:szCs w:val="24"/>
              </w:rPr>
              <w:t xml:space="preserve">Gas natural fiscalizado del mes.</w:t>
            </w:r>
          </w:p>
        </w:tc>
      </w:tr>
      <w:tr>
        <w:trPr>
          <w:cantSplit/>
        </w:trPr>
        <w:tc>
          <w:tcPr>
            <w:tcW w:type="dxa" w:w="30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jc w:val="left"/>
            </w:pPr>
            <w:r>
              <w:rPr>
                <w:rFonts w:ascii="Arial" w:cs="Arial" w:eastAsia="Arial" w:hAnsi="Arial"/>
                <w:color w:val="000000"/>
                <w:sz w:val="24"/>
                <w:szCs w:val="24"/>
              </w:rPr>
              <w:t xml:space="preserve">MMPCD</w:t>
            </w:r>
          </w:p>
        </w:tc>
        <w:tc>
          <w:tcPr>
            <w:tcW w:type="dxa" w:w="19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jc w:val="left"/>
            </w:pPr>
            <w:r>
              <w:rPr>
                <w:rFonts w:ascii="Arial" w:cs="Arial" w:eastAsia="Arial" w:hAnsi="Arial"/>
                <w:color w:val="000000"/>
                <w:sz w:val="24"/>
                <w:szCs w:val="24"/>
              </w:rPr>
              <w:t xml:space="preserve">Decimal, millones de pies cúbicos por día</w:t>
            </w:r>
          </w:p>
        </w:tc>
        <w:tc>
          <w:tcPr>
            <w:tcW w:type="dxa" w:w="4126"/>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jc w:val="both"/>
            </w:pPr>
            <w:r>
              <w:rPr>
                <w:rFonts w:ascii="Arial" w:cs="Arial" w:eastAsia="Arial" w:hAnsi="Arial"/>
                <w:color w:val="000000"/>
                <w:sz w:val="24"/>
                <w:szCs w:val="24"/>
              </w:rPr>
              <w:t xml:space="preserve">MPC ÷ días del mes ÷ 1 000, con tres decimales.</w:t>
            </w:r>
          </w:p>
        </w:tc>
      </w:tr>
      <w:tr>
        <w:trPr>
          <w:cantSplit/>
        </w:trPr>
        <w:tc>
          <w:tcPr>
            <w:tcW w:type="dxa" w:w="30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jc w:val="left"/>
            </w:pPr>
            <w:r>
              <w:rPr>
                <w:rFonts w:ascii="Arial" w:cs="Arial" w:eastAsia="Arial" w:hAnsi="Arial"/>
                <w:color w:val="000000"/>
                <w:sz w:val="24"/>
                <w:szCs w:val="24"/>
              </w:rPr>
              <w:t xml:space="preserve">ESTADO_FILA</w:t>
            </w:r>
          </w:p>
        </w:tc>
        <w:tc>
          <w:tcPr>
            <w:tcW w:type="dxa" w:w="19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jc w:val="left"/>
            </w:pPr>
            <w:r>
              <w:rPr>
                <w:rFonts w:ascii="Arial" w:cs="Arial" w:eastAsia="Arial" w:hAnsi="Arial"/>
                <w:color w:val="000000"/>
                <w:sz w:val="24"/>
                <w:szCs w:val="24"/>
              </w:rPr>
              <w:t xml:space="preserve">Texto (código)</w:t>
            </w:r>
          </w:p>
        </w:tc>
        <w:tc>
          <w:tcPr>
            <w:tcW w:type="dxa" w:w="4126"/>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jc w:val="both"/>
            </w:pPr>
            <w:r>
              <w:rPr>
                <w:rFonts w:ascii="Arial" w:cs="Arial" w:eastAsia="Arial" w:hAnsi="Arial"/>
                <w:color w:val="000000"/>
                <w:sz w:val="24"/>
                <w:szCs w:val="24"/>
              </w:rPr>
              <w:t xml:space="preserve">OK, REVISAR o TRANSCRITO (1994–2000). Como el PDF redondea cada celda, se acepta hasta 6 MPC de diferencia entre la suma de los meses y el total del lote.</w:t>
            </w:r>
          </w:p>
        </w:tc>
      </w:tr>
      <w:tr>
        <w:trPr>
          <w:cantSplit/>
        </w:trPr>
        <w:tc>
          <w:tcPr>
            <w:tcW w:type="dxa" w:w="3000"/>
            <w:tcBorders>
              <w:top w:val="none" w:color="FFFFFF" w:sz="0"/>
              <w:left w:val="none" w:color="FFFFFF" w:sz="0"/>
              <w:bottom w:val="single" w:color="000000" w:sz="6"/>
              <w:right w:val="none" w:color="FFFFFF" w:sz="0"/>
            </w:tcBorders>
            <w:tcMar>
              <w:top w:type="dxa" w:w="60"/>
              <w:left w:type="dxa" w:w="100"/>
              <w:bottom w:type="dxa" w:w="60"/>
              <w:right w:type="dxa" w:w="100"/>
            </w:tcMar>
          </w:tcPr>
          <w:p>
            <w:pPr>
              <w:spacing w:line="240"/>
              <w:jc w:val="left"/>
            </w:pPr>
            <w:r>
              <w:rPr>
                <w:rFonts w:ascii="Arial" w:cs="Arial" w:eastAsia="Arial" w:hAnsi="Arial"/>
                <w:color w:val="000000"/>
                <w:sz w:val="24"/>
                <w:szCs w:val="24"/>
              </w:rPr>
              <w:t xml:space="preserve">FUENTE</w:t>
            </w:r>
          </w:p>
        </w:tc>
        <w:tc>
          <w:tcPr>
            <w:tcW w:type="dxa" w:w="1900"/>
            <w:tcBorders>
              <w:top w:val="none" w:color="FFFFFF" w:sz="0"/>
              <w:left w:val="none" w:color="FFFFFF" w:sz="0"/>
              <w:bottom w:val="single" w:color="000000" w:sz="6"/>
              <w:right w:val="none" w:color="FFFFFF" w:sz="0"/>
            </w:tcBorders>
            <w:tcMar>
              <w:top w:type="dxa" w:w="60"/>
              <w:left w:type="dxa" w:w="100"/>
              <w:bottom w:type="dxa" w:w="60"/>
              <w:right w:type="dxa" w:w="100"/>
            </w:tcMar>
          </w:tcPr>
          <w:p>
            <w:pPr>
              <w:spacing w:line="240"/>
              <w:jc w:val="left"/>
            </w:pPr>
            <w:r>
              <w:rPr>
                <w:rFonts w:ascii="Arial" w:cs="Arial" w:eastAsia="Arial" w:hAnsi="Arial"/>
                <w:color w:val="000000"/>
                <w:sz w:val="24"/>
                <w:szCs w:val="24"/>
              </w:rPr>
              <w:t xml:space="preserve">Texto</w:t>
            </w:r>
          </w:p>
        </w:tc>
        <w:tc>
          <w:tcPr>
            <w:tcW w:type="dxa" w:w="4126"/>
            <w:tcBorders>
              <w:top w:val="none" w:color="FFFFFF" w:sz="0"/>
              <w:left w:val="none" w:color="FFFFFF" w:sz="0"/>
              <w:bottom w:val="single" w:color="000000" w:sz="6"/>
              <w:right w:val="none" w:color="FFFFFF" w:sz="0"/>
            </w:tcBorders>
            <w:tcMar>
              <w:top w:type="dxa" w:w="60"/>
              <w:left w:type="dxa" w:w="100"/>
              <w:bottom w:type="dxa" w:w="60"/>
              <w:right w:type="dxa" w:w="100"/>
            </w:tcMar>
          </w:tcPr>
          <w:p>
            <w:pPr>
              <w:spacing w:line="240"/>
              <w:jc w:val="both"/>
            </w:pPr>
            <w:r>
              <w:rPr>
                <w:rFonts w:ascii="Arial" w:cs="Arial" w:eastAsia="Arial" w:hAnsi="Arial"/>
                <w:color w:val="000000"/>
                <w:sz w:val="24"/>
                <w:szCs w:val="24"/>
              </w:rPr>
              <w:t xml:space="preserve">PDF de origen.</w:t>
            </w:r>
          </w:p>
        </w:tc>
      </w:tr>
    </w:tbl>
    <w:p>
      <w:pPr>
        <w:spacing w:after="240" w:line="480"/>
        <w:jc w:val="both"/>
      </w:pPr>
      <w:r>
        <w:rPr>
          <w:rFonts w:ascii="Arial" w:cs="Arial" w:eastAsia="Arial" w:hAnsi="Arial"/>
          <w:i/>
          <w:iCs/>
          <w:color w:val="000000"/>
          <w:sz w:val="24"/>
          <w:szCs w:val="24"/>
        </w:rPr>
        <w:t xml:space="preserve">Nota.</w:t>
      </w:r>
      <w:r>
        <w:rPr>
          <w:rFonts w:ascii="Arial" w:cs="Arial" w:eastAsia="Arial" w:hAnsi="Arial"/>
          <w:color w:val="000000"/>
          <w:sz w:val="24"/>
          <w:szCs w:val="24"/>
        </w:rPr>
        <w:t xml:space="preserve"> </w:t>
      </w:r>
      <w:r>
        <w:rPr>
          <w:rFonts w:ascii="Arial" w:cs="Arial" w:eastAsia="Arial" w:hAnsi="Arial"/>
          <w:color w:val="000000"/>
          <w:sz w:val="24"/>
          <w:szCs w:val="24"/>
        </w:rPr>
        <w:t xml:space="preserve">Se descartan la versión en MMBTU, la producción «de campo» y los balances de gas del PDF.</w:t>
      </w:r>
    </w:p>
    <w:p>
      <w:pPr>
        <w:keepNext/>
        <w:spacing w:line="480"/>
        <w:jc w:val="center"/>
      </w:pPr>
      <w:r>
        <w:rPr>
          <w:rFonts w:ascii="Arial" w:cs="Arial" w:eastAsia="Arial" w:hAnsi="Arial"/>
          <w:b/>
          <w:bCs/>
          <w:color w:val="000000"/>
          <w:sz w:val="24"/>
          <w:szCs w:val="24"/>
        </w:rPr>
        <w:t xml:space="preserve">Referencias</w:t>
      </w:r>
    </w:p>
    <w:p>
      <w:pPr>
        <w:spacing w:line="480"/>
        <w:ind w:left="720" w:hanging="720"/>
        <w:jc w:val="both"/>
      </w:pPr>
      <w:r>
        <w:rPr>
          <w:rFonts w:ascii="Arial" w:cs="Arial" w:eastAsia="Arial" w:hAnsi="Arial"/>
          <w:color w:val="000000"/>
          <w:sz w:val="24"/>
          <w:szCs w:val="24"/>
        </w:rPr>
        <w:t xml:space="preserve">PERUPETRO S.A. (s. f.-c). </w:t>
      </w:r>
      <w:r>
        <w:rPr>
          <w:rFonts w:ascii="Arial" w:cs="Arial" w:eastAsia="Arial" w:hAnsi="Arial"/>
          <w:i/>
          <w:iCs/>
          <w:color w:val="000000"/>
          <w:sz w:val="24"/>
          <w:szCs w:val="24"/>
        </w:rPr>
        <w:t xml:space="preserve">Estadística petrolera</w:t>
      </w:r>
      <w:r>
        <w:rPr>
          <w:rFonts w:ascii="Arial" w:cs="Arial" w:eastAsia="Arial" w:hAnsi="Arial"/>
          <w:color w:val="000000"/>
          <w:sz w:val="24"/>
          <w:szCs w:val="24"/>
        </w:rPr>
        <w:t xml:space="preserve"> [Estadísticas anuales y mensuales de hidrocarburos en PDF]. Recuperado el 20 de octubre de 2026, de https://www.perupetro.com.pe</w:t>
      </w:r>
    </w:p>
    <w:sectPr>
      <w:head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000000"/>
        <w:sz w:val="24"/>
        <w:szCs w:val="24"/>
      </w:rPr>
      <w:fldChar w:fldCharType="begin"/>
      <w:instrText xml:space="preserve">PAGE</w:instrText>
      <w:fldChar w:fldCharType="separate"/>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00000"/>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Proyecto Petróleo (scraper-mef)</dc:creator>
  <cp:lastModifiedBy>Un-named</cp:lastModifiedBy>
  <cp:revision>1</cp:revision>
  <dcterms:created xsi:type="dcterms:W3CDTF">2026-10-21T16:31:52.786Z</dcterms:created>
  <dcterms:modified xsi:type="dcterms:W3CDTF">2026-10-21T16:31:52.786Z</dcterms:modified>
</cp:coreProperties>
</file>

<file path=docProps/custom.xml><?xml version="1.0" encoding="utf-8"?>
<Properties xmlns="http://schemas.openxmlformats.org/officeDocument/2006/custom-properties" xmlns:vt="http://schemas.openxmlformats.org/officeDocument/2006/docPropsVTypes"/>
</file>