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MEJORAS IMPLEMENTADAS EN LOS CÓDIGOS DE EXTRACCIÓN Y PROCESAMIENTO DE INFORMACIÓN FISCAL</w:t>
      </w:r>
    </w:p>
    <w:p>
      <w:pPr>
        <w:spacing w:after="320"/>
        <w:jc w:val="center"/>
      </w:pPr>
      <w:r>
        <w:rPr>
          <w:rFonts w:ascii="Arial" w:cs="Arial" w:eastAsia="Arial" w:hAnsi="Arial"/>
          <w:sz w:val="24"/>
          <w:szCs w:val="24"/>
        </w:rPr>
        <w:t xml:space="preserve">Consulta Amigable del MEF · Loreto, San Martín y Ucayali</w:t>
      </w:r>
    </w:p>
    <w:p>
      <w:pPr>
        <w:pStyle w:val="Heading1"/>
        <w:spacing w:after="120" w:before="240"/>
        <w:jc w:val="both"/>
      </w:pPr>
      <w:r>
        <w:rPr>
          <w:rFonts w:ascii="Arial" w:cs="Arial" w:eastAsia="Arial" w:hAnsi="Arial"/>
          <w:b/>
          <w:bCs/>
          <w:sz w:val="24"/>
          <w:szCs w:val="24"/>
        </w:rPr>
        <w:t xml:space="preserve">1. Introducción</w:t>
      </w:r>
    </w:p>
    <w:p>
      <w:pPr>
        <w:spacing w:after="160" w:line="300"/>
        <w:jc w:val="both"/>
      </w:pPr>
      <w:r>
        <w:rPr>
          <w:rFonts w:ascii="Arial" w:cs="Arial" w:eastAsia="Arial" w:hAnsi="Arial"/>
          <w:sz w:val="24"/>
          <w:szCs w:val="24"/>
        </w:rPr>
        <w:t xml:space="preserve">El presente documento resume la evolución de los códigos que extraen y procesan la información de ejecución presupuestal publicada por el Ministerio de Economía y Finanzas (MEF) en el portal Consulta Amigable, para los departamentos de Loreto, San Martín y Ucayali. Se describen las mejoras incorporadas desde los primeros scrapers, diseñados para una sola tarea, hasta la versión actual, compuesta por un scraper unificado y un notebook de procesamiento que genera los cuadros fiscales de cada departamento. También se detallan la corrección del servicio de la deuda, la ampliación del rango de años y los avances en eficiencia, junto con los resultados obtenidos en las corridas reales.</w:t>
      </w:r>
    </w:p>
    <w:p>
      <w:pPr>
        <w:pStyle w:val="Heading1"/>
        <w:spacing w:after="120" w:before="240"/>
        <w:jc w:val="both"/>
      </w:pPr>
      <w:r>
        <w:rPr>
          <w:rFonts w:ascii="Arial" w:cs="Arial" w:eastAsia="Arial" w:hAnsi="Arial"/>
          <w:b/>
          <w:bCs/>
          <w:sz w:val="24"/>
          <w:szCs w:val="24"/>
        </w:rPr>
        <w:t xml:space="preserve">2. Punto de partida: scrapers independientes</w:t>
      </w:r>
    </w:p>
    <w:p>
      <w:pPr>
        <w:spacing w:after="160" w:line="300"/>
        <w:jc w:val="both"/>
      </w:pPr>
      <w:r>
        <w:rPr>
          <w:rFonts w:ascii="Arial" w:cs="Arial" w:eastAsia="Arial" w:hAnsi="Arial"/>
          <w:sz w:val="24"/>
          <w:szCs w:val="24"/>
        </w:rPr>
        <w:t xml:space="preserve">La primera etapa del proyecto se basó en varios notebooks de Google Colab independientes, cada uno dedicado a una consulta específica: devengado mensual por función del Gobierno Regional, del Gobierno Nacional y de las municipalidades, y PIM anual por función y por municipalidad. Todos se limitaban a la genérica 2.6, Adquisición de activos no financieros (inversión), y guardaban sus resultados en carpetas de Google Drive identificadas por su código.</w:t>
      </w:r>
    </w:p>
    <w:p>
      <w:pPr>
        <w:spacing w:after="160" w:line="300"/>
        <w:jc w:val="both"/>
      </w:pPr>
      <w:r>
        <w:rPr>
          <w:rFonts w:ascii="Arial" w:cs="Arial" w:eastAsia="Arial" w:hAnsi="Arial"/>
          <w:sz w:val="24"/>
          <w:szCs w:val="24"/>
        </w:rPr>
        <w:t xml:space="preserve">Durante esa etapa se corrigieron problemas de base que condicionaban la calidad de los datos. Se comprobó que la URL del portal codifica la ruta de navegación y que la primera clave sin valor determina la dimensión listada; un parámetro vacío mal ubicado hacía que la consulta ignorara el filtro de departamento. Además, el devengado pasó de texto a valor numérico, los errores dejaron de ocultarse y se eliminaron consultas fijas innecesarias. Por último, se incorporaron archivos de control que comparan la suma de los meses descargados con la vista anual del MEF y confirman que las cifras mensuales pueden sumarse.</w:t>
      </w:r>
    </w:p>
    <w:p>
      <w:pPr>
        <w:pStyle w:val="Heading1"/>
        <w:spacing w:after="120" w:before="240"/>
        <w:jc w:val="both"/>
      </w:pPr>
      <w:r>
        <w:rPr>
          <w:rFonts w:ascii="Arial" w:cs="Arial" w:eastAsia="Arial" w:hAnsi="Arial"/>
          <w:b/>
          <w:bCs/>
          <w:sz w:val="24"/>
          <w:szCs w:val="24"/>
        </w:rPr>
        <w:t xml:space="preserve">3. Unificación en un solo scraper y un procesamiento automático</w:t>
      </w:r>
    </w:p>
    <w:p>
      <w:pPr>
        <w:spacing w:after="160" w:line="300"/>
        <w:jc w:val="both"/>
      </w:pPr>
      <w:r>
        <w:rPr>
          <w:rFonts w:ascii="Arial" w:cs="Arial" w:eastAsia="Arial" w:hAnsi="Arial"/>
          <w:sz w:val="24"/>
          <w:szCs w:val="24"/>
        </w:rPr>
        <w:t xml:space="preserve">La segunda etapa reemplazó los seis notebooks por un único scraper, Fiscal_Scraper, que conserva los nombres y las columnas de los archivos anteriores para no alterar los procesos que dependen de ellos. Además de la inversión por función, el nuevo código extrae el gasto por genérica, el gasto por fuente de financiamiento, la inversión por fuente y el servicio de la deuda pública (genérica 2.8). Estas extracciones cubren los tres niveles de gobierno y los tres departamentos.</w:t>
      </w:r>
    </w:p>
    <w:p>
      <w:pPr>
        <w:spacing w:after="160" w:line="300"/>
        <w:jc w:val="both"/>
      </w:pPr>
      <w:r>
        <w:rPr>
          <w:rFonts w:ascii="Arial" w:cs="Arial" w:eastAsia="Arial" w:hAnsi="Arial"/>
          <w:sz w:val="24"/>
          <w:szCs w:val="24"/>
        </w:rPr>
        <w:t xml:space="preserve">El scraper incorporó un mecanismo de autocalibración: al iniciar, identifica el formato de URL que acepta el portal, los códigos vigentes de las genéricas y la clave de la fuente de financiamiento (verificada como la clave 14). De esta forma se adapta a cambios menores del MEF sin intervención manual. También trabaja directamente sobre el Google Drive montado en Colab, con una estructura de carpetas que el propio código crea.</w:t>
      </w:r>
    </w:p>
    <w:p>
      <w:pPr>
        <w:spacing w:after="160" w:line="300"/>
        <w:jc w:val="both"/>
      </w:pPr>
      <w:r>
        <w:rPr>
          <w:rFonts w:ascii="Arial" w:cs="Arial" w:eastAsia="Arial" w:hAnsi="Arial"/>
          <w:sz w:val="24"/>
          <w:szCs w:val="24"/>
        </w:rPr>
        <w:t xml:space="preserve">En paralelo se desarrolló Fiscal_Procesamiento, que reúne todos los archivos generados y produce un libro de Excel por departamento con la estructura del cuadro manual. El libro incluye, para cada nivel de gobierno:</w:t>
      </w:r>
    </w:p>
    <w:p>
      <w:pPr>
        <w:pStyle w:val="ListParagraph"/>
        <w:numPr>
          <w:ilvl w:val="0"/>
          <w:numId w:val="2"/>
        </w:numPr>
        <w:spacing w:after="80" w:line="300"/>
        <w:jc w:val="both"/>
      </w:pPr>
      <w:r>
        <w:rPr>
          <w:rFonts w:ascii="Arial" w:cs="Arial" w:eastAsia="Arial" w:hAnsi="Arial"/>
          <w:sz w:val="24"/>
          <w:szCs w:val="24"/>
        </w:rPr>
        <w:t xml:space="preserve">el gasto por genérica y por fuente;</w:t>
      </w:r>
    </w:p>
    <w:p>
      <w:pPr>
        <w:pStyle w:val="ListParagraph"/>
        <w:numPr>
          <w:ilvl w:val="0"/>
          <w:numId w:val="2"/>
        </w:numPr>
        <w:spacing w:after="80" w:line="300"/>
        <w:jc w:val="both"/>
      </w:pPr>
      <w:r>
        <w:rPr>
          <w:rFonts w:ascii="Arial" w:cs="Arial" w:eastAsia="Arial" w:hAnsi="Arial"/>
          <w:sz w:val="24"/>
          <w:szCs w:val="24"/>
        </w:rPr>
        <w:t xml:space="preserve">la inversión por función y por fuente;</w:t>
      </w:r>
    </w:p>
    <w:p>
      <w:pPr>
        <w:pStyle w:val="ListParagraph"/>
        <w:numPr>
          <w:ilvl w:val="0"/>
          <w:numId w:val="2"/>
        </w:numPr>
        <w:spacing w:after="80" w:line="300"/>
        <w:jc w:val="both"/>
      </w:pPr>
      <w:r>
        <w:rPr>
          <w:rFonts w:ascii="Arial" w:cs="Arial" w:eastAsia="Arial" w:hAnsi="Arial"/>
          <w:sz w:val="24"/>
          <w:szCs w:val="24"/>
        </w:rPr>
        <w:t xml:space="preserve">el PIM y el avance de la inversión;</w:t>
      </w:r>
    </w:p>
    <w:p>
      <w:pPr>
        <w:pStyle w:val="ListParagraph"/>
        <w:numPr>
          <w:ilvl w:val="0"/>
          <w:numId w:val="2"/>
        </w:numPr>
        <w:spacing w:after="80" w:line="300"/>
        <w:jc w:val="both"/>
      </w:pPr>
      <w:r>
        <w:rPr>
          <w:rFonts w:ascii="Arial" w:cs="Arial" w:eastAsia="Arial" w:hAnsi="Arial"/>
          <w:sz w:val="24"/>
          <w:szCs w:val="24"/>
        </w:rPr>
        <w:t xml:space="preserve">las series en términos reales, deflactadas con el IPC de Lima (base 2007);</w:t>
      </w:r>
    </w:p>
    <w:p>
      <w:pPr>
        <w:pStyle w:val="ListParagraph"/>
        <w:numPr>
          <w:ilvl w:val="0"/>
          <w:numId w:val="2"/>
        </w:numPr>
        <w:spacing w:after="80" w:line="300"/>
        <w:jc w:val="both"/>
      </w:pPr>
      <w:r>
        <w:rPr>
          <w:rFonts w:ascii="Arial" w:cs="Arial" w:eastAsia="Arial" w:hAnsi="Arial"/>
          <w:sz w:val="24"/>
          <w:szCs w:val="24"/>
        </w:rPr>
        <w:t xml:space="preserve">la variación acumulada respecto del año anterior;</w:t>
      </w:r>
    </w:p>
    <w:p>
      <w:pPr>
        <w:pStyle w:val="ListParagraph"/>
        <w:numPr>
          <w:ilvl w:val="0"/>
          <w:numId w:val="2"/>
        </w:numPr>
        <w:spacing w:after="80" w:line="300"/>
        <w:jc w:val="both"/>
      </w:pPr>
      <w:r>
        <w:rPr>
          <w:rFonts w:ascii="Arial" w:cs="Arial" w:eastAsia="Arial" w:hAnsi="Arial"/>
          <w:sz w:val="24"/>
          <w:szCs w:val="24"/>
        </w:rPr>
        <w:t xml:space="preserve">una hoja que consolida el estado de todos los controles.</w:t>
      </w:r>
    </w:p>
    <w:p>
      <w:pPr>
        <w:pStyle w:val="Heading1"/>
        <w:spacing w:after="120" w:before="240"/>
        <w:jc w:val="both"/>
      </w:pPr>
      <w:r>
        <w:rPr>
          <w:rFonts w:ascii="Arial" w:cs="Arial" w:eastAsia="Arial" w:hAnsi="Arial"/>
          <w:b/>
          <w:bCs/>
          <w:sz w:val="24"/>
          <w:szCs w:val="24"/>
        </w:rPr>
        <w:t xml:space="preserve">4. Corrección del servicio de la deuda</w:t>
      </w:r>
    </w:p>
    <w:p>
      <w:pPr>
        <w:spacing w:after="160" w:line="300"/>
        <w:jc w:val="both"/>
      </w:pPr>
      <w:r>
        <w:rPr>
          <w:rFonts w:ascii="Arial" w:cs="Arial" w:eastAsia="Arial" w:hAnsi="Arial"/>
          <w:sz w:val="24"/>
          <w:szCs w:val="24"/>
        </w:rPr>
        <w:t xml:space="preserve">Al revisar los primeros resultados se detectó que la fila SERVICIO DE LA DEUDA aparecía en cero y que sus componentes, intereses y comisiones, y amortización, quedaban vacíos. El diagnóstico identificó dos causas complementarias.</w:t>
      </w:r>
    </w:p>
    <w:p>
      <w:pPr>
        <w:spacing w:after="160" w:line="300"/>
        <w:jc w:val="both"/>
      </w:pPr>
      <w:r>
        <w:rPr>
          <w:rFonts w:ascii="Arial" w:cs="Arial" w:eastAsia="Arial" w:hAnsi="Arial"/>
          <w:b/>
          <w:bCs/>
          <w:sz w:val="24"/>
          <w:szCs w:val="24"/>
        </w:rPr>
        <w:t xml:space="preserve">En el scraper, </w:t>
      </w:r>
      <w:r>
        <w:rPr>
          <w:rFonts w:ascii="Arial" w:cs="Arial" w:eastAsia="Arial" w:hAnsi="Arial"/>
          <w:sz w:val="24"/>
          <w:szCs w:val="24"/>
        </w:rPr>
        <w:t xml:space="preserve">la búsqueda de la clave de la sub-genérica, necesaria para separar intereses y amortización, aceptaba cualquier clave que devolviera una tabla, aunque esta correspondiera a otra dimensión, y no verificaba su contenido. Se corrigió exigiendo que todas las filas listadas sean rubros de deuda, ampliando la búsqueda a los tres departamentos, los tres niveles de gobierno y dos años, y limitando el número de consultas para no activar la protección antibots del portal. La corrida real confirmó que la clave correcta es la 25. Además, cada archivo de deuda guarda ahora una fila con el total de la genérica 2.8, aunque falle el desglose.</w:t>
      </w:r>
    </w:p>
    <w:p>
      <w:pPr>
        <w:spacing w:after="160" w:line="300"/>
        <w:jc w:val="both"/>
      </w:pPr>
      <w:r>
        <w:rPr>
          <w:rFonts w:ascii="Arial" w:cs="Arial" w:eastAsia="Arial" w:hAnsi="Arial"/>
          <w:b/>
          <w:bCs/>
          <w:sz w:val="24"/>
          <w:szCs w:val="24"/>
        </w:rPr>
        <w:t xml:space="preserve">En el procesamiento, </w:t>
      </w:r>
      <w:r>
        <w:rPr>
          <w:rFonts w:ascii="Arial" w:cs="Arial" w:eastAsia="Arial" w:hAnsi="Arial"/>
          <w:sz w:val="24"/>
          <w:szCs w:val="24"/>
        </w:rPr>
        <w:t xml:space="preserve">el subtotal se calculaba únicamente como la suma de sus componentes, por lo que cualquier falta de desglose lo dejaba en cero. Ahora el subtotal se toma de la genérica 2.8 del archivo de genéricas, que siempre se extrae. Además, las filas sin clasificar de archivos antiguos se reclasifican según su descripción, los meses sin deuda se registran como cero y se agregó una fila de control que verifica que el total coincida con la suma de intereses y amortización.</w:t>
      </w:r>
    </w:p>
    <w:p>
      <w:pPr>
        <w:spacing w:after="160" w:line="300"/>
        <w:jc w:val="both"/>
      </w:pPr>
      <w:r>
        <w:rPr>
          <w:rFonts w:ascii="Arial" w:cs="Arial" w:eastAsia="Arial" w:hAnsi="Arial"/>
          <w:sz w:val="24"/>
          <w:szCs w:val="24"/>
        </w:rPr>
        <w:t xml:space="preserve">Como resultado, los registros de deuda de los gobiernos locales pasaron de 115 a 176 filas, porque cada mes con deuda incluye ahora el total y su desglose. Los controles de deuda de los gobiernos regionales y locales cuadran en su totalidad.</w:t>
      </w:r>
    </w:p>
    <w:p>
      <w:pPr>
        <w:pStyle w:val="Heading1"/>
        <w:spacing w:after="120" w:before="240"/>
        <w:jc w:val="both"/>
      </w:pPr>
      <w:r>
        <w:rPr>
          <w:rFonts w:ascii="Arial" w:cs="Arial" w:eastAsia="Arial" w:hAnsi="Arial"/>
          <w:b/>
          <w:bCs/>
          <w:sz w:val="24"/>
          <w:szCs w:val="24"/>
        </w:rPr>
        <w:t xml:space="preserve">5. Rango de años en una sola corrida</w:t>
      </w:r>
    </w:p>
    <w:p>
      <w:pPr>
        <w:spacing w:after="160" w:line="300"/>
        <w:jc w:val="both"/>
      </w:pPr>
      <w:r>
        <w:rPr>
          <w:rFonts w:ascii="Arial" w:cs="Arial" w:eastAsia="Arial" w:hAnsi="Arial"/>
          <w:sz w:val="24"/>
          <w:szCs w:val="24"/>
        </w:rPr>
        <w:t xml:space="preserve">Originalmente el scraper procesaba un único año por ejecución. Se incorporaron los parámetros AÑO_INICIO, MES_INICIO, AÑO_FIN y MES_FIN, que permiten extraer en una sola corrida, por ejemplo, de enero de 2025 a septiembre de 2026, con el último mes cerrado determinado automáticamente. Los archivos, controles y PIM se siguen generando por año, de modo que el procesamiento no requirió cambios. El código además valida el rango antes de comenzar e informa con claridad si se indica un año futuro o meses invertidos.</w:t>
      </w:r>
    </w:p>
    <w:p>
      <w:pPr>
        <w:pStyle w:val="Heading1"/>
        <w:spacing w:after="120" w:before="240"/>
        <w:jc w:val="both"/>
      </w:pPr>
      <w:r>
        <w:rPr>
          <w:rFonts w:ascii="Arial" w:cs="Arial" w:eastAsia="Arial" w:hAnsi="Arial"/>
          <w:b/>
          <w:bCs/>
          <w:sz w:val="24"/>
          <w:szCs w:val="24"/>
        </w:rPr>
        <w:t xml:space="preserve">6. Eficiencia en el tiempo de ejecución</w:t>
      </w:r>
    </w:p>
    <w:p>
      <w:pPr>
        <w:spacing w:after="160" w:line="300"/>
        <w:jc w:val="both"/>
      </w:pPr>
      <w:r>
        <w:rPr>
          <w:rFonts w:ascii="Arial" w:cs="Arial" w:eastAsia="Arial" w:hAnsi="Arial"/>
          <w:sz w:val="24"/>
          <w:szCs w:val="24"/>
        </w:rPr>
        <w:t xml:space="preserve">Se midió el número de consultas que realiza el scraper y se identificaron tres fuentes de demora: consultas repetidas entre bloques, el detalle por municipalidad y la nueva extracción de años ya cerrados. Sobre esa base se desarrollaron cuatro mejoras:</w:t>
      </w:r>
    </w:p>
    <w:p>
      <w:pPr>
        <w:pStyle w:val="ListParagraph"/>
        <w:numPr>
          <w:ilvl w:val="0"/>
          <w:numId w:val="2"/>
        </w:numPr>
        <w:spacing w:after="80" w:line="300"/>
        <w:jc w:val="both"/>
      </w:pPr>
      <w:r>
        <w:rPr>
          <w:rFonts w:ascii="Arial" w:cs="Arial" w:eastAsia="Arial" w:hAnsi="Arial"/>
          <w:sz w:val="24"/>
          <w:szCs w:val="24"/>
        </w:rPr>
        <w:t xml:space="preserve">una memoria que evita repetir consultas idénticas (alrededor de 13 % menos consultas);</w:t>
      </w:r>
    </w:p>
    <w:p>
      <w:pPr>
        <w:pStyle w:val="ListParagraph"/>
        <w:numPr>
          <w:ilvl w:val="0"/>
          <w:numId w:val="2"/>
        </w:numPr>
        <w:spacing w:after="80" w:line="300"/>
        <w:jc w:val="both"/>
      </w:pPr>
      <w:r>
        <w:rPr>
          <w:rFonts w:ascii="Arial" w:cs="Arial" w:eastAsia="Arial" w:hAnsi="Arial"/>
          <w:sz w:val="24"/>
          <w:szCs w:val="24"/>
        </w:rPr>
        <w:t xml:space="preserve">un control anual que consulta en paralelo y compara contra el total por función, sin bajar a cada municipalidad, lo que reduce ese paso de más de diez minutos a uno o dos;</w:t>
      </w:r>
    </w:p>
    <w:p>
      <w:pPr>
        <w:pStyle w:val="ListParagraph"/>
        <w:numPr>
          <w:ilvl w:val="0"/>
          <w:numId w:val="2"/>
        </w:numPr>
        <w:spacing w:after="80" w:line="300"/>
        <w:jc w:val="both"/>
      </w:pPr>
      <w:r>
        <w:rPr>
          <w:rFonts w:ascii="Arial" w:cs="Arial" w:eastAsia="Arial" w:hAnsi="Arial"/>
          <w:sz w:val="24"/>
          <w:szCs w:val="24"/>
        </w:rPr>
        <w:t xml:space="preserve">la opción de reutilizar los años cerrados ya guardados en Drive (alrededor de 60 % menos consultas en la corrida mensual);</w:t>
      </w:r>
    </w:p>
    <w:p>
      <w:pPr>
        <w:pStyle w:val="ListParagraph"/>
        <w:numPr>
          <w:ilvl w:val="0"/>
          <w:numId w:val="2"/>
        </w:numPr>
        <w:spacing w:after="80" w:line="300"/>
        <w:jc w:val="both"/>
      </w:pPr>
      <w:r>
        <w:rPr>
          <w:rFonts w:ascii="Arial" w:cs="Arial" w:eastAsia="Arial" w:hAnsi="Arial"/>
          <w:sz w:val="24"/>
          <w:szCs w:val="24"/>
        </w:rPr>
        <w:t xml:space="preserve">la opción de omitir el detalle municipal en funciones sin devengado.</w:t>
      </w:r>
    </w:p>
    <w:p>
      <w:pPr>
        <w:spacing w:after="160" w:line="300"/>
        <w:jc w:val="both"/>
      </w:pPr>
      <w:r>
        <w:rPr>
          <w:rFonts w:ascii="Arial" w:cs="Arial" w:eastAsia="Arial" w:hAnsi="Arial"/>
          <w:sz w:val="24"/>
          <w:szCs w:val="24"/>
        </w:rPr>
        <w:t xml:space="preserve">Una variante que procesaba el año completo en paralelo, en lugar de mes por mes, mostró en una prueba un rendimiento inferior y deja los archivos para el final del año, con riesgo de perder avance si la sesión se interrumpe. Por ello, la versión en uso procesa mes por mes y guarda cada mes al terminar, con un tiempo aproximado de cuatro minutos por mes. Queda pendiente consolidar una versión que combine este esquema con la memoria de consultas y el control acelerado.</w:t>
      </w:r>
    </w:p>
    <w:p>
      <w:pPr>
        <w:pStyle w:val="Heading1"/>
        <w:spacing w:after="120" w:before="240"/>
        <w:jc w:val="both"/>
      </w:pPr>
      <w:r>
        <w:rPr>
          <w:rFonts w:ascii="Arial" w:cs="Arial" w:eastAsia="Arial" w:hAnsi="Arial"/>
          <w:b/>
          <w:bCs/>
          <w:sz w:val="24"/>
          <w:szCs w:val="24"/>
        </w:rPr>
        <w:t xml:space="preserve">7. Validación y resultados</w:t>
      </w:r>
    </w:p>
    <w:p>
      <w:pPr>
        <w:spacing w:after="160" w:line="300"/>
        <w:jc w:val="both"/>
      </w:pPr>
      <w:r>
        <w:rPr>
          <w:rFonts w:ascii="Arial" w:cs="Arial" w:eastAsia="Arial" w:hAnsi="Arial"/>
          <w:sz w:val="24"/>
          <w:szCs w:val="24"/>
        </w:rPr>
        <w:t xml:space="preserve">Las corridas reales del scraper corregido cubrieron de enero de 2025 a septiembre de 2026 sin errores de consulta. Todos los controles mensuales contra la vista anual del MEF resultaron conformes, al igual que los controles del PIM por función (63 de 63) y del PIM por municipalidad (52 de 52). Los avisos restantes corresponden a situaciones sin deuda registrada, como el Gobierno Nacional en los tres departamentos y el Gobierno Regional de Ucayali en 2026, y no constituyen errores. El procesamiento corregido generó los libros de Loreto, San Martín y Ucayali con información de enero de 2025 a septiembre de 2026.</w:t>
      </w:r>
    </w:p>
    <w:p>
      <w:pPr>
        <w:pStyle w:val="Heading1"/>
        <w:spacing w:after="120" w:before="240"/>
        <w:jc w:val="both"/>
      </w:pPr>
      <w:r>
        <w:rPr>
          <w:rFonts w:ascii="Arial" w:cs="Arial" w:eastAsia="Arial" w:hAnsi="Arial"/>
          <w:b/>
          <w:bCs/>
          <w:sz w:val="24"/>
          <w:szCs w:val="24"/>
        </w:rPr>
        <w:t xml:space="preserve">8. Conclusión</w:t>
      </w:r>
    </w:p>
    <w:p>
      <w:pPr>
        <w:spacing w:after="160" w:line="300"/>
        <w:jc w:val="both"/>
      </w:pPr>
      <w:r>
        <w:rPr>
          <w:rFonts w:ascii="Arial" w:cs="Arial" w:eastAsia="Arial" w:hAnsi="Arial"/>
          <w:sz w:val="24"/>
          <w:szCs w:val="24"/>
        </w:rPr>
        <w:t xml:space="preserve">El proyecto evolucionó de un conjunto de scrapers aislados, limitados a la inversión, a un flujo integrado que extrae de forma validada el gasto por genérica, fuente, función y servicio de la deuda, y lo transforma automáticamente en cuadros fiscales por departamento. Las mejoras se apoyaron en tres principios: no inventar datos, hacer visibles los errores mediante controles contra el propio MEF y reducir la carga sobre el portal. Los próximos pasos son consolidar la versión más eficiente del scraper, simplificar los avisos que no representan errores y fusionar los cambios en la rama principal del repositorio.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2026-10-15T15:43:46.443Z</dcterms:created>
  <dcterms:modified xsi:type="dcterms:W3CDTF">2026-10-15T15:43:46.455Z</dcterms:modified>
</cp:coreProperties>
</file>

<file path=docProps/custom.xml><?xml version="1.0" encoding="utf-8"?>
<Properties xmlns="http://schemas.openxmlformats.org/officeDocument/2006/custom-properties" xmlns:vt="http://schemas.openxmlformats.org/officeDocument/2006/docPropsVTypes"/>
</file>