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4"/>
          <w:szCs w:val="24"/>
        </w:rPr>
        <w:t xml:space="preserve">MEJORAS IMPLEMENTADAS EN LOS CÓDIGOS FISCALES</w:t>
      </w:r>
    </w:p>
    <w:p>
      <w:pPr>
        <w:pStyle w:val="Heading1"/>
        <w:spacing w:after="120" w:before="240"/>
        <w:jc w:val="both"/>
      </w:pPr>
      <w:r>
        <w:rPr>
          <w:rFonts w:ascii="Arial" w:cs="Arial" w:eastAsia="Arial" w:hAnsi="Arial"/>
          <w:b/>
          <w:bCs/>
          <w:sz w:val="24"/>
          <w:szCs w:val="24"/>
        </w:rPr>
        <w:t xml:space="preserve">PARTE 1 · RESUMEN</w:t>
      </w:r>
    </w:p>
    <w:p>
      <w:pPr>
        <w:pStyle w:val="Heading2"/>
        <w:spacing w:after="60" w:before="160"/>
        <w:jc w:val="both"/>
      </w:pPr>
      <w:r>
        <w:rPr>
          <w:rFonts w:ascii="Arial" w:cs="Arial" w:eastAsia="Arial" w:hAnsi="Arial"/>
          <w:b/>
          <w:bCs/>
          <w:sz w:val="24"/>
          <w:szCs w:val="24"/>
        </w:rPr>
        <w:t xml:space="preserve">1. Alcance</w:t>
      </w:r>
    </w:p>
    <w:p>
      <w:pPr>
        <w:spacing w:after="120" w:line="300"/>
        <w:jc w:val="both"/>
      </w:pPr>
      <w:r>
        <w:rPr>
          <w:rFonts w:ascii="Arial" w:cs="Arial" w:eastAsia="Arial" w:hAnsi="Arial"/>
          <w:sz w:val="24"/>
          <w:szCs w:val="24"/>
        </w:rPr>
        <w:t xml:space="preserve">Se compararon los notebooks originales Fiscal_Scraper y Fiscal_Procesamiento con sus versiones modificadas, usadas en las corridas de enero de 2025 a septiembre de 2026.</w:t>
      </w:r>
    </w:p>
    <w:p>
      <w:pPr>
        <w:pStyle w:val="Heading2"/>
        <w:spacing w:after="60" w:before="160"/>
        <w:jc w:val="both"/>
      </w:pPr>
      <w:r>
        <w:rPr>
          <w:rFonts w:ascii="Arial" w:cs="Arial" w:eastAsia="Arial" w:hAnsi="Arial"/>
          <w:b/>
          <w:bCs/>
          <w:sz w:val="24"/>
          <w:szCs w:val="24"/>
        </w:rPr>
        <w:t xml:space="preserve">2. Deuda en el scraper</w:t>
      </w:r>
    </w:p>
    <w:p>
      <w:pPr>
        <w:spacing w:after="120" w:line="300"/>
        <w:jc w:val="both"/>
      </w:pPr>
      <w:r>
        <w:rPr>
          <w:rFonts w:ascii="Arial" w:cs="Arial" w:eastAsia="Arial" w:hAnsi="Arial"/>
          <w:sz w:val="24"/>
          <w:szCs w:val="24"/>
        </w:rPr>
        <w:t xml:space="preserve">La búsqueda de la clave para separar intereses y amortización ahora verifica el contenido. La clave 25 quedó confirmada en el MEF y cada mes guarda el total.</w:t>
      </w:r>
    </w:p>
    <w:p>
      <w:pPr>
        <w:pStyle w:val="Heading2"/>
        <w:spacing w:after="60" w:before="160"/>
        <w:jc w:val="both"/>
      </w:pPr>
      <w:r>
        <w:rPr>
          <w:rFonts w:ascii="Arial" w:cs="Arial" w:eastAsia="Arial" w:hAnsi="Arial"/>
          <w:b/>
          <w:bCs/>
          <w:sz w:val="24"/>
          <w:szCs w:val="24"/>
        </w:rPr>
        <w:t xml:space="preserve">3. Deuda en el procesamiento</w:t>
      </w:r>
    </w:p>
    <w:p>
      <w:pPr>
        <w:spacing w:after="120" w:line="300"/>
        <w:jc w:val="both"/>
      </w:pPr>
      <w:r>
        <w:rPr>
          <w:rFonts w:ascii="Arial" w:cs="Arial" w:eastAsia="Arial" w:hAnsi="Arial"/>
          <w:sz w:val="24"/>
          <w:szCs w:val="24"/>
        </w:rPr>
        <w:t xml:space="preserve">El subtotal SERVICIO DE LA DEUDA se toma de la genérica 2.8. Antes era la suma del desglose y quedaba en cero cuando ese desglose faltaba.</w:t>
      </w:r>
    </w:p>
    <w:p>
      <w:pPr>
        <w:pStyle w:val="Heading2"/>
        <w:spacing w:after="60" w:before="160"/>
        <w:jc w:val="both"/>
      </w:pPr>
      <w:r>
        <w:rPr>
          <w:rFonts w:ascii="Arial" w:cs="Arial" w:eastAsia="Arial" w:hAnsi="Arial"/>
          <w:b/>
          <w:bCs/>
          <w:sz w:val="24"/>
          <w:szCs w:val="24"/>
        </w:rPr>
        <w:t xml:space="preserve">4. Datos más completos</w:t>
      </w:r>
    </w:p>
    <w:p>
      <w:pPr>
        <w:spacing w:after="120" w:line="300"/>
        <w:jc w:val="both"/>
      </w:pPr>
      <w:r>
        <w:rPr>
          <w:rFonts w:ascii="Arial" w:cs="Arial" w:eastAsia="Arial" w:hAnsi="Arial"/>
          <w:sz w:val="24"/>
          <w:szCs w:val="24"/>
        </w:rPr>
        <w:t xml:space="preserve">Las filas de deuda sin clasificar se reclasifican, los meses sin deuda muestran cero y una nueva fila de control verifica que el total coincida con su desglose.</w:t>
      </w:r>
    </w:p>
    <w:p>
      <w:pPr>
        <w:pStyle w:val="Heading2"/>
        <w:spacing w:after="60" w:before="160"/>
        <w:jc w:val="both"/>
      </w:pPr>
      <w:r>
        <w:rPr>
          <w:rFonts w:ascii="Arial" w:cs="Arial" w:eastAsia="Arial" w:hAnsi="Arial"/>
          <w:b/>
          <w:bCs/>
          <w:sz w:val="24"/>
          <w:szCs w:val="24"/>
        </w:rPr>
        <w:t xml:space="preserve">5. Rango de años</w:t>
      </w:r>
    </w:p>
    <w:p>
      <w:pPr>
        <w:spacing w:after="120" w:line="300"/>
        <w:jc w:val="both"/>
      </w:pPr>
      <w:r>
        <w:rPr>
          <w:rFonts w:ascii="Arial" w:cs="Arial" w:eastAsia="Arial" w:hAnsi="Arial"/>
          <w:sz w:val="24"/>
          <w:szCs w:val="24"/>
        </w:rPr>
        <w:t xml:space="preserve">Antes se procesaba un año por corrida. Ahora se indican año y mes de inicio y de fin, y se obtienen varios años de una sola vez.</w:t>
      </w:r>
    </w:p>
    <w:p>
      <w:pPr>
        <w:pStyle w:val="Heading2"/>
        <w:spacing w:after="60" w:before="160"/>
        <w:jc w:val="both"/>
      </w:pPr>
      <w:r>
        <w:rPr>
          <w:rFonts w:ascii="Arial" w:cs="Arial" w:eastAsia="Arial" w:hAnsi="Arial"/>
          <w:b/>
          <w:bCs/>
          <w:sz w:val="24"/>
          <w:szCs w:val="24"/>
        </w:rPr>
        <w:t xml:space="preserve">6. Resultados</w:t>
      </w:r>
    </w:p>
    <w:p>
      <w:pPr>
        <w:spacing w:after="120" w:line="300"/>
        <w:jc w:val="both"/>
      </w:pPr>
      <w:r>
        <w:rPr>
          <w:rFonts w:ascii="Arial" w:cs="Arial" w:eastAsia="Arial" w:hAnsi="Arial"/>
          <w:sz w:val="24"/>
          <w:szCs w:val="24"/>
        </w:rPr>
        <w:t xml:space="preserve">Las corridas de 2025 y 2026 terminaron sin errores, con todos los controles conformes. Los registros de deuda municipal pasaron de 115 a 176 filas.</w:t>
      </w:r>
    </w:p>
    <w:p>
      <w:pPr>
        <w:pStyle w:val="Heading2"/>
        <w:spacing w:after="60" w:before="160"/>
        <w:jc w:val="both"/>
      </w:pPr>
      <w:r>
        <w:rPr>
          <w:rFonts w:ascii="Arial" w:cs="Arial" w:eastAsia="Arial" w:hAnsi="Arial"/>
          <w:b/>
          <w:bCs/>
          <w:sz w:val="24"/>
          <w:szCs w:val="24"/>
        </w:rPr>
        <w:t xml:space="preserve">7. Pendiente</w:t>
      </w:r>
    </w:p>
    <w:p>
      <w:pPr>
        <w:spacing w:after="120" w:line="300"/>
        <w:jc w:val="both"/>
      </w:pPr>
      <w:r>
        <w:rPr>
          <w:rFonts w:ascii="Arial" w:cs="Arial" w:eastAsia="Arial" w:hAnsi="Arial"/>
          <w:sz w:val="24"/>
          <w:szCs w:val="24"/>
        </w:rPr>
        <w:t xml:space="preserve">Hay que restituir en el procesamiento el filtro que ignora los archivos de prueba. Además, las mejoras de velocidad ya desarrolladas aún no se prueban en el MEF.</w:t>
      </w:r>
    </w:p>
    <w:p>
      <w:r>
        <w:br w:type="page"/>
      </w:r>
    </w:p>
    <w:p>
      <w:pPr>
        <w:pStyle w:val="Heading1"/>
        <w:spacing w:after="120" w:before="240"/>
        <w:jc w:val="both"/>
      </w:pPr>
      <w:r>
        <w:rPr>
          <w:rFonts w:ascii="Arial" w:cs="Arial" w:eastAsia="Arial" w:hAnsi="Arial"/>
          <w:b/>
          <w:bCs/>
          <w:sz w:val="24"/>
          <w:szCs w:val="24"/>
        </w:rPr>
        <w:t xml:space="preserve">PARTE 2 · EXPLICACIÓN SENCILLA</w:t>
      </w:r>
    </w:p>
    <w:p>
      <w:pPr>
        <w:pStyle w:val="Heading2"/>
        <w:spacing w:after="60" w:before="160"/>
        <w:jc w:val="both"/>
      </w:pPr>
      <w:r>
        <w:rPr>
          <w:rFonts w:ascii="Arial" w:cs="Arial" w:eastAsia="Arial" w:hAnsi="Arial"/>
          <w:b/>
          <w:bCs/>
          <w:sz w:val="24"/>
          <w:szCs w:val="24"/>
        </w:rPr>
        <w:t xml:space="preserve">¿Qué hacen estos programas?</w:t>
      </w:r>
    </w:p>
    <w:p>
      <w:pPr>
        <w:spacing w:after="120" w:line="300"/>
        <w:jc w:val="both"/>
      </w:pPr>
      <w:r>
        <w:rPr>
          <w:rFonts w:ascii="Arial" w:cs="Arial" w:eastAsia="Arial" w:hAnsi="Arial"/>
          <w:sz w:val="24"/>
          <w:szCs w:val="24"/>
        </w:rPr>
        <w:t xml:space="preserve">Son dos programas. El primero entra a la página del MEF y descarga, mes por mes, cuánto gastan e invierten el Gobierno Nacional, los gobiernos regionales y las municipalidades de Loreto, San Martín y Ucayali. El segundo toma esa información y arma un Excel por departamento, con el formato de nuestros cuadros.</w:t>
      </w:r>
    </w:p>
    <w:p>
      <w:pPr>
        <w:pStyle w:val="Heading2"/>
        <w:spacing w:after="60" w:before="160"/>
        <w:jc w:val="both"/>
      </w:pPr>
      <w:r>
        <w:rPr>
          <w:rFonts w:ascii="Arial" w:cs="Arial" w:eastAsia="Arial" w:hAnsi="Arial"/>
          <w:b/>
          <w:bCs/>
          <w:sz w:val="24"/>
          <w:szCs w:val="24"/>
        </w:rPr>
        <w:t xml:space="preserve">¿Qué problema había?</w:t>
      </w:r>
    </w:p>
    <w:p>
      <w:pPr>
        <w:spacing w:after="120" w:line="300"/>
        <w:jc w:val="both"/>
      </w:pPr>
      <w:r>
        <w:rPr>
          <w:rFonts w:ascii="Arial" w:cs="Arial" w:eastAsia="Arial" w:hAnsi="Arial"/>
          <w:sz w:val="24"/>
          <w:szCs w:val="24"/>
        </w:rPr>
        <w:t xml:space="preserve">En los cuadros, la fila del pago de la deuda salía en cero, y sus dos componentes, intereses y amortización, quedaban vacíos. Las demás cifras sí estaban bien.</w:t>
      </w:r>
    </w:p>
    <w:p>
      <w:pPr>
        <w:spacing w:after="120" w:line="300"/>
        <w:jc w:val="both"/>
      </w:pPr>
      <w:r>
        <w:rPr>
          <w:rFonts w:ascii="Arial" w:cs="Arial" w:eastAsia="Arial" w:hAnsi="Arial"/>
          <w:sz w:val="24"/>
          <w:szCs w:val="24"/>
        </w:rPr>
        <w:t xml:space="preserve">Había dos fallas. Por un lado, el programa de descarga buscaba el desglose de la deuda sin comprobar que realmente lo había encontrado. Por otro, el programa de los cuadros calculaba el total de la deuda solo con ese desglose, así que, si el desglose faltaba, el total también salía en cero.</w:t>
      </w:r>
    </w:p>
    <w:p>
      <w:pPr>
        <w:pStyle w:val="Heading2"/>
        <w:spacing w:after="60" w:before="160"/>
        <w:jc w:val="both"/>
      </w:pPr>
      <w:r>
        <w:rPr>
          <w:rFonts w:ascii="Arial" w:cs="Arial" w:eastAsia="Arial" w:hAnsi="Arial"/>
          <w:b/>
          <w:bCs/>
          <w:sz w:val="24"/>
          <w:szCs w:val="24"/>
        </w:rPr>
        <w:t xml:space="preserve">¿Qué cambiamos?</w:t>
      </w:r>
    </w:p>
    <w:p>
      <w:pPr>
        <w:pStyle w:val="ListParagraph"/>
        <w:numPr>
          <w:ilvl w:val="0"/>
          <w:numId w:val="2"/>
        </w:numPr>
        <w:spacing w:after="60" w:line="300"/>
        <w:jc w:val="both"/>
      </w:pPr>
      <w:r>
        <w:rPr>
          <w:rFonts w:ascii="Arial" w:cs="Arial" w:eastAsia="Arial" w:hAnsi="Arial"/>
          <w:b/>
          <w:bCs/>
          <w:sz w:val="24"/>
          <w:szCs w:val="24"/>
        </w:rPr>
        <w:t xml:space="preserve">Deuda corregida. </w:t>
      </w:r>
      <w:r>
        <w:rPr>
          <w:rFonts w:ascii="Arial" w:cs="Arial" w:eastAsia="Arial" w:hAnsi="Arial"/>
          <w:sz w:val="24"/>
          <w:szCs w:val="24"/>
        </w:rPr>
        <w:t xml:space="preserve">Ahora el programa comprueba que encontró el desglose correcto y guarda también el total. Los cuadros toman el total directamente de la cifra oficial de deuda, así que ya no dependen del desglose.</w:t>
      </w:r>
    </w:p>
    <w:p>
      <w:pPr>
        <w:pStyle w:val="ListParagraph"/>
        <w:numPr>
          <w:ilvl w:val="0"/>
          <w:numId w:val="2"/>
        </w:numPr>
        <w:spacing w:after="60" w:line="300"/>
        <w:jc w:val="both"/>
      </w:pPr>
      <w:r>
        <w:rPr>
          <w:rFonts w:ascii="Arial" w:cs="Arial" w:eastAsia="Arial" w:hAnsi="Arial"/>
          <w:b/>
          <w:bCs/>
          <w:sz w:val="24"/>
          <w:szCs w:val="24"/>
        </w:rPr>
        <w:t xml:space="preserve">Un control más. </w:t>
      </w:r>
      <w:r>
        <w:rPr>
          <w:rFonts w:ascii="Arial" w:cs="Arial" w:eastAsia="Arial" w:hAnsi="Arial"/>
          <w:sz w:val="24"/>
          <w:szCs w:val="24"/>
        </w:rPr>
        <w:t xml:space="preserve">Se agregó una fila que verifica que el total de la deuda sea igual a intereses más amortización. Si no cuadra, se ve de inmediato.</w:t>
      </w:r>
    </w:p>
    <w:p>
      <w:pPr>
        <w:pStyle w:val="ListParagraph"/>
        <w:numPr>
          <w:ilvl w:val="0"/>
          <w:numId w:val="2"/>
        </w:numPr>
        <w:spacing w:after="60" w:line="300"/>
        <w:jc w:val="both"/>
      </w:pPr>
      <w:r>
        <w:rPr>
          <w:rFonts w:ascii="Arial" w:cs="Arial" w:eastAsia="Arial" w:hAnsi="Arial"/>
          <w:b/>
          <w:bCs/>
          <w:sz w:val="24"/>
          <w:szCs w:val="24"/>
        </w:rPr>
        <w:t xml:space="preserve">Varios años de una vez. </w:t>
      </w:r>
      <w:r>
        <w:rPr>
          <w:rFonts w:ascii="Arial" w:cs="Arial" w:eastAsia="Arial" w:hAnsi="Arial"/>
          <w:sz w:val="24"/>
          <w:szCs w:val="24"/>
        </w:rPr>
        <w:t xml:space="preserve">Antes había que correr el programa una vez por año. Ahora basta con indicar desde qué mes y hasta qué mes, por ejemplo de enero de 2025 a septiembre de 2026.</w:t>
      </w:r>
    </w:p>
    <w:p>
      <w:pPr>
        <w:pStyle w:val="Heading2"/>
        <w:spacing w:after="60" w:before="160"/>
        <w:jc w:val="both"/>
      </w:pPr>
      <w:r>
        <w:rPr>
          <w:rFonts w:ascii="Arial" w:cs="Arial" w:eastAsia="Arial" w:hAnsi="Arial"/>
          <w:b/>
          <w:bCs/>
          <w:sz w:val="24"/>
          <w:szCs w:val="24"/>
        </w:rPr>
        <w:t xml:space="preserve">¿Cómo sabemos que funciona?</w:t>
      </w:r>
    </w:p>
    <w:p>
      <w:pPr>
        <w:spacing w:after="120" w:line="300"/>
        <w:jc w:val="both"/>
      </w:pPr>
      <w:r>
        <w:rPr>
          <w:rFonts w:ascii="Arial" w:cs="Arial" w:eastAsia="Arial" w:hAnsi="Arial"/>
          <w:sz w:val="24"/>
          <w:szCs w:val="24"/>
        </w:rPr>
        <w:t xml:space="preserve">El programa compara sus cifras con los totales anuales que publica el propio MEF. En las corridas de enero de 2025 a septiembre de 2026 no hubo errores y todos los controles cuadraron, incluidos los del presupuesto (PIM). La deuda aparece ahora con su total y su desglose. Los únicos casos en cero son los que no tienen deuda registrada, como el Gobierno Nacional en estas regiones.</w:t>
      </w:r>
    </w:p>
    <w:p>
      <w:pPr>
        <w:pStyle w:val="Heading2"/>
        <w:spacing w:after="60" w:before="160"/>
        <w:jc w:val="both"/>
      </w:pPr>
      <w:r>
        <w:rPr>
          <w:rFonts w:ascii="Arial" w:cs="Arial" w:eastAsia="Arial" w:hAnsi="Arial"/>
          <w:b/>
          <w:bCs/>
          <w:sz w:val="24"/>
          <w:szCs w:val="24"/>
        </w:rPr>
        <w:t xml:space="preserve">¿Cuánto demora y qué falta?</w:t>
      </w:r>
    </w:p>
    <w:p>
      <w:pPr>
        <w:spacing w:after="120" w:line="300"/>
        <w:jc w:val="both"/>
      </w:pPr>
      <w:r>
        <w:rPr>
          <w:rFonts w:ascii="Arial" w:cs="Arial" w:eastAsia="Arial" w:hAnsi="Arial"/>
          <w:sz w:val="24"/>
          <w:szCs w:val="24"/>
        </w:rPr>
        <w:t xml:space="preserve">La descarga toma unos cuatro minutos por cada mes de información. Hay mejoras listas para reducir ese tiempo, pero primero vamos a probarlas bien. También falta un ajuste menor: volver a hacer que el programa de los cuadros ignore los archivos de prueba, como hacía la versión original.</w:t>
      </w:r>
    </w:p>
    <w:p>
      <w:pPr>
        <w:pStyle w:val="Heading2"/>
        <w:spacing w:after="60" w:before="160"/>
        <w:jc w:val="both"/>
      </w:pPr>
      <w:r>
        <w:rPr>
          <w:rFonts w:ascii="Arial" w:cs="Arial" w:eastAsia="Arial" w:hAnsi="Arial"/>
          <w:b/>
          <w:bCs/>
          <w:sz w:val="24"/>
          <w:szCs w:val="24"/>
        </w:rPr>
        <w:t xml:space="preserve">En una frase</w:t>
      </w:r>
    </w:p>
    <w:p>
      <w:pPr>
        <w:spacing w:after="120" w:line="300"/>
        <w:jc w:val="both"/>
      </w:pPr>
      <w:r>
        <w:rPr>
          <w:rFonts w:ascii="Arial" w:cs="Arial" w:eastAsia="Arial" w:hAnsi="Arial"/>
          <w:sz w:val="24"/>
          <w:szCs w:val="24"/>
        </w:rPr>
        <w:t xml:space="preserve">Corregimos el error de la deuda, agregamos un control que lo vigila y ahora podemos actualizar varios años en una sola corrida, con cifras verificadas contra el MEF.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2026-10-15T16:01:46.881Z</dcterms:created>
  <dcterms:modified xsi:type="dcterms:W3CDTF">2026-10-15T16:01:46.884Z</dcterms:modified>
</cp:coreProperties>
</file>

<file path=docProps/custom.xml><?xml version="1.0" encoding="utf-8"?>
<Properties xmlns="http://schemas.openxmlformats.org/officeDocument/2006/custom-properties" xmlns:vt="http://schemas.openxmlformats.org/officeDocument/2006/docPropsVTypes"/>
</file>