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PP_precio_canasta_lote_mes.csv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el precio de canasta mensual de los hidrocarburos líquidos de cada lote, en dólares por barril, de la tabla «Valor mensual del precio de canasta de hidrocarburos líquidos» de PERUPETRO S.A. (s. f.-c). Es el precio con el que se calculan las regalías.</w:t>
      </w:r>
    </w:p>
    <w:p>
      <w:pPr>
        <w:spacing w:after="0" w:before="0" w:line="480"/>
        <w:ind w:firstLine="720"/>
        <w:jc w:val="both"/>
      </w:pPr>
      <w:r>
        <w:rPr>
          <w:rFonts w:ascii="Arial" w:cs="Arial" w:eastAsia="Arial" w:hAnsi="Arial"/>
          <w:color w:val="000000"/>
          <w:sz w:val="24"/>
          <w:szCs w:val="24"/>
        </w:rPr>
        <w:t xml:space="preserve">Sirve para analizar precios por lote y para valorizar la producción (PP_valor_produccion_lote_mes.csv).</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de las estadísticas anuales. Cuando el PDF agrupa lotes («VII y V», «31B-31D / 31C») se repite el precio para cada uno; en 2001 el PDF da un solo precio para la zona NOROESTE.</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año, un mes, un lote y una variante. Clave: AÑO + MES + LOTE + VARIANTE.</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PP_precio_canasta_lote_mes.csv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Lote homologado (o NOROESTE en 2001).</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VARIANTE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Vacío si el lote tiene un solo precio; P = petróleo y L = líquidos del lote Z-69; LGN = líquidos del lote Z-2B.</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LOTE_PDF</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Etiqueta tal como figura en el PDF.</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PRECIO_US$_BBL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US$ por barril</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Precio de canasta del mes.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OK (leído del PDF) o «IMPUTADO (12 × promedio − otros meses)» cuando un solo mes era ilegible y se completó con el promedio anual impreso.</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PP_ANUAL_&lt;edición&gt;.pdf usado para ese año.</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2026-10-20T15:05:35.342Z</dcterms:created>
  <dcterms:modified xsi:type="dcterms:W3CDTF">2026-10-20T15:05:35.342Z</dcterms:modified>
</cp:coreProperties>
</file>

<file path=docProps/custom.xml><?xml version="1.0" encoding="utf-8"?>
<Properties xmlns="http://schemas.openxmlformats.org/officeDocument/2006/custom-properties" xmlns:vt="http://schemas.openxmlformats.org/officeDocument/2006/docPropsVTypes"/>
</file>