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jc w:val="center"/>
      </w:pPr>
      <w:r>
        <w:rPr>
          <w:rFonts w:ascii="Arial" w:cs="Arial" w:eastAsia="Arial" w:hAnsi="Arial"/>
          <w:b/>
          <w:bCs/>
          <w:color w:val="000000"/>
          <w:sz w:val="24"/>
          <w:szCs w:val="24"/>
        </w:rPr>
        <w:t xml:space="preserve">Diccionario de datos: PP_produccion_gas_lote_mes_1994-2026.csv</w:t>
      </w:r>
    </w:p>
    <w:p>
      <w:pPr>
        <w:spacing w:line="480"/>
        <w:jc w:val="center"/>
      </w:pPr>
      <w:r>
        <w:rPr>
          <w:rFonts w:ascii="Arial" w:cs="Arial" w:eastAsia="Arial" w:hAnsi="Arial"/>
          <w:color w:val="000000"/>
          <w:sz w:val="24"/>
          <w:szCs w:val="24"/>
        </w:rPr>
        <w:t xml:space="preserve">Proyecto Petróleo</w:t>
      </w:r>
    </w:p>
    <w:p>
      <w:pPr>
        <w:spacing w:line="480"/>
        <w:jc w:val="center"/>
      </w:pPr>
      <w:r>
        <w:rPr>
          <w:rFonts w:ascii="Arial" w:cs="Arial" w:eastAsia="Arial" w:hAnsi="Arial"/>
          <w:color w:val="000000"/>
          <w:sz w:val="24"/>
          <w:szCs w:val="24"/>
        </w:rPr>
        <w:t xml:space="preserve">Versión del 20 de octubre de 2026</w:t>
      </w:r>
    </w:p>
    <w:p>
      <w:pPr>
        <w:keepNext/>
        <w:spacing w:line="480"/>
        <w:jc w:val="center"/>
      </w:pPr>
      <w:r>
        <w:rPr>
          <w:rFonts w:ascii="Arial" w:cs="Arial" w:eastAsia="Arial" w:hAnsi="Arial"/>
          <w:b/>
          <w:bCs/>
          <w:color w:val="000000"/>
          <w:sz w:val="24"/>
          <w:szCs w:val="24"/>
        </w:rPr>
        <w:t xml:space="preserve">Propósito del archivo</w:t>
      </w:r>
    </w:p>
    <w:p>
      <w:pPr>
        <w:spacing w:after="0" w:before="0" w:line="480"/>
        <w:ind w:firstLine="720"/>
        <w:jc w:val="both"/>
      </w:pPr>
      <w:r>
        <w:rPr>
          <w:rFonts w:ascii="Arial" w:cs="Arial" w:eastAsia="Arial" w:hAnsi="Arial"/>
          <w:color w:val="000000"/>
          <w:sz w:val="24"/>
          <w:szCs w:val="24"/>
        </w:rPr>
        <w:t xml:space="preserve">Contiene la producción fiscalizada mensual de gas natural de cada lote, en miles de pies cúbicos (MPC), desde enero de 1994. Proviene de la tabla «Producción fiscalizada mensual de gas natural (MPC)» de las estadísticas de PERUPETRO S.A. (s. f.-c).</w:t>
      </w:r>
    </w:p>
    <w:p>
      <w:pPr>
        <w:spacing w:after="0" w:before="0" w:line="480"/>
        <w:ind w:firstLine="720"/>
        <w:jc w:val="both"/>
      </w:pPr>
      <w:r>
        <w:rPr>
          <w:rFonts w:ascii="Arial" w:cs="Arial" w:eastAsia="Arial" w:hAnsi="Arial"/>
          <w:color w:val="000000"/>
          <w:sz w:val="24"/>
          <w:szCs w:val="24"/>
        </w:rPr>
        <w:t xml:space="preserve">Sirve para analizar la producción de gas por lote y departamento (p. ej., Lote 31-C en Ucayali), para el gas acumulado de cada campo del mapa y para el historial de operadores.</w:t>
      </w:r>
    </w:p>
    <w:p>
      <w:pPr>
        <w:keepNext/>
        <w:spacing w:line="480"/>
        <w:jc w:val="left"/>
      </w:pPr>
      <w:r>
        <w:rPr>
          <w:rFonts w:ascii="Arial" w:cs="Arial" w:eastAsia="Arial" w:hAnsi="Arial"/>
          <w:b/>
          <w:bCs/>
          <w:color w:val="000000"/>
          <w:sz w:val="24"/>
          <w:szCs w:val="24"/>
        </w:rPr>
        <w:t xml:space="preserve">Origen y actualización</w:t>
      </w:r>
    </w:p>
    <w:p>
      <w:pPr>
        <w:spacing w:after="0" w:before="0" w:line="480"/>
        <w:ind w:firstLine="720"/>
        <w:jc w:val="both"/>
      </w:pPr>
      <w:r>
        <w:rPr>
          <w:rFonts w:ascii="Arial" w:cs="Arial" w:eastAsia="Arial" w:hAnsi="Arial"/>
          <w:color w:val="000000"/>
          <w:sz w:val="24"/>
          <w:szCs w:val="24"/>
        </w:rPr>
        <w:t xml:space="preserve">Notebook PP_Produccion_Lotes.ipynb, de los mismos PDF que la producción de líquidos. Los años 1994–2000 se transcribieron a mano desde los escaneos y cuadran con los totales del PDF; desde 2001 se extraen del PDF digital.</w:t>
      </w:r>
    </w:p>
    <w:p>
      <w:pPr>
        <w:keepNext/>
        <w:spacing w:line="480"/>
        <w:jc w:val="left"/>
      </w:pPr>
      <w:r>
        <w:rPr>
          <w:rFonts w:ascii="Arial" w:cs="Arial" w:eastAsia="Arial" w:hAnsi="Arial"/>
          <w:b/>
          <w:bCs/>
          <w:color w:val="000000"/>
          <w:sz w:val="24"/>
          <w:szCs w:val="24"/>
        </w:rPr>
        <w:t xml:space="preserve">Unidad de observación</w:t>
      </w:r>
    </w:p>
    <w:p>
      <w:pPr>
        <w:spacing w:after="0" w:before="0" w:line="480"/>
        <w:ind w:firstLine="720"/>
        <w:jc w:val="both"/>
      </w:pPr>
      <w:r>
        <w:rPr>
          <w:rFonts w:ascii="Arial" w:cs="Arial" w:eastAsia="Arial" w:hAnsi="Arial"/>
          <w:color w:val="000000"/>
          <w:sz w:val="24"/>
          <w:szCs w:val="24"/>
        </w:rPr>
        <w:t xml:space="preserve">Un lote y un mes. Clave única: AÑO + MES + LOTE.</w:t>
      </w:r>
    </w:p>
    <w:p>
      <w:pPr>
        <w:keepNext/>
        <w:spacing w:line="480"/>
        <w:jc w:val="left"/>
      </w:pPr>
      <w:r>
        <w:rPr>
          <w:rFonts w:ascii="Arial" w:cs="Arial" w:eastAsia="Arial" w:hAnsi="Arial"/>
          <w:b/>
          <w:bCs/>
          <w:color w:val="000000"/>
          <w:sz w:val="24"/>
          <w:szCs w:val="24"/>
        </w:rPr>
        <w:t xml:space="preserve">Formato</w:t>
      </w:r>
    </w:p>
    <w:p>
      <w:pPr>
        <w:spacing w:after="0" w:before="0" w:line="480"/>
        <w:ind w:firstLine="720"/>
        <w:jc w:val="both"/>
      </w:pPr>
      <w:r>
        <w:rPr>
          <w:rFonts w:ascii="Arial" w:cs="Arial" w:eastAsia="Arial" w:hAnsi="Arial"/>
          <w:color w:val="000000"/>
          <w:sz w:val="24"/>
          <w:szCs w:val="24"/>
        </w:rPr>
        <w:t xml:space="preserve">Archivo CSV separado por comas, codificado en UTF-8 con BOM (se abre directamente en Excel con tildes correctas) y con punto decimal. Una celda vacía significa sin dato.</w:t>
      </w:r>
    </w:p>
    <w:p>
      <w:pPr>
        <w:keepNext/>
        <w:spacing w:line="480"/>
        <w:jc w:val="center"/>
      </w:pPr>
      <w:r>
        <w:rPr>
          <w:rFonts w:ascii="Arial" w:cs="Arial" w:eastAsia="Arial" w:hAnsi="Arial"/>
          <w:b/>
          <w:bCs/>
          <w:color w:val="000000"/>
          <w:sz w:val="24"/>
          <w:szCs w:val="24"/>
        </w:rPr>
        <w:t xml:space="preserve">Variables</w:t>
      </w:r>
    </w:p>
    <w:p>
      <w:pPr>
        <w:spacing w:after="0" w:before="0" w:line="480"/>
        <w:ind w:firstLine="720"/>
        <w:jc w:val="both"/>
      </w:pPr>
      <w:r>
        <w:rPr>
          <w:rFonts w:ascii="Arial" w:cs="Arial" w:eastAsia="Arial" w:hAnsi="Arial"/>
          <w:color w:val="000000"/>
          <w:sz w:val="24"/>
          <w:szCs w:val="24"/>
        </w:rPr>
        <w:t xml:space="preserve">La Tabla 1 describe cada variable (columna) del archivo, en el orden en que aparecen.</w:t>
      </w:r>
    </w:p>
    <w:p>
      <w:pPr>
        <w:keepNext/>
        <w:spacing w:before="240" w:line="480"/>
      </w:pPr>
      <w:r>
        <w:rPr>
          <w:rFonts w:ascii="Arial" w:cs="Arial" w:eastAsia="Arial" w:hAnsi="Arial"/>
          <w:b/>
          <w:bCs/>
          <w:color w:val="000000"/>
          <w:sz w:val="24"/>
          <w:szCs w:val="24"/>
        </w:rPr>
        <w:t xml:space="preserve">Tabla 1</w:t>
      </w:r>
    </w:p>
    <w:p>
      <w:pPr>
        <w:keepNext/>
        <w:spacing w:line="480"/>
      </w:pPr>
      <w:r>
        <w:rPr>
          <w:rFonts w:ascii="Arial" w:cs="Arial" w:eastAsia="Arial" w:hAnsi="Arial"/>
          <w:i/>
          <w:iCs/>
          <w:color w:val="000000"/>
          <w:sz w:val="24"/>
          <w:szCs w:val="24"/>
        </w:rPr>
        <w:t xml:space="preserve">Variables del archivo PP_produccion_gas_lote_mes_1994-2026.csv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126"/>
      </w:tblGrid>
      <w:tr>
        <w:trPr>
          <w:cantSplit/>
          <w:tblHeader/>
        </w:trPr>
        <w:tc>
          <w:tcPr>
            <w:tcW w:type="dxa" w:w="30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jc w:val="center"/>
            </w:pPr>
            <w:r>
              <w:rPr>
                <w:rFonts w:ascii="Arial" w:cs="Arial" w:eastAsia="Arial" w:hAnsi="Arial"/>
                <w:b/>
                <w:bCs/>
                <w:color w:val="000000"/>
                <w:sz w:val="24"/>
                <w:szCs w:val="24"/>
              </w:rPr>
              <w:t xml:space="preserve">Variable</w:t>
            </w:r>
          </w:p>
        </w:tc>
        <w:tc>
          <w:tcPr>
            <w:tcW w:type="dxa" w:w="19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jc w:val="center"/>
            </w:pPr>
            <w:r>
              <w:rPr>
                <w:rFonts w:ascii="Arial" w:cs="Arial" w:eastAsia="Arial" w:hAnsi="Arial"/>
                <w:b/>
                <w:bCs/>
                <w:color w:val="000000"/>
                <w:sz w:val="24"/>
                <w:szCs w:val="24"/>
              </w:rPr>
              <w:t xml:space="preserve">Tipo y unidad</w:t>
            </w:r>
          </w:p>
        </w:tc>
        <w:tc>
          <w:tcPr>
            <w:tcW w:type="dxa" w:w="4126"/>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jc w:val="center"/>
            </w:pPr>
            <w:r>
              <w:rPr>
                <w:rFonts w:ascii="Arial" w:cs="Arial" w:eastAsia="Arial" w:hAnsi="Arial"/>
                <w:b/>
                <w:bCs/>
                <w:color w:val="000000"/>
                <w:sz w:val="24"/>
                <w:szCs w:val="24"/>
              </w:rPr>
              <w:t xml:space="preserve">Descripción</w:t>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AÑO</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Entero</w:t>
            </w:r>
          </w:p>
        </w:tc>
        <w:tc>
          <w:tcPr>
            <w:tcW w:type="dxa" w:w="41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Año calendario del dato.</w:t>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MES</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Entero (1–12)</w:t>
            </w:r>
          </w:p>
        </w:tc>
        <w:tc>
          <w:tcPr>
            <w:tcW w:type="dxa" w:w="41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Mes calendario (1 = enero, 12 = diciembre).</w:t>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FECHA</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Texto, fecha dd/mm/aaaa</w:t>
            </w:r>
          </w:p>
        </w:tc>
        <w:tc>
          <w:tcPr>
            <w:tcW w:type="dxa" w:w="41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Primer día del mes al que corresponde el dato (01/03/2015 = marzo de 2015). Sirve para ordenar y graficar series.</w:t>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ZONA</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Texto (código)</w:t>
            </w:r>
          </w:p>
        </w:tc>
        <w:tc>
          <w:tcPr>
            <w:tcW w:type="dxa" w:w="41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Zona geográfica de PERUPETRO: NOROESTE, ZOCALO (zócalo continental, en el mar), SELVA NORTE, SELVA CENTRAL o SELVA SUR. Se toma del encabezado de la tabla del PDF o, si no lo trae, de una tabla fija por lote.</w:t>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DEPARTAMENTO</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Texto</w:t>
            </w:r>
          </w:p>
        </w:tc>
        <w:tc>
          <w:tcPr>
            <w:tcW w:type="dxa" w:w="41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Departamento donde se ubica el lote: el que tiene la mayor parte de su área según el mapa de lotes (PP_LOTES_GEO.csv). Si el lote no tiene polígono, se asigna por la zona (SELVA NORTE → LORETO) o queda vacío.</w:t>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DEPARTAMENTO_FUENTE</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Texto (código)</w:t>
            </w:r>
          </w:p>
        </w:tc>
        <w:tc>
          <w:tcPr>
            <w:tcW w:type="dxa" w:w="41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Cómo se asignó el departamento: MAPA (polígono del lote), ZONA (por la zona de PERUPETRO) o vacío.</w:t>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OPERADOR</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Texto</w:t>
            </w:r>
          </w:p>
        </w:tc>
        <w:tc>
          <w:tcPr>
            <w:tcW w:type="dxa" w:w="41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Empresa que opera el lote según el PDF de ese año, con el nombre homologado (se corrigen nombres cortados y erratas, p. ej., PLUSPETRO → PLUSPETROL). Es el operador de ese período, no necesariamente el actual.</w:t>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OPERADOR_ORIGINAL</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Texto</w:t>
            </w:r>
          </w:p>
        </w:tc>
        <w:tc>
          <w:tcPr>
            <w:tcW w:type="dxa" w:w="41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Nombre del operador tal como aparece en el PDF; permite auditar la homologación.</w:t>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LOTE</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Texto (código)</w:t>
            </w:r>
          </w:p>
        </w:tc>
        <w:tc>
          <w:tcPr>
            <w:tcW w:type="dxa" w:w="41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Código homologado del contrato, sin la palabra «Lote» y con guion estándar (p. ej., 192, 1-AB, 8, 95, Z-2B, 31-B/D, X). Los contratos temporales conservan el sufijo (T).</w:t>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LOTE_HISTORICO</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Texto (código)</w:t>
            </w:r>
          </w:p>
        </w:tc>
        <w:tc>
          <w:tcPr>
            <w:tcW w:type="dxa" w:w="41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Agrupa los contratos que corresponden al mismo campo a lo largo del tiempo (p. ej., 1-AB y 192 → 1-AB/192). No lleva el sufijo (T). Se usa para series largas y rankings.</w:t>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LOTE_ORIGINAL</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Texto</w:t>
            </w:r>
          </w:p>
        </w:tc>
        <w:tc>
          <w:tcPr>
            <w:tcW w:type="dxa" w:w="41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Lote tal como aparece escrito en el PDF (p. ej., «31-C ( LGN )», «Z - 2B»); permite auditar.</w:t>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PRODUCTO</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Texto</w:t>
            </w:r>
          </w:p>
        </w:tc>
        <w:tc>
          <w:tcPr>
            <w:tcW w:type="dxa" w:w="41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Siempre GAS NATURAL.</w:t>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MPC</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Decimal, miles de pies cúbicos</w:t>
            </w:r>
          </w:p>
        </w:tc>
        <w:tc>
          <w:tcPr>
            <w:tcW w:type="dxa" w:w="41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Gas natural fiscalizado del mes.</w:t>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MMPCD</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Decimal, millones de pies cúbicos por día</w:t>
            </w:r>
          </w:p>
        </w:tc>
        <w:tc>
          <w:tcPr>
            <w:tcW w:type="dxa" w:w="41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MPC ÷ días del mes ÷ 1 000, con tres decimales.</w:t>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ESTADO_FILA</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Texto (código)</w:t>
            </w:r>
          </w:p>
        </w:tc>
        <w:tc>
          <w:tcPr>
            <w:tcW w:type="dxa" w:w="41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OK, REVISAR o TRANSCRITO (1994–2000). Como el PDF redondea cada celda, se acepta hasta 6 MPC de diferencia entre la suma de los meses y el total del lote.</w:t>
            </w:r>
          </w:p>
        </w:tc>
      </w:tr>
      <w:tr>
        <w:trPr>
          <w:cantSplit/>
        </w:trPr>
        <w:tc>
          <w:tcPr>
            <w:tcW w:type="dxa" w:w="30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FUENTE</w:t>
            </w:r>
          </w:p>
        </w:tc>
        <w:tc>
          <w:tcPr>
            <w:tcW w:type="dxa" w:w="19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Texto</w:t>
            </w:r>
          </w:p>
        </w:tc>
        <w:tc>
          <w:tcPr>
            <w:tcW w:type="dxa" w:w="4126"/>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PDF de origen.</w:t>
            </w:r>
          </w:p>
        </w:tc>
      </w:tr>
    </w:tbl>
    <w:p>
      <w:pPr>
        <w:spacing w:after="240" w:line="480"/>
        <w:jc w:val="both"/>
      </w:pPr>
      <w:r>
        <w:rPr>
          <w:rFonts w:ascii="Arial" w:cs="Arial" w:eastAsia="Arial" w:hAnsi="Arial"/>
          <w:i/>
          <w:iCs/>
          <w:color w:val="000000"/>
          <w:sz w:val="24"/>
          <w:szCs w:val="24"/>
        </w:rPr>
        <w:t xml:space="preserve">Nota.</w:t>
      </w:r>
      <w:r>
        <w:rPr>
          <w:rFonts w:ascii="Arial" w:cs="Arial" w:eastAsia="Arial" w:hAnsi="Arial"/>
          <w:color w:val="000000"/>
          <w:sz w:val="24"/>
          <w:szCs w:val="24"/>
        </w:rPr>
        <w:t xml:space="preserve"> </w:t>
      </w:r>
      <w:r>
        <w:rPr>
          <w:rFonts w:ascii="Arial" w:cs="Arial" w:eastAsia="Arial" w:hAnsi="Arial"/>
          <w:color w:val="000000"/>
          <w:sz w:val="24"/>
          <w:szCs w:val="24"/>
        </w:rPr>
        <w:t xml:space="preserve">Se descartan la versión en MMBTU, la producción «de campo» y los balances de gas del PDF.</w:t>
      </w:r>
    </w:p>
    <w:p>
      <w:pPr>
        <w:keepNext/>
        <w:spacing w:line="480"/>
        <w:jc w:val="center"/>
      </w:pPr>
      <w:r>
        <w:rPr>
          <w:rFonts w:ascii="Arial" w:cs="Arial" w:eastAsia="Arial" w:hAnsi="Arial"/>
          <w:b/>
          <w:bCs/>
          <w:color w:val="000000"/>
          <w:sz w:val="24"/>
          <w:szCs w:val="24"/>
        </w:rPr>
        <w:t xml:space="preserve">Referencias</w:t>
      </w:r>
    </w:p>
    <w:p>
      <w:pPr>
        <w:spacing w:line="480"/>
        <w:ind w:left="720" w:hanging="720"/>
        <w:jc w:val="both"/>
      </w:pPr>
      <w:r>
        <w:rPr>
          <w:rFonts w:ascii="Arial" w:cs="Arial" w:eastAsia="Arial" w:hAnsi="Arial"/>
          <w:color w:val="000000"/>
          <w:sz w:val="24"/>
          <w:szCs w:val="24"/>
        </w:rPr>
        <w:t xml:space="preserve">PERUPETRO S.A. (s. f.-c). </w:t>
      </w:r>
      <w:r>
        <w:rPr>
          <w:rFonts w:ascii="Arial" w:cs="Arial" w:eastAsia="Arial" w:hAnsi="Arial"/>
          <w:i/>
          <w:iCs/>
          <w:color w:val="000000"/>
          <w:sz w:val="24"/>
          <w:szCs w:val="24"/>
        </w:rPr>
        <w:t xml:space="preserve">Estadística petrolera</w:t>
      </w:r>
      <w:r>
        <w:rPr>
          <w:rFonts w:ascii="Arial" w:cs="Arial" w:eastAsia="Arial" w:hAnsi="Arial"/>
          <w:color w:val="000000"/>
          <w:sz w:val="24"/>
          <w:szCs w:val="24"/>
        </w:rPr>
        <w:t xml:space="preserve"> [Estadísticas anuales y mensuales de hidrocarburos en PDF]. Recuperado el 20 de octubre de 2026, de https://www.perupetro.com.pe</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000000"/>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Proyecto Petróleo (scraper-mef)</dc:creator>
  <cp:lastModifiedBy>Un-named</cp:lastModifiedBy>
  <cp:revision>1</cp:revision>
  <dcterms:created xsi:type="dcterms:W3CDTF">2026-10-20T19:21:43.828Z</dcterms:created>
  <dcterms:modified xsi:type="dcterms:W3CDTF">2026-10-20T19:21:43.828Z</dcterms:modified>
</cp:coreProperties>
</file>

<file path=docProps/custom.xml><?xml version="1.0" encoding="utf-8"?>
<Properties xmlns="http://schemas.openxmlformats.org/officeDocument/2006/custom-properties" xmlns:vt="http://schemas.openxmlformats.org/officeDocument/2006/docPropsVTypes"/>
</file>