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PP_canon_departamento_mes_pdf.csv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el canon y sobrecanon por departamento y mes, en millones de soles, leído del «Resumen ejecutivo» de las estadísticas mensuales en PDF de PERUPETRO S.A. (s. f.-c). Hasta el 19 de octubre de 2026 se llamaba PP_canon_departamento_mes.csv.</w:t>
      </w:r>
    </w:p>
    <w:p>
      <w:pPr>
        <w:spacing w:after="0" w:before="0" w:line="480"/>
        <w:ind w:firstLine="720"/>
        <w:jc w:val="both"/>
      </w:pPr>
      <w:r>
        <w:rPr>
          <w:rFonts w:ascii="Arial" w:cs="Arial" w:eastAsia="Arial" w:hAnsi="Arial"/>
          <w:color w:val="000000"/>
          <w:sz w:val="24"/>
          <w:szCs w:val="24"/>
        </w:rPr>
        <w:t xml:space="preserve">Sirve como control: se compara con la serie oficial que sale del Excel de Distribución y llena los meses que el Excel todavía no publica. No se recomienda usarlo como serie principal.</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El PDF trae el canon con un mes de rezago (el reporte de enero trae los 12 meses del año anterior). PERUPETRO solo publica las mensuales del año en curso, por lo que la serie se acumula en Drive (2025–hoy).</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departamento y un mes. Clave: AÑO + MES + DEPARTAMENTO.</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PP_canon_departamento_mes_pdf.csv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Departamento, como en el resumen ejecutivo del PDF.</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CANON_MM_SOLES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soles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Canon y sobrecanon del mes según el PDF.</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 PP_MENSUAL_&lt;año&gt;_&lt;mes&gt;.pdf.</w:t>
            </w:r>
          </w:p>
        </w:tc>
      </w:tr>
    </w:tbl>
    <w:p>
      <w:pPr>
        <w:spacing w:line="240"/>
      </w:pP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2026-10-21T16:31:52.823Z</dcterms:created>
  <dcterms:modified xsi:type="dcterms:W3CDTF">2026-10-21T16:31:52.823Z</dcterms:modified>
</cp:coreProperties>
</file>

<file path=docProps/custom.xml><?xml version="1.0" encoding="utf-8"?>
<Properties xmlns="http://schemas.openxmlformats.org/officeDocument/2006/custom-properties" xmlns:vt="http://schemas.openxmlformats.org/officeDocument/2006/docPropsVTypes"/>
</file>