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PP_canon_municipal_mef_anio.csv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petrolero que registró como recaudado cada municipalidad provincial y distrital, por año, según la Consulta Amigable de Ingresos del MEF (fuente 5, rubro 18, tipos de recurso «5: Canon y sobrecanon petrolero» y «K: Sub cuenta – Canon y sobrecanon petrolero»).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completar el canon por municipalidad de los años en los que PERUPETRO entrega el total municipal a un intermediario (CND hasta 2006, PCM desde 2007) y no publica el reparto. En 2003–2004 el MEF no tiene detalle por municipalidad; en 2005–2006 el grueso está en el tipo «0: NORMAL», que reúne todos los canones, y esas filas quedan rotuladas «(todos los canones)».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PP_MEF_Canon_Municipal.ipynb: navega con requests el formulario ASP.NET de la Consulta Amigable de Ingresos, como el navegador (la consulta ignora los filtros puestos en la URL). Se acumula: cada corrida reemplaza los años que vuelve a leer. Lo recaudado puede diferir de lo transferido por PERUPETRO en el mismo año por las fechas de registro; el control lo compara (CONTROL PP canon_municipal_mef.csv).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una municipalidad y un tipo de recurso. Clave: AÑO + DEPARTAMENTO + CODIGO + TIPO_RECURSO.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PP_canon_municipal_mef_anio.csv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 la municipalidad (p. ej., LORETO).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CODIGO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de la entidad en el MEF, tal como figura (p. ej., 06-301459).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MUNICIPALIDAD_MEF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completo de la entidad en el MEF (p. ej., MUNICIPALIDAD DISTRITAL DE PUINAHUA).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corto: el distrito o, en las provinciales, la capital (MAYNAS - IQUITOS → IQUITOS).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NIVEL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PROVINCIAL o DISTRITAL.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Provincia: en las provinciales, del nombre del MEF; en las distritales, de la tabla de PERUPETRO cuando existe.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TIPO_RECURSO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 de recurso del MEF del que sale el monto: 5 o K desde 2007; 4 o «0: NORMAL (todos los canones)» en 2005–2006.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RECAUDADO_SOLES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recaudado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MEF, Consulta Amigable de Ingresos (recaudado); en las filas NORMAL se aclara que reúne todos los canones.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Ministerio de Economía y Finanzas. (s. f.).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Consulta Amigable de Ingresos (mensual)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[Base de datos]. Recuperado el 20 de octubre de 2026, de https://apps5.mineco.gob.pe/transparenciaingresos/mensual/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2026-10-21T16:31:52.817Z</dcterms:created>
  <dcterms:modified xsi:type="dcterms:W3CDTF">2026-10-21T16:31:52.817Z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