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480"/>
        <w:jc w:val="center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Diccionario general de los archivos de la carpeta DATA</w:t>
      </w:r>
    </w:p>
    <w:p>
      <w:pPr>
        <w:spacing w:line="480"/>
        <w:jc w:val="center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Proyecto Petróleo</w:t>
      </w:r>
    </w:p>
    <w:p>
      <w:pPr>
        <w:spacing w:line="480"/>
        <w:jc w:val="center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Versión del 20 de octubre de 2026</w:t>
      </w:r>
    </w:p>
    <w:p>
      <w:pPr>
        <w:keepNext/>
        <w:spacing w:line="480"/>
        <w:jc w:val="center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Propósito</w:t>
      </w:r>
    </w:p>
    <w:p>
      <w:pPr>
        <w:spacing w:after="0" w:before="0" w:line="480"/>
        <w:ind w:firstLine="720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Este documento describe para qué sirve cada archivo de datos que los notebooks del Proyecto Petróleo guardan en la carpeta DATA de Google Drive, indica si es útil, de control o redundante, y remite al diccionario de variables de cada uno, que lleva el mismo nombre del archivo. Las fuentes son las estadísticas, los Excel de canon, los reportes diarios y el geoportal de PERUPETRO S.A. (s. f.-a, s. f.-b, s. f.-c, s. f.-d, s. f.-e), además de capas geográficas públicas (Lehner &amp; Grill, 2013; Runfola et al., 2020).</w:t>
      </w:r>
    </w:p>
    <w:p>
      <w:pPr>
        <w:keepNext/>
        <w:spacing w:line="480"/>
        <w:jc w:val="center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Archivos y su utilidad</w:t>
      </w:r>
    </w:p>
    <w:p>
      <w:pPr>
        <w:spacing w:after="0" w:before="0" w:line="480"/>
        <w:ind w:firstLine="720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La Tabla 1 lista los archivos de la carpeta DATA. </w:t>
      </w:r>
      <w:r>
        <w:rPr>
          <w:rFonts w:ascii="Arial" w:cs="Arial" w:eastAsia="Arial" w:hAnsi="Arial"/>
          <w:i/>
          <w:iCs/>
          <w:color w:val="000000"/>
          <w:sz w:val="24"/>
          <w:szCs w:val="24"/>
        </w:rPr>
        <w:t xml:space="preserve">Útil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 indica un archivo de análisis; </w:t>
      </w:r>
      <w:r>
        <w:rPr>
          <w:rFonts w:ascii="Arial" w:cs="Arial" w:eastAsia="Arial" w:hAnsi="Arial"/>
          <w:i/>
          <w:iCs/>
          <w:color w:val="000000"/>
          <w:sz w:val="24"/>
          <w:szCs w:val="24"/>
        </w:rPr>
        <w:t xml:space="preserve">control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, un archivo que sirve para validar otro; </w:t>
      </w:r>
      <w:r>
        <w:rPr>
          <w:rFonts w:ascii="Arial" w:cs="Arial" w:eastAsia="Arial" w:hAnsi="Arial"/>
          <w:i/>
          <w:iCs/>
          <w:color w:val="000000"/>
          <w:sz w:val="24"/>
          <w:szCs w:val="24"/>
        </w:rPr>
        <w:t xml:space="preserve">redundante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, un archivo cuyo contenido ya está en otro.</w:t>
      </w:r>
    </w:p>
    <w:p>
      <w:pPr>
        <w:keepNext/>
        <w:spacing w:before="240" w:line="48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Tabla 1</w:t>
      </w:r>
    </w:p>
    <w:p>
      <w:pPr>
        <w:keepNext/>
        <w:spacing w:line="480"/>
      </w:pPr>
      <w:r>
        <w:rPr>
          <w:rFonts w:ascii="Arial" w:cs="Arial" w:eastAsia="Arial" w:hAnsi="Arial"/>
          <w:i/>
          <w:iCs/>
          <w:color w:val="000000"/>
          <w:sz w:val="24"/>
          <w:szCs w:val="24"/>
        </w:rPr>
        <w:t xml:space="preserve">Archivos de la carpeta DATA, contenido y utilidad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1700"/>
        <w:gridCol w:w="3626"/>
      </w:tblGrid>
      <w:tr>
        <w:trPr>
          <w:cantSplit/>
          <w:tblHeader/>
        </w:trPr>
        <w:tc>
          <w:tcPr>
            <w:tcW w:type="dxa" w:w="3700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4"/>
                <w:szCs w:val="24"/>
              </w:rPr>
              <w:t xml:space="preserve">Archivo</w:t>
            </w:r>
          </w:p>
        </w:tc>
        <w:tc>
          <w:tcPr>
            <w:tcW w:type="dxa" w:w="1700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4"/>
                <w:szCs w:val="24"/>
              </w:rPr>
              <w:t xml:space="preserve">Utilidad</w:t>
            </w:r>
          </w:p>
        </w:tc>
        <w:tc>
          <w:tcPr>
            <w:tcW w:type="dxa" w:w="3626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4"/>
                <w:szCs w:val="24"/>
              </w:rPr>
              <w:t xml:space="preserve">Para qué sirve</w:t>
            </w:r>
          </w:p>
        </w:tc>
      </w:tr>
      <w:tr>
        <w:trPr>
          <w:cantSplit/>
        </w:trPr>
        <w:tc>
          <w:tcPr>
            <w:tcW w:type="dxa" w:w="3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PP_produccion_lote_mes_1994-2026.csv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Útil (base principal)</w:t>
            </w:r>
          </w:p>
        </w:tc>
        <w:tc>
          <w:tcPr>
            <w:tcW w:type="dxa" w:w="3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both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Producción fiscalizada mensual de petróleo, LGN y condensado por lote; base de las series, rankings, mapa e indicadores.</w:t>
            </w:r>
          </w:p>
        </w:tc>
      </w:tr>
      <w:tr>
        <w:trPr>
          <w:cantSplit/>
        </w:trPr>
        <w:tc>
          <w:tcPr>
            <w:tcW w:type="dxa" w:w="3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PP_produccion_gas_lote_mes_1994-2026.csv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Útil</w:t>
            </w:r>
          </w:p>
        </w:tc>
        <w:tc>
          <w:tcPr>
            <w:tcW w:type="dxa" w:w="3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both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Producción fiscalizada mensual de gas natural por lote (MPC), 1994–hoy.</w:t>
            </w:r>
          </w:p>
        </w:tc>
      </w:tr>
      <w:tr>
        <w:trPr>
          <w:cantSplit/>
        </w:trPr>
        <w:tc>
          <w:tcPr>
            <w:tcW w:type="dxa" w:w="3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PP_produccion_diaria.csv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Útil</w:t>
            </w:r>
          </w:p>
        </w:tc>
        <w:tc>
          <w:tcPr>
            <w:tcW w:type="dxa" w:w="3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both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Producción fiscalizada diaria por lote (líquidos y gas); cubre los meses aún no publicados en la estadística mensual.</w:t>
            </w:r>
          </w:p>
        </w:tc>
      </w:tr>
      <w:tr>
        <w:trPr>
          <w:cantSplit/>
        </w:trPr>
        <w:tc>
          <w:tcPr>
            <w:tcW w:type="dxa" w:w="3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PP_pozos_perforados_lote_anio.csv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Útil</w:t>
            </w:r>
          </w:p>
        </w:tc>
        <w:tc>
          <w:tcPr>
            <w:tcW w:type="dxa" w:w="3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both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Pozos perforados por lote, año y tipo (exploratorio, confirmatorio, desarrollo), 1995–hoy.</w:t>
            </w:r>
          </w:p>
        </w:tc>
      </w:tr>
      <w:tr>
        <w:trPr>
          <w:cantSplit/>
        </w:trPr>
        <w:tc>
          <w:tcPr>
            <w:tcW w:type="dxa" w:w="3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PP_regalias_lote_anio.csv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Útil</w:t>
            </w:r>
          </w:p>
        </w:tc>
        <w:tc>
          <w:tcPr>
            <w:tcW w:type="dxa" w:w="3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both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Regalías (ingresos al fisco) por lote, hidrocarburo y año, en US$, 2001–hoy.</w:t>
            </w:r>
          </w:p>
        </w:tc>
      </w:tr>
      <w:tr>
        <w:trPr>
          <w:cantSplit/>
        </w:trPr>
        <w:tc>
          <w:tcPr>
            <w:tcW w:type="dxa" w:w="3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PP_precio_canasta_lote_mes.csv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Útil</w:t>
            </w:r>
          </w:p>
        </w:tc>
        <w:tc>
          <w:tcPr>
            <w:tcW w:type="dxa" w:w="3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both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Precio de canasta de los líquidos por lote y mes (US$/bbl), 2001–hoy.</w:t>
            </w:r>
          </w:p>
        </w:tc>
      </w:tr>
      <w:tr>
        <w:trPr>
          <w:cantSplit/>
        </w:trPr>
        <w:tc>
          <w:tcPr>
            <w:tcW w:type="dxa" w:w="3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PP_valor_produccion_lote_mes.csv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Útil</w:t>
            </w:r>
          </w:p>
        </w:tc>
        <w:tc>
          <w:tcPr>
            <w:tcW w:type="dxa" w:w="3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both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Valor de la producción de líquidos por lote y mes = barriles × precio de canasta (US$).</w:t>
            </w:r>
          </w:p>
        </w:tc>
      </w:tr>
      <w:tr>
        <w:trPr>
          <w:cantSplit/>
        </w:trPr>
        <w:tc>
          <w:tcPr>
            <w:tcW w:type="dxa" w:w="3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PP_contratos.csv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Útil</w:t>
            </w:r>
          </w:p>
        </w:tc>
        <w:tc>
          <w:tcPr>
            <w:tcW w:type="dxa" w:w="3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both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Contratos vigentes, terminados y suscritos por edición: empresas socias, participación, fechas y área, 2004–hoy.</w:t>
            </w:r>
          </w:p>
        </w:tc>
      </w:tr>
      <w:tr>
        <w:trPr>
          <w:cantSplit/>
        </w:trPr>
        <w:tc>
          <w:tcPr>
            <w:tcW w:type="dxa" w:w="3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PP_ingresos_estado_mes.csv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Útil</w:t>
            </w:r>
          </w:p>
        </w:tc>
        <w:tc>
          <w:tcPr>
            <w:tcW w:type="dxa" w:w="3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both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Ingresos para el Estado por mes y modalidad de contrato (MM US$), total nacional.</w:t>
            </w:r>
          </w:p>
        </w:tc>
      </w:tr>
      <w:tr>
        <w:trPr>
          <w:cantSplit/>
        </w:trPr>
        <w:tc>
          <w:tcPr>
            <w:tcW w:type="dxa" w:w="3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PP_canon_lote_mes.csv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Útil</w:t>
            </w:r>
          </w:p>
        </w:tc>
        <w:tc>
          <w:tcPr>
            <w:tcW w:type="dxa" w:w="3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both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Canon y sobrecanon generado por cada lote y mes (US$) y la parte de cada departamento (Excel de Determinación).</w:t>
            </w:r>
          </w:p>
        </w:tc>
      </w:tr>
      <w:tr>
        <w:trPr>
          <w:cantSplit/>
        </w:trPr>
        <w:tc>
          <w:tcPr>
            <w:tcW w:type="dxa" w:w="3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PP_canon_distribucion_mes.csv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Útil</w:t>
            </w:r>
          </w:p>
        </w:tc>
        <w:tc>
          <w:tcPr>
            <w:tcW w:type="dxa" w:w="3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both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Canon transferido por departamento, mes y beneficiario (S/), 1993–hoy (Excel de Distribución).</w:t>
            </w:r>
          </w:p>
        </w:tc>
      </w:tr>
      <w:tr>
        <w:trPr>
          <w:cantSplit/>
        </w:trPr>
        <w:tc>
          <w:tcPr>
            <w:tcW w:type="dxa" w:w="3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PP_canon_municipal_mes.csv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Útil</w:t>
            </w:r>
          </w:p>
        </w:tc>
        <w:tc>
          <w:tcPr>
            <w:tcW w:type="dxa" w:w="3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both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Canon por municipalidad provincial y distrital y mes (S/): año en curso y 1993–2002.</w:t>
            </w:r>
          </w:p>
        </w:tc>
      </w:tr>
      <w:tr>
        <w:trPr>
          <w:cantSplit/>
        </w:trPr>
        <w:tc>
          <w:tcPr>
            <w:tcW w:type="dxa" w:w="3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PP_canon_nivel_gobierno_mef_anio.csv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Útil</w:t>
            </w:r>
          </w:p>
        </w:tc>
        <w:tc>
          <w:tcPr>
            <w:tcW w:type="dxa" w:w="3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both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Canon y sobrecanon petrolero recaudado por nivel de gobierno (nacional, locales, regionales), total país y por departamento, según el MEF (2003–hoy).</w:t>
            </w:r>
          </w:p>
        </w:tc>
      </w:tr>
      <w:tr>
        <w:trPr>
          <w:cantSplit/>
        </w:trPr>
        <w:tc>
          <w:tcPr>
            <w:tcW w:type="dxa" w:w="3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PP_canon_municipal_mef_anio.csv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Útil</w:t>
            </w:r>
          </w:p>
        </w:tc>
        <w:tc>
          <w:tcPr>
            <w:tcW w:type="dxa" w:w="3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both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Canon y sobrecanon petrolero recaudado por cada municipalidad y año según el MEF (2007–hoy); completa los años sin detalle de PERUPETRO.</w:t>
            </w:r>
          </w:p>
        </w:tc>
      </w:tr>
      <w:tr>
        <w:trPr>
          <w:cantSplit/>
        </w:trPr>
        <w:tc>
          <w:tcPr>
            <w:tcW w:type="dxa" w:w="3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PP_canon_departamento_mes.csv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Útil (serie oficial)</w:t>
            </w:r>
          </w:p>
        </w:tc>
        <w:tc>
          <w:tcPr>
            <w:tcW w:type="dxa" w:w="3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both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Serie oficial de canon por departamento y mes (MM S/), 1993–hoy, con control contra el PDF.</w:t>
            </w:r>
          </w:p>
        </w:tc>
      </w:tr>
      <w:tr>
        <w:trPr>
          <w:cantSplit/>
        </w:trPr>
        <w:tc>
          <w:tcPr>
            <w:tcW w:type="dxa" w:w="3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PP_canon_departamento_anio.csv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Útil (serie oficial)</w:t>
            </w:r>
          </w:p>
        </w:tc>
        <w:tc>
          <w:tcPr>
            <w:tcW w:type="dxa" w:w="3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both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Serie oficial de canon por departamento y año (MM S/), 1993–hoy, con control contra el PDF anual.</w:t>
            </w:r>
          </w:p>
        </w:tc>
      </w:tr>
      <w:tr>
        <w:trPr>
          <w:cantSplit/>
        </w:trPr>
        <w:tc>
          <w:tcPr>
            <w:tcW w:type="dxa" w:w="3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PP_canon_departamento_mes_pdf.csv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Control</w:t>
            </w:r>
          </w:p>
        </w:tc>
        <w:tc>
          <w:tcPr>
            <w:tcW w:type="dxa" w:w="3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both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Canon por departamento y mes según las estadísticas mensuales en PDF; sirve para validar la serie oficial.</w:t>
            </w:r>
          </w:p>
        </w:tc>
      </w:tr>
      <w:tr>
        <w:trPr>
          <w:cantSplit/>
        </w:trPr>
        <w:tc>
          <w:tcPr>
            <w:tcW w:type="dxa" w:w="3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PP_canon_departamento_anio_pdf.csv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Control</w:t>
            </w:r>
          </w:p>
        </w:tc>
        <w:tc>
          <w:tcPr>
            <w:tcW w:type="dxa" w:w="3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both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Canon por departamento y año según las estadísticas anuales en PDF; sirve para validar la serie oficial.</w:t>
            </w:r>
          </w:p>
        </w:tc>
      </w:tr>
      <w:tr>
        <w:trPr>
          <w:cantSplit/>
        </w:trPr>
        <w:tc>
          <w:tcPr>
            <w:tcW w:type="dxa" w:w="3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PP_operadores_lote.csv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Útil</w:t>
            </w:r>
          </w:p>
        </w:tc>
        <w:tc>
          <w:tcPr>
            <w:tcW w:type="dxa" w:w="3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both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Quién operó cada lote y en qué años, con su producción y regalías en ese período.</w:t>
            </w:r>
          </w:p>
        </w:tc>
      </w:tr>
      <w:tr>
        <w:trPr>
          <w:cantSplit/>
        </w:trPr>
        <w:tc>
          <w:tcPr>
            <w:tcW w:type="dxa" w:w="3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PP_LOTES_GEO.csv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Útil</w:t>
            </w:r>
          </w:p>
        </w:tc>
        <w:tc>
          <w:tcPr>
            <w:tcW w:type="dxa" w:w="3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both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Una fila por lote con su ubicación (departamento, provincias, distritos), cuenca, distancias, áreas protegidas, comunidades y producción acumulada.</w:t>
            </w:r>
          </w:p>
        </w:tc>
      </w:tr>
      <w:tr>
        <w:trPr>
          <w:cantSplit/>
        </w:trPr>
        <w:tc>
          <w:tcPr>
            <w:tcW w:type="dxa" w:w="3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PP_LOTES_INDICADORES.csv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Útil</w:t>
            </w:r>
          </w:p>
        </w:tc>
        <w:tc>
          <w:tcPr>
            <w:tcW w:type="dxa" w:w="3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both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Una fila por lote con producción: estado, pico, producción actual, declinación, paralizaciones y operadores.</w:t>
            </w:r>
          </w:p>
        </w:tc>
      </w:tr>
      <w:tr>
        <w:trPr>
          <w:cantSplit/>
        </w:trPr>
        <w:tc>
          <w:tcPr>
            <w:tcW w:type="dxa" w:w="3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PP_LOTES_ESTADO_PRODUCTO.csv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Útil</w:t>
            </w:r>
          </w:p>
        </w:tc>
        <w:tc>
          <w:tcPr>
            <w:tcW w:type="dxa" w:w="3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both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Estado actual de cada campo por producto (petróleo, LGN/condensado, gas): en producción o paralizado, última producción y nivel actual.</w:t>
            </w:r>
          </w:p>
        </w:tc>
      </w:tr>
      <w:tr>
        <w:trPr>
          <w:cantSplit/>
        </w:trPr>
        <w:tc>
          <w:tcPr>
            <w:tcW w:type="dxa" w:w="3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PP_produccion_lote_mes_2026-2026.csv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Redundante</w:t>
            </w:r>
          </w:p>
        </w:tc>
        <w:tc>
          <w:tcPr>
            <w:tcW w:type="dxa" w:w="3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both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Subconjunto de PP_produccion_lote_mes_1994-2026.csv creado por una corrida solo de 2026.</w:t>
            </w:r>
          </w:p>
        </w:tc>
      </w:tr>
      <w:tr>
        <w:trPr>
          <w:cantSplit/>
        </w:trPr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PP_produccion_gas_lote_mes_2026-2026.csv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Redundante</w:t>
            </w:r>
          </w:p>
        </w:tc>
        <w:tc>
          <w:tcPr>
            <w:tcW w:type="dxa" w:w="3626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both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Subconjunto de PP_produccion_gas_lote_mes_1994-2026.csv creado por una corrida solo de 2026.</w:t>
            </w:r>
          </w:p>
        </w:tc>
      </w:tr>
    </w:tbl>
    <w:p>
      <w:pPr>
        <w:spacing w:after="240" w:line="480"/>
        <w:jc w:val="both"/>
      </w:pPr>
      <w:r>
        <w:rPr>
          <w:rFonts w:ascii="Arial" w:cs="Arial" w:eastAsia="Arial" w:hAnsi="Arial"/>
          <w:i/>
          <w:iCs/>
          <w:color w:val="000000"/>
          <w:sz w:val="24"/>
          <w:szCs w:val="24"/>
        </w:rPr>
        <w:t xml:space="preserve">Nota.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 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Cada archivo útil o de control tiene su propio diccionario de variables (Word) con el mismo nombre.</w:t>
      </w:r>
    </w:p>
    <w:p>
      <w:pPr>
        <w:keepNext/>
        <w:spacing w:line="480"/>
        <w:jc w:val="center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Archivos redundantes</w:t>
      </w:r>
    </w:p>
    <w:p>
      <w:pPr>
        <w:spacing w:after="0" w:before="0" w:line="480"/>
        <w:ind w:firstLine="720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Los archivos PP_produccion_lote_mes_2026-2026.csv y PP_produccion_gas_lote_mes_2026-2026.csv se crean cuando el notebook de producción se corre solo para 2026. Tienen las mismas variables que los archivos 1994-2026 y sus filas ya están contenidas en ellos, siempre que la corrida 1994-2026 sea igual o posterior. El mapa siempre usa el archivo de mayor cobertura (1994-2026).</w:t>
      </w:r>
    </w:p>
    <w:p>
      <w:pPr>
        <w:spacing w:after="0" w:before="0" w:line="480"/>
        <w:ind w:firstLine="720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Antes de borrarlos conviene comparar su fecha de modificación en Drive: si el archivo 2026-2026 es más reciente que el 1994-2026, este último no tiene los últimos meses publicados y debe volver a correrse el notebook de producción con el período 1994-2026.</w:t>
      </w:r>
    </w:p>
    <w:p>
      <w:pPr>
        <w:keepNext/>
        <w:spacing w:line="480"/>
        <w:jc w:val="center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Cómo se relacionan los archivos</w:t>
      </w:r>
    </w:p>
    <w:p>
      <w:pPr>
        <w:pStyle w:val="ListParagraph"/>
        <w:numPr>
          <w:ilvl w:val="0"/>
          <w:numId w:val="2"/>
        </w:numPr>
        <w:spacing w:line="480"/>
        <w:jc w:val="both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Por lote: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 LOTE (o LOTE_HISTORICO para series largas) une la producción, el gas, la producción diaria, los pozos, las regalías, la canasta, el valor de la producción, los contratos, el canon por lote y las tablas del mapa.</w:t>
      </w:r>
    </w:p>
    <w:p>
      <w:pPr>
        <w:pStyle w:val="ListParagraph"/>
        <w:numPr>
          <w:ilvl w:val="0"/>
          <w:numId w:val="2"/>
        </w:numPr>
        <w:spacing w:line="480"/>
        <w:jc w:val="both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Por departamento y mes: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 DEPARTAMENTO + AÑO + MES une la producción agregada con el canon mensual.</w:t>
      </w:r>
    </w:p>
    <w:p>
      <w:pPr>
        <w:pStyle w:val="ListParagraph"/>
        <w:numPr>
          <w:ilvl w:val="0"/>
          <w:numId w:val="2"/>
        </w:numPr>
        <w:spacing w:line="480"/>
        <w:jc w:val="both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Por campo: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 CAMPO agrupa los lotes que comparten polígono (p. ej., 1-AB y 192) en las tablas del mapa.</w:t>
      </w:r>
    </w:p>
    <w:p>
      <w:pPr>
        <w:pStyle w:val="ListParagraph"/>
        <w:numPr>
          <w:ilvl w:val="0"/>
          <w:numId w:val="2"/>
        </w:numPr>
        <w:spacing w:line="480"/>
        <w:jc w:val="both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Canon: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 la serie oficial por departamento (PP_canon_departamento_mes y _anio) sale de PP_canon_distribucion_mes; los archivos _pdf la validan; PP_canon_lote_mes explica de qué lote proviene y PP_canon_municipal_mes a qué municipalidad llega.</w:t>
      </w:r>
    </w:p>
    <w:p>
      <w:pPr>
        <w:keepNext/>
        <w:spacing w:line="480"/>
        <w:jc w:val="center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Convenciones</w:t>
      </w:r>
    </w:p>
    <w:p>
      <w:pPr>
        <w:keepNext/>
        <w:spacing w:before="240" w:line="48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Tabla 2</w:t>
      </w:r>
    </w:p>
    <w:p>
      <w:pPr>
        <w:keepNext/>
        <w:spacing w:line="480"/>
      </w:pPr>
      <w:r>
        <w:rPr>
          <w:rFonts w:ascii="Arial" w:cs="Arial" w:eastAsia="Arial" w:hAnsi="Arial"/>
          <w:i/>
          <w:iCs/>
          <w:color w:val="000000"/>
          <w:sz w:val="24"/>
          <w:szCs w:val="24"/>
        </w:rPr>
        <w:t xml:space="preserve">Unidades y convenciones de los archivos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600"/>
        <w:gridCol w:w="5126"/>
      </w:tblGrid>
      <w:tr>
        <w:trPr>
          <w:cantSplit/>
          <w:tblHeader/>
        </w:trPr>
        <w:tc>
          <w:tcPr>
            <w:tcW w:type="dxa" w:w="2300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4"/>
                <w:szCs w:val="24"/>
              </w:rPr>
              <w:t xml:space="preserve">Término</w:t>
            </w:r>
          </w:p>
        </w:tc>
        <w:tc>
          <w:tcPr>
            <w:tcW w:type="dxa" w:w="1600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4"/>
                <w:szCs w:val="24"/>
              </w:rPr>
              <w:t xml:space="preserve">Tipo</w:t>
            </w:r>
          </w:p>
        </w:tc>
        <w:tc>
          <w:tcPr>
            <w:tcW w:type="dxa" w:w="5126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4"/>
                <w:szCs w:val="24"/>
              </w:rPr>
              <w:t xml:space="preserve">Significado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bbl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Unidad</w:t>
            </w:r>
          </w:p>
        </w:tc>
        <w:tc>
          <w:tcPr>
            <w:tcW w:type="dxa" w:w="5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both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Barril estadounidense = 42 galones = 158,987 litros.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BPD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Unidad</w:t>
            </w:r>
          </w:p>
        </w:tc>
        <w:tc>
          <w:tcPr>
            <w:tcW w:type="dxa" w:w="5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both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Barriles por día calendario (barriles del mes ÷ días del mes).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MPC, MMPCD, BCF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Unidad (gas)</w:t>
            </w:r>
          </w:p>
        </w:tc>
        <w:tc>
          <w:tcPr>
            <w:tcW w:type="dxa" w:w="5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both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Miles de pies cúbicos; millones de pies cúbicos por día; miles de millones de pies cúbicos.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MM S/, MM US$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Unidad</w:t>
            </w:r>
          </w:p>
        </w:tc>
        <w:tc>
          <w:tcPr>
            <w:tcW w:type="dxa" w:w="5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both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Millones de soles corrientes; millones de dólares.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Fechas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Texto</w:t>
            </w:r>
          </w:p>
        </w:tc>
        <w:tc>
          <w:tcPr>
            <w:tcW w:type="dxa" w:w="5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both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Formato dd/mm/aaaa. En los datos mensuales, FECHA es el día 01 del mes.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Codificación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Archivo</w:t>
            </w:r>
          </w:p>
        </w:tc>
        <w:tc>
          <w:tcPr>
            <w:tcW w:type="dxa" w:w="5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both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CSV en UTF-8 con BOM, separador coma y punto decimal.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Celda vacía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—</w:t>
            </w:r>
          </w:p>
        </w:tc>
        <w:tc>
          <w:tcPr>
            <w:tcW w:type="dxa" w:w="5126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both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Sin dato.</w:t>
            </w:r>
          </w:p>
        </w:tc>
      </w:tr>
    </w:tbl>
    <w:p>
      <w:pPr>
        <w:spacing w:line="240"/>
      </w:pPr>
    </w:p>
    <w:p>
      <w:pPr>
        <w:keepNext/>
        <w:spacing w:line="480"/>
        <w:jc w:val="center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Referencias</w:t>
      </w:r>
    </w:p>
    <w:p>
      <w:pPr>
        <w:spacing w:line="480"/>
        <w:ind w:left="720" w:hanging="720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Lehner, B., &amp; Grill, G. (2013). Global river hydrography and network routing: Baseline data and new approaches to study the world’s large river systems. </w:t>
      </w:r>
      <w:r>
        <w:rPr>
          <w:rFonts w:ascii="Arial" w:cs="Arial" w:eastAsia="Arial" w:hAnsi="Arial"/>
          <w:i/>
          <w:iCs/>
          <w:color w:val="000000"/>
          <w:sz w:val="24"/>
          <w:szCs w:val="24"/>
        </w:rPr>
        <w:t xml:space="preserve">Hydrological Processes, 27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(15), 2171–2186. https://doi.org/10.1002/hyp.9740</w:t>
      </w:r>
    </w:p>
    <w:p>
      <w:pPr>
        <w:spacing w:line="480"/>
        <w:ind w:left="720" w:hanging="720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Ministerio de Economía y Finanzas. (s. f.). </w:t>
      </w:r>
      <w:r>
        <w:rPr>
          <w:rFonts w:ascii="Arial" w:cs="Arial" w:eastAsia="Arial" w:hAnsi="Arial"/>
          <w:i/>
          <w:iCs/>
          <w:color w:val="000000"/>
          <w:sz w:val="24"/>
          <w:szCs w:val="24"/>
        </w:rPr>
        <w:t xml:space="preserve">Consulta Amigable de Ingresos (mensual)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 [Base de datos]. Recuperado el 20 de octubre de 2026, de https://apps5.mineco.gob.pe/transparenciaingresos/mensual/</w:t>
      </w:r>
    </w:p>
    <w:p>
      <w:pPr>
        <w:spacing w:line="480"/>
        <w:ind w:left="720" w:hanging="720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PERUPETRO S.A. (s. f.-a). </w:t>
      </w:r>
      <w:r>
        <w:rPr>
          <w:rFonts w:ascii="Arial" w:cs="Arial" w:eastAsia="Arial" w:hAnsi="Arial"/>
          <w:i/>
          <w:iCs/>
          <w:color w:val="000000"/>
          <w:sz w:val="24"/>
          <w:szCs w:val="24"/>
        </w:rPr>
        <w:t xml:space="preserve">Canon municipalidades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 [Archivos Excel «Canon por Año» por departamento]. Recuperado el 20 de octubre de 2026, de https://www.perupetro.com.pe</w:t>
      </w:r>
    </w:p>
    <w:p>
      <w:pPr>
        <w:spacing w:line="480"/>
        <w:ind w:left="720" w:hanging="720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PERUPETRO S.A. (s. f.-b). </w:t>
      </w:r>
      <w:r>
        <w:rPr>
          <w:rFonts w:ascii="Arial" w:cs="Arial" w:eastAsia="Arial" w:hAnsi="Arial"/>
          <w:i/>
          <w:iCs/>
          <w:color w:val="000000"/>
          <w:sz w:val="24"/>
          <w:szCs w:val="24"/>
        </w:rPr>
        <w:t xml:space="preserve">Canon y sobre canon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 [Archivos Excel de determinación y de distribución del canon]. Recuperado el 20 de octubre de 2026, de https://www.perupetro.com.pe</w:t>
      </w:r>
    </w:p>
    <w:p>
      <w:pPr>
        <w:spacing w:line="480"/>
        <w:ind w:left="720" w:hanging="720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PERUPETRO S.A. (s. f.-c). </w:t>
      </w:r>
      <w:r>
        <w:rPr>
          <w:rFonts w:ascii="Arial" w:cs="Arial" w:eastAsia="Arial" w:hAnsi="Arial"/>
          <w:i/>
          <w:iCs/>
          <w:color w:val="000000"/>
          <w:sz w:val="24"/>
          <w:szCs w:val="24"/>
        </w:rPr>
        <w:t xml:space="preserve">Estadística petrolera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 [Estadísticas anuales y mensuales de hidrocarburos en PDF]. Recuperado el 20 de octubre de 2026, de https://www.perupetro.com.pe</w:t>
      </w:r>
    </w:p>
    <w:p>
      <w:pPr>
        <w:spacing w:line="480"/>
        <w:ind w:left="720" w:hanging="720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PERUPETRO S.A. (s. f.-d). </w:t>
      </w:r>
      <w:r>
        <w:rPr>
          <w:rFonts w:ascii="Arial" w:cs="Arial" w:eastAsia="Arial" w:hAnsi="Arial"/>
          <w:i/>
          <w:iCs/>
          <w:color w:val="000000"/>
          <w:sz w:val="24"/>
          <w:szCs w:val="24"/>
        </w:rPr>
        <w:t xml:space="preserve">Geoportal de PERUPETRO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 [Servicio WFS de lotes de contrato y cuencas sedimentarias]. Recuperado el 20 de octubre de 2026, de https://geoportal.perupetro.com.pe</w:t>
      </w:r>
    </w:p>
    <w:p>
      <w:pPr>
        <w:spacing w:line="480"/>
        <w:ind w:left="720" w:hanging="720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PERUPETRO S.A. (s. f.-e). </w:t>
      </w:r>
      <w:r>
        <w:rPr>
          <w:rFonts w:ascii="Arial" w:cs="Arial" w:eastAsia="Arial" w:hAnsi="Arial"/>
          <w:i/>
          <w:iCs/>
          <w:color w:val="000000"/>
          <w:sz w:val="24"/>
          <w:szCs w:val="24"/>
        </w:rPr>
        <w:t xml:space="preserve">Producción diaria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 [Reportes diarios de producción fiscalizada en PDF]. Recuperado el 20 de octubre de 2026, de https://www.perupetro.com.pe</w:t>
      </w:r>
    </w:p>
    <w:p>
      <w:pPr>
        <w:spacing w:line="480"/>
        <w:ind w:left="720" w:hanging="720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Runfola, D., Anderson, A., Baier, H., Crittenden, M., Dowker, E., Fuhrig, S., Goodman, S., Grimsley, G., Layko, R., Melville, G., Mulder, M., Oberman, R., Panganiban, J., Peck, A., Seitz, L., Shea, S., Slevin, H., Youngerman, R., &amp; Hobbs, L. (2020). geoBoundaries: A global database of political administrative boundaries. </w:t>
      </w:r>
      <w:r>
        <w:rPr>
          <w:rFonts w:ascii="Arial" w:cs="Arial" w:eastAsia="Arial" w:hAnsi="Arial"/>
          <w:i/>
          <w:iCs/>
          <w:color w:val="000000"/>
          <w:sz w:val="24"/>
          <w:szCs w:val="24"/>
        </w:rPr>
        <w:t xml:space="preserve">PLoS ONE, 15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(4), Artículo e0231866. https://doi.org/10.1371/journal.pone.0231866</w:t>
      </w:r>
    </w:p>
    <w:sectPr>
      <w:head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000000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Proyecto Petróleo (scraper-mef)</dc:creator>
  <cp:lastModifiedBy>Un-named</cp:lastModifiedBy>
  <cp:revision>1</cp:revision>
  <dcterms:created xsi:type="dcterms:W3CDTF">2026-10-21T14:01:38.243Z</dcterms:created>
  <dcterms:modified xsi:type="dcterms:W3CDTF">2026-10-21T14:01:38.251Z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