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rPr>
          <w:rFonts w:ascii="Arial" w:cs="Arial" w:eastAsia="Arial" w:hAnsi="Arial"/>
          <w:b/>
          <w:bCs/>
          <w:color w:val="000000"/>
          <w:sz w:val="24"/>
          <w:szCs w:val="24"/>
        </w:rPr>
        <w:t xml:space="preserve">Diccionario de datos: PP_precio_canasta_lote_mes.csv</w:t>
      </w:r>
    </w:p>
    <w:p>
      <w:pPr>
        <w:spacing w:line="480"/>
        <w:jc w:val="center"/>
      </w:pPr>
      <w:r>
        <w:rPr>
          <w:rFonts w:ascii="Arial" w:cs="Arial" w:eastAsia="Arial" w:hAnsi="Arial"/>
          <w:color w:val="000000"/>
          <w:sz w:val="24"/>
          <w:szCs w:val="24"/>
        </w:rPr>
        <w:t xml:space="preserve">Proyecto Petróleo</w:t>
      </w:r>
    </w:p>
    <w:p>
      <w:pPr>
        <w:spacing w:line="480"/>
        <w:jc w:val="center"/>
      </w:pPr>
      <w:r>
        <w:rPr>
          <w:rFonts w:ascii="Arial" w:cs="Arial" w:eastAsia="Arial" w:hAnsi="Arial"/>
          <w:color w:val="000000"/>
          <w:sz w:val="24"/>
          <w:szCs w:val="24"/>
        </w:rPr>
        <w:t xml:space="preserve">Versión del 20 de octubre de 2026</w:t>
      </w:r>
    </w:p>
    <w:p>
      <w:pPr>
        <w:keepNext/>
        <w:spacing w:line="480"/>
        <w:jc w:val="center"/>
      </w:pPr>
      <w:r>
        <w:rPr>
          <w:rFonts w:ascii="Arial" w:cs="Arial" w:eastAsia="Arial" w:hAnsi="Arial"/>
          <w:b/>
          <w:bCs/>
          <w:color w:val="000000"/>
          <w:sz w:val="24"/>
          <w:szCs w:val="24"/>
        </w:rPr>
        <w:t xml:space="preserve">Propósito del archivo</w:t>
      </w:r>
    </w:p>
    <w:p>
      <w:pPr>
        <w:spacing w:after="0" w:before="0" w:line="480"/>
        <w:ind w:firstLine="720"/>
        <w:jc w:val="both"/>
      </w:pPr>
      <w:r>
        <w:rPr>
          <w:rFonts w:ascii="Arial" w:cs="Arial" w:eastAsia="Arial" w:hAnsi="Arial"/>
          <w:color w:val="000000"/>
          <w:sz w:val="24"/>
          <w:szCs w:val="24"/>
        </w:rPr>
        <w:t xml:space="preserve">Contiene el precio de canasta mensual de los hidrocarburos líquidos de cada lote, en dólares por barril, de la tabla «Valor mensual del precio de canasta de hidrocarburos líquidos» de PERUPETRO S.A. (s. f.-c). Es el precio con el que se calculan las regalías.</w:t>
      </w:r>
    </w:p>
    <w:p>
      <w:pPr>
        <w:spacing w:after="0" w:before="0" w:line="480"/>
        <w:ind w:firstLine="720"/>
        <w:jc w:val="both"/>
      </w:pPr>
      <w:r>
        <w:rPr>
          <w:rFonts w:ascii="Arial" w:cs="Arial" w:eastAsia="Arial" w:hAnsi="Arial"/>
          <w:color w:val="000000"/>
          <w:sz w:val="24"/>
          <w:szCs w:val="24"/>
        </w:rPr>
        <w:t xml:space="preserve">Sirve para analizar precios por lote y para valorizar la producción (PP_valor_produccion_lote_mes.csv).</w:t>
      </w:r>
    </w:p>
    <w:p>
      <w:pPr>
        <w:keepNext/>
        <w:spacing w:line="480"/>
        <w:jc w:val="left"/>
      </w:pPr>
      <w:r>
        <w:rPr>
          <w:rFonts w:ascii="Arial" w:cs="Arial" w:eastAsia="Arial" w:hAnsi="Arial"/>
          <w:b/>
          <w:bCs/>
          <w:color w:val="000000"/>
          <w:sz w:val="24"/>
          <w:szCs w:val="24"/>
        </w:rPr>
        <w:t xml:space="preserve">Origen y actualización</w:t>
      </w:r>
    </w:p>
    <w:p>
      <w:pPr>
        <w:spacing w:after="0" w:before="0" w:line="480"/>
        <w:ind w:firstLine="720"/>
        <w:jc w:val="both"/>
      </w:pPr>
      <w:r>
        <w:rPr>
          <w:rFonts w:ascii="Arial" w:cs="Arial" w:eastAsia="Arial" w:hAnsi="Arial"/>
          <w:color w:val="000000"/>
          <w:sz w:val="24"/>
          <w:szCs w:val="24"/>
        </w:rPr>
        <w:t xml:space="preserve">Notebook PP_Produccion_Lotes.ipynb, de las estadísticas anuales. Cuando el PDF agrupa lotes («VII y V», «31B-31D / 31C») se repite el precio para cada uno; en 2001 el PDF da un solo precio para la zona NOROESTE.</w:t>
      </w:r>
    </w:p>
    <w:p>
      <w:pPr>
        <w:keepNext/>
        <w:spacing w:line="480"/>
        <w:jc w:val="left"/>
      </w:pPr>
      <w:r>
        <w:rPr>
          <w:rFonts w:ascii="Arial" w:cs="Arial" w:eastAsia="Arial" w:hAnsi="Arial"/>
          <w:b/>
          <w:bCs/>
          <w:color w:val="000000"/>
          <w:sz w:val="24"/>
          <w:szCs w:val="24"/>
        </w:rPr>
        <w:t xml:space="preserve">Unidad de observación</w:t>
      </w:r>
    </w:p>
    <w:p>
      <w:pPr>
        <w:spacing w:after="0" w:before="0" w:line="480"/>
        <w:ind w:firstLine="720"/>
        <w:jc w:val="both"/>
      </w:pPr>
      <w:r>
        <w:rPr>
          <w:rFonts w:ascii="Arial" w:cs="Arial" w:eastAsia="Arial" w:hAnsi="Arial"/>
          <w:color w:val="000000"/>
          <w:sz w:val="24"/>
          <w:szCs w:val="24"/>
        </w:rPr>
        <w:t xml:space="preserve">Un año, un mes, un lote y una variante. Clave: AÑO + MES + LOTE + VARIANTE.</w:t>
      </w:r>
    </w:p>
    <w:p>
      <w:pPr>
        <w:keepNext/>
        <w:spacing w:line="480"/>
        <w:jc w:val="left"/>
      </w:pPr>
      <w:r>
        <w:rPr>
          <w:rFonts w:ascii="Arial" w:cs="Arial" w:eastAsia="Arial" w:hAnsi="Arial"/>
          <w:b/>
          <w:bCs/>
          <w:color w:val="000000"/>
          <w:sz w:val="24"/>
          <w:szCs w:val="24"/>
        </w:rPr>
        <w:t xml:space="preserve">Formato</w:t>
      </w:r>
    </w:p>
    <w:p>
      <w:pPr>
        <w:spacing w:after="0" w:before="0" w:line="480"/>
        <w:ind w:firstLine="720"/>
        <w:jc w:val="both"/>
      </w:pPr>
      <w:r>
        <w:rPr>
          <w:rFonts w:ascii="Arial" w:cs="Arial" w:eastAsia="Arial" w:hAnsi="Arial"/>
          <w:color w:val="000000"/>
          <w:sz w:val="24"/>
          <w:szCs w:val="24"/>
        </w:rPr>
        <w:t xml:space="preserve">Archivo CSV separado por comas, codificado en UTF-8 con BOM (se abre directamente en Excel con tildes correctas) y con punto decimal. Una celda vacía significa sin dato.</w:t>
      </w:r>
    </w:p>
    <w:p>
      <w:pPr>
        <w:keepNext/>
        <w:spacing w:line="480"/>
        <w:jc w:val="center"/>
      </w:pPr>
      <w:r>
        <w:rPr>
          <w:rFonts w:ascii="Arial" w:cs="Arial" w:eastAsia="Arial" w:hAnsi="Arial"/>
          <w:b/>
          <w:bCs/>
          <w:color w:val="000000"/>
          <w:sz w:val="24"/>
          <w:szCs w:val="24"/>
        </w:rPr>
        <w:t xml:space="preserve">Variables</w:t>
      </w:r>
    </w:p>
    <w:p>
      <w:pPr>
        <w:spacing w:after="0" w:before="0" w:line="480"/>
        <w:ind w:firstLine="720"/>
        <w:jc w:val="both"/>
      </w:pPr>
      <w:r>
        <w:rPr>
          <w:rFonts w:ascii="Arial" w:cs="Arial" w:eastAsia="Arial" w:hAnsi="Arial"/>
          <w:color w:val="000000"/>
          <w:sz w:val="24"/>
          <w:szCs w:val="24"/>
        </w:rPr>
        <w:t xml:space="preserve">La Tabla 1 describe cada variable (columna) del archivo, en el orden en que aparecen.</w:t>
      </w:r>
    </w:p>
    <w:p>
      <w:pPr>
        <w:keepNext/>
        <w:spacing w:before="240" w:line="480"/>
      </w:pPr>
      <w:r>
        <w:rPr>
          <w:rFonts w:ascii="Arial" w:cs="Arial" w:eastAsia="Arial" w:hAnsi="Arial"/>
          <w:b/>
          <w:bCs/>
          <w:color w:val="000000"/>
          <w:sz w:val="24"/>
          <w:szCs w:val="24"/>
        </w:rPr>
        <w:t xml:space="preserve">Tabla 1</w:t>
      </w:r>
    </w:p>
    <w:p>
      <w:pPr>
        <w:keepNext/>
        <w:spacing w:line="480"/>
      </w:pPr>
      <w:r>
        <w:rPr>
          <w:rFonts w:ascii="Arial" w:cs="Arial" w:eastAsia="Arial" w:hAnsi="Arial"/>
          <w:i/>
          <w:iCs/>
          <w:color w:val="000000"/>
          <w:sz w:val="24"/>
          <w:szCs w:val="24"/>
        </w:rPr>
        <w:t xml:space="preserve">Variables del archivo PP_precio_canasta_lote_mes.csv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126"/>
      </w:tblGrid>
      <w:tr>
        <w:trPr>
          <w:cantSplit/>
          <w:tblHeader/>
        </w:trPr>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jc w:val="center"/>
            </w:pPr>
            <w:r>
              <w:rPr>
                <w:rFonts w:ascii="Arial" w:cs="Arial" w:eastAsia="Arial" w:hAnsi="Arial"/>
                <w:b/>
                <w:bCs/>
                <w:color w:val="000000"/>
                <w:sz w:val="24"/>
                <w:szCs w:val="24"/>
              </w:rPr>
              <w:t xml:space="preserve">Variable</w:t>
            </w:r>
          </w:p>
        </w:tc>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jc w:val="center"/>
            </w:pPr>
            <w:r>
              <w:rPr>
                <w:rFonts w:ascii="Arial" w:cs="Arial" w:eastAsia="Arial" w:hAnsi="Arial"/>
                <w:b/>
                <w:bCs/>
                <w:color w:val="000000"/>
                <w:sz w:val="24"/>
                <w:szCs w:val="24"/>
              </w:rPr>
              <w:t xml:space="preserve">Tipo y unidad</w:t>
            </w:r>
          </w:p>
        </w:tc>
        <w:tc>
          <w:tcPr>
            <w:tcW w:type="dxa" w:w="4126"/>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jc w:val="center"/>
            </w:pPr>
            <w:r>
              <w:rPr>
                <w:rFonts w:ascii="Arial" w:cs="Arial" w:eastAsia="Arial" w:hAnsi="Arial"/>
                <w:b/>
                <w:bCs/>
                <w:color w:val="000000"/>
                <w:sz w:val="24"/>
                <w:szCs w:val="24"/>
              </w:rPr>
              <w:t xml:space="preserve">Descripción</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AÑO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Entero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Año calendario del dato.</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MES</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Entero (1–12)</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Mes calendario (1 = enero, 12 = diciembre).</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FECHA</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fecha dd/mm/aaaa</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Primer día del mes al que corresponde el dato (01/03/2015 = marzo de 2015). Sirve para ordenar y graficar series.</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LOTE</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(código)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Lote homologado (o NOROESTE en 2001).</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VARIANTE</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(código)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Vacío si el lote tiene un solo precio; P = petróleo y L = líquidos del lote Z-69; LGN = líquidos del lote Z-2B.</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LOTE_PDF</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Etiqueta tal como figura en el PDF.</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PRECIO_US$_BBL</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Decimal, US$ por barril</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Precio de canasta del mes.</w:t>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ESTADO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 (código)</w:t>
            </w:r>
          </w:p>
        </w:tc>
        <w:tc>
          <w:tcPr>
            <w:tcW w:type="dxa" w:w="41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OK (leído del PDF) o «IMPUTADO (12 × promedio − otros meses)» cuando un solo mes era ilegible y se completó con el promedio anual impreso.</w:t>
            </w:r>
          </w:p>
        </w:tc>
      </w:tr>
      <w:tr>
        <w:trPr>
          <w:cantSplit/>
        </w:trPr>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FUENTE</w:t>
            </w:r>
          </w:p>
        </w:tc>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jc w:val="left"/>
            </w:pPr>
            <w:r>
              <w:rPr>
                <w:rFonts w:ascii="Arial" w:cs="Arial" w:eastAsia="Arial" w:hAnsi="Arial"/>
                <w:color w:val="000000"/>
                <w:sz w:val="24"/>
                <w:szCs w:val="24"/>
              </w:rPr>
              <w:t xml:space="preserve">Texto</w:t>
            </w:r>
          </w:p>
        </w:tc>
        <w:tc>
          <w:tcPr>
            <w:tcW w:type="dxa" w:w="4126"/>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jc w:val="both"/>
            </w:pPr>
            <w:r>
              <w:rPr>
                <w:rFonts w:ascii="Arial" w:cs="Arial" w:eastAsia="Arial" w:hAnsi="Arial"/>
                <w:color w:val="000000"/>
                <w:sz w:val="24"/>
                <w:szCs w:val="24"/>
              </w:rPr>
              <w:t xml:space="preserve">PDF de origen: PP_ANUAL_&lt;edición&gt;.pdf usado para ese año.</w:t>
            </w:r>
          </w:p>
        </w:tc>
      </w:tr>
    </w:tbl>
    <w:p>
      <w:pPr>
        <w:spacing w:line="240"/>
      </w:pPr>
    </w:p>
    <w:p>
      <w:pPr>
        <w:keepNext/>
        <w:spacing w:line="480"/>
        <w:jc w:val="center"/>
      </w:pPr>
      <w:r>
        <w:rPr>
          <w:rFonts w:ascii="Arial" w:cs="Arial" w:eastAsia="Arial" w:hAnsi="Arial"/>
          <w:b/>
          <w:bCs/>
          <w:color w:val="000000"/>
          <w:sz w:val="24"/>
          <w:szCs w:val="24"/>
        </w:rPr>
        <w:t xml:space="preserve">Referencias</w:t>
      </w:r>
    </w:p>
    <w:p>
      <w:pPr>
        <w:spacing w:line="480"/>
        <w:ind w:left="720" w:hanging="720"/>
        <w:jc w:val="both"/>
      </w:pPr>
      <w:r>
        <w:rPr>
          <w:rFonts w:ascii="Arial" w:cs="Arial" w:eastAsia="Arial" w:hAnsi="Arial"/>
          <w:color w:val="000000"/>
          <w:sz w:val="24"/>
          <w:szCs w:val="24"/>
        </w:rPr>
        <w:t xml:space="preserve">PERUPETRO S.A. (s. f.-c). </w:t>
      </w:r>
      <w:r>
        <w:rPr>
          <w:rFonts w:ascii="Arial" w:cs="Arial" w:eastAsia="Arial" w:hAnsi="Arial"/>
          <w:i/>
          <w:iCs/>
          <w:color w:val="000000"/>
          <w:sz w:val="24"/>
          <w:szCs w:val="24"/>
        </w:rPr>
        <w:t xml:space="preserve">Estadística petrolera</w:t>
      </w:r>
      <w:r>
        <w:rPr>
          <w:rFonts w:ascii="Arial" w:cs="Arial" w:eastAsia="Arial" w:hAnsi="Arial"/>
          <w:color w:val="000000"/>
          <w:sz w:val="24"/>
          <w:szCs w:val="24"/>
        </w:rPr>
        <w:t xml:space="preserve"> [Estadísticas anuales y mensuales de hidrocarburos en PDF]. Recuperado el 20 de octubre de 2026, de https://www.perupetro.com.pe</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000000"/>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Proyecto Petróleo (scraper-mef)</dc:creator>
  <cp:lastModifiedBy>Un-named</cp:lastModifiedBy>
  <cp:revision>1</cp:revision>
  <dcterms:created xsi:type="dcterms:W3CDTF">2026-10-21T14:01:38.458Z</dcterms:created>
  <dcterms:modified xsi:type="dcterms:W3CDTF">2026-10-21T14:01:38.458Z</dcterms:modified>
</cp:coreProperties>
</file>

<file path=docProps/custom.xml><?xml version="1.0" encoding="utf-8"?>
<Properties xmlns="http://schemas.openxmlformats.org/officeDocument/2006/custom-properties" xmlns:vt="http://schemas.openxmlformats.org/officeDocument/2006/docPropsVTypes"/>
</file>