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PP_produccion_gas_lote_mes_1994-2026.csv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la producción fiscalizada mensual de gas natural de cada lote, en miles de pies cúbicos (MPC), desde enero de 1994. Proviene de la tabla «Producción fiscalizada mensual de gas natural (MPC)» de las estadísticas de PERUPETRO S.A. (s. f.-c).</w:t>
      </w:r>
    </w:p>
    <w:p>
      <w:pPr>
        <w:spacing w:after="0" w:before="0" w:line="480"/>
        <w:ind w:firstLine="720"/>
        <w:jc w:val="both"/>
      </w:pPr>
      <w:r>
        <w:rPr>
          <w:rFonts w:ascii="Arial" w:cs="Arial" w:eastAsia="Arial" w:hAnsi="Arial"/>
          <w:color w:val="000000"/>
          <w:sz w:val="24"/>
          <w:szCs w:val="24"/>
        </w:rPr>
        <w:t xml:space="preserve">Sirve para analizar la producción de gas por lote y departamento (p. ej., Lote 31-C en Ucayali), para el gas acumulado de cada campo del mapa y para el historial de operadores.</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de los mismos PDF que la producción de líquidos. Los años 1994–2000 se transcribieron a mano desde los escaneos y cuadran con los totales del PDF; desde 2001 se extraen del PDF digital.</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lote y un mes. Clave única: AÑO + MES + LOTE.</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PP_produccion_gas_lote_mes_1994-2026.csv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ZONA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Zona geográfica de PERUPETRO: NOROESTE, ZOCALO (zócalo continental, en el mar), SELVA NORTE, SELVA CENTRAL o SELVA SUR. Se toma del encabezado de la tabla del PDF o, si no lo trae, de una tabla fija por lote.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Departamento donde se ubica el lote: el que tiene la mayor parte de su área según el mapa de lotes (PP_LOTES_GEO.csv). Si el lote no tiene polígono, se asigna por la zona (SELVA NORTE → LORETO) o queda vacío.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DEPARTAMENTO_FUENTE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Cómo se asignó el departamento: MAPA (polígono del lote), ZONA (por la zona de PERUPETRO) o vacío.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OPERADOR</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Empresa que opera el lote según el PDF de ese año, con el nombre homologado (se corrigen nombres cortados y erratas, p. ej., PLUSPETRO → PLUSPETROL). Es el operador de ese período, no necesariamente el actual.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OPERADOR_ORIGINAL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Nombre del operador tal como aparece en el PDF; permite auditar la homologación.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Código homologado del contrato, sin la palabra «Lote» y con guion estándar (p. ej., 192, 1-AB, 8, 95, Z-2B, 31-B/D, X). Los contratos temporales conservan el sufijo (T).</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LOTE_HISTORICO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Agrupa los contratos que corresponden al mismo campo a lo largo del tiempo (p. ej., 1-AB y 192 → 1-AB/192). No lleva el sufijo (T). Se usa para series largas y rankings.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LOTE_ORIGINAL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Lote tal como aparece escrito en el PDF (p. ej., «31-C ( LGN )», «Z - 2B»); permite auditar.</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PRODUCTO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Siempre GAS NATURAL.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MPC</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miles de pies cúbicos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Gas natural fiscalizado del mes.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MMPCD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pies cúbicos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MPC ÷ días del mes ÷ 1 000, con tres decimales.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ESTADO_FILA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OK, REVISAR o TRANSCRITO (1994–2000). Como el PDF redondea cada celda, se acepta hasta 6 MPC de diferencia entre la suma de los meses y el total del lote.</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w:t>
            </w:r>
          </w:p>
        </w:tc>
      </w:tr>
    </w:tbl>
    <w:p>
      <w:pPr>
        <w:spacing w:after="240" w:line="480"/>
        <w:jc w:val="both"/>
      </w:pPr>
      <w:r>
        <w:rPr>
          <w:rFonts w:ascii="Arial" w:cs="Arial" w:eastAsia="Arial" w:hAnsi="Arial"/>
          <w:i/>
          <w:iCs/>
          <w:color w:val="000000"/>
          <w:sz w:val="24"/>
          <w:szCs w:val="24"/>
        </w:rPr>
        <w:t xml:space="preserve">Nota.</w:t>
      </w:r>
      <w:r>
        <w:rPr>
          <w:rFonts w:ascii="Arial" w:cs="Arial" w:eastAsia="Arial" w:hAnsi="Arial"/>
          <w:color w:val="000000"/>
          <w:sz w:val="24"/>
          <w:szCs w:val="24"/>
        </w:rPr>
        <w:t xml:space="preserve"> </w:t>
      </w:r>
      <w:r>
        <w:rPr>
          <w:rFonts w:ascii="Arial" w:cs="Arial" w:eastAsia="Arial" w:hAnsi="Arial"/>
          <w:color w:val="000000"/>
          <w:sz w:val="24"/>
          <w:szCs w:val="24"/>
        </w:rPr>
        <w:t xml:space="preserve">Se descartan la versión en MMBTU, la producción «de campo» y los balances de gas del PDF.</w:t>
      </w: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2026-10-20T15:05:35.332Z</dcterms:created>
  <dcterms:modified xsi:type="dcterms:W3CDTF">2026-10-20T15:05:35.332Z</dcterms:modified>
</cp:coreProperties>
</file>

<file path=docProps/custom.xml><?xml version="1.0" encoding="utf-8"?>
<Properties xmlns="http://schemas.openxmlformats.org/officeDocument/2006/custom-properties" xmlns:vt="http://schemas.openxmlformats.org/officeDocument/2006/docPropsVTypes"/>
</file>