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24"/>
          <w:szCs w:val="24"/>
        </w:rPr>
        <w:t xml:space="preserve">3. Extracción de petróleo, gas, minerales y servicios conexos</w:t>
      </w:r>
    </w:p>
    <w:p>
      <w:pPr>
        <w:spacing w:after="160" w:line="276"/>
        <w:jc w:val="both"/>
      </w:pPr>
      <w:r>
        <w:rPr>
          <w:rFonts w:ascii="Arial" w:cs="Arial" w:eastAsia="Arial" w:hAnsi="Arial"/>
          <w:sz w:val="22"/>
          <w:szCs w:val="22"/>
        </w:rPr>
        <w:t xml:space="preserve">En los últimos diez años, la extracción de petróleo, gas y minerales en Ucayali registró una contracción promedio anual de 12,2 por ciento, en contraste con el crecimiento de 1,6 por ciento del VAB regional, con lo cual su participación en la economía regional pasó de 8,2 por ciento en el año 2015 a 1,9 por ciento en el año 2025; asimismo, su importancia respecto al total país cayó de 0,6 por ciento en el año 2007 a 0,1 por ciento en el año 2025. Para este año, el VAB de la actividad disminuyó 18,2 por ciento interanual, a S/ 93 millones a precios de 2007, el nivel más bajo de la serie 2015–2025, con lo cual se ubicó como la penúltima actividad en importancia, con un aporte de 1,9 por ciento (2,4 por ciento en 2024), y restó 0,4 puntos porcentuales al crecimiento de 2,5 por ciento de la economía ucayalina; sin esta actividad, el VAB regional habría crecido 3,0 por ciento. En el año 2016 se observó una disminución interanual de 26,5 por ciento, y tras un leve repunte en 2017 y 2018 (0,6 y 3,2 por ciento), la actividad acumula siete años consecutivos de caída desde 2019, entre los que destaca la contracción de 35,3 por ciento en 2020. Esta trayectoria responde a la declinación de los dos lotes de la Selva Central que sostienen la actividad hidrocarburífera de la región: el Lote 31-C (Aguaytía), productor de gas natural y líquidos de gas natural (LGN), ubicado íntegramente en Ucayali, y el Lote 131, productor de petróleo, cuya área se reparte entre Ucayali (57,5 por ciento) y Huánuco (42,5 por ciento).</w:t>
      </w:r>
    </w:p>
    <w:p>
      <w:pPr>
        <w:spacing w:after="160" w:line="276"/>
        <w:jc w:val="both"/>
      </w:pPr>
      <w:r>
        <w:rPr>
          <w:rFonts w:ascii="Arial" w:cs="Arial" w:eastAsia="Arial" w:hAnsi="Arial"/>
          <w:sz w:val="22"/>
          <w:szCs w:val="22"/>
        </w:rPr>
        <w:t xml:space="preserve">Para el año 2025, ambos lotes acentuaron su declinación. El Lote 31-C, operado por Aguaytía Energy del Perú S.R.L., titular del 100 por ciento del contrato de licencia (16,6 mil hectáreas), suscrito el 30 de marzo de 1994 y vigente hasta el 29 de marzo de 2034, registró 1 021 millones de pies cúbicos de gas natural fiscalizado (2,8 millones de pies cúbicos diarios), 59,9 por ciento menos que en 2024 y apenas el 0,2 por ciento del total nacional; su producción de LGN se redujo 85,0 por ciento, a 4,4 mil barriles, registrada solo en enero y febrero, frente a 471 mil barriles en 2016. Esta empresa participa, además, con el 21,29 por ciento en el contrato del Lote X, en el noroeste, operado por OIG Perú. Por su parte, el Lote 131, operado por Ucawa Energy S.A.C. (denominada Cepsa hasta noviembre de 2024), titular del 100 por ciento del contrato de licencia (15,5 mil hectáreas), suscrito el 21 de noviembre de 2007 y vigente hasta el 18 de enero de 2038, produjo 185 mil barriles de petróleo (505 barriles diarios), 34,3 por ciento menos que en 2024 y equivalente al 1,1 por ciento del crudo nacional; su producción viene cayendo desde 2019, cuando alcanzó 1,1 millones de barriles (3,1 mil barriles diarios). Al 31 de diciembre de 2025, estos eran los únicos contratos en fase de explotación con área en Ucayali, y ningún contrato de exploración vigente se ubicaba en la región; en el año no se perforaron pozos en estos lotes, y la última perforación del Lote 131 fue un pozo de desarrollo en 2018.</w:t>
      </w:r>
    </w:p>
    <w:p>
      <w:pPr>
        <w:spacing w:after="160" w:line="276"/>
        <w:jc w:val="both"/>
      </w:pPr>
      <w:r>
        <w:rPr>
          <w:rFonts w:ascii="Arial" w:cs="Arial" w:eastAsia="Arial" w:hAnsi="Arial"/>
          <w:sz w:val="22"/>
          <w:szCs w:val="22"/>
        </w:rPr>
        <w:t xml:space="preserve">Como resultado, las regalías pagadas por el Lote 31-C se redujeron 64,2 por ciento, a US$ 1,8 millones (US$ 1,7 millones por gas natural y US$ 0,1 millones por LGN), y las del Lote 131 cayeron 45,7 por ciento, a US$ 2,5 millones. Sin embargo, el canon y sobrecanon petrolero transferido a Ucayali, que ascendió a S/ 55,3 millones en 2025 (8,5 por ciento menos que en 2024 y 2,5 por ciento del total del país), depende principalmente de la producción de Loreto: según la determinación del canon de PERUPETRO, a Ucayali le corresponde el 20 por ciento del canon generado por los lotes de la zona Loreto / Ucayali y el 80 por ciento del generado por el Lote 31-C, de modo que el 80,9 por ciento de su canon provino del Lote 95, el 15,8 por ciento del Lote 8 y solo el 3,6 por ciento del Lote 31-C; el canon del Lote 131, en cambio, se transfiere íntegramente a la provincia de Puerto Inca (Huánuco). Las transferencias mensuales bajaron de S/ 5,9 millones en enero a S/ 3,3 millones en diciembre, con lo cual el segundo semestre fue 28,8 por ciento menor que el primero, en línea con la declinación del Lote 95 y la caída del precio del crudo. Del total transferido, el 47,0 por ciento correspondió al Gobierno Regional de Ucayali y el 44,7 por ciento a los concejos municipales.</w:t>
      </w:r>
    </w:p>
    <w:p>
      <w:pPr>
        <w:spacing w:before="120"/>
        <w:jc w:val="both"/>
      </w:pPr>
      <w:r>
        <w:rPr>
          <w:rFonts w:ascii="Arial" w:cs="Arial" w:eastAsia="Arial" w:hAnsi="Arial"/>
          <w:b/>
          <w:bCs/>
          <w:sz w:val="16"/>
          <w:szCs w:val="16"/>
        </w:rPr>
        <w:t xml:space="preserve">Fuente:</w:t>
      </w:r>
      <w:r>
        <w:rPr>
          <w:rFonts w:ascii="Arial" w:cs="Arial" w:eastAsia="Arial" w:hAnsi="Arial"/>
          <w:sz w:val="16"/>
          <w:szCs w:val="16"/>
        </w:rPr>
        <w:t xml:space="preserve"> INEI, Valor Agregado Bruto de Ucayali por actividades económicas, valores a precios constantes de 2007 (cuadro 1, serie 2015–2025; 2023 y 2024 preliminares, 2025 estimado) y Producto Bruto Interno por actividades económicas según departamentos, estructura porcentual (cuadros 74 y 180, años 2007 y 2025). PERUPETRO, Estadística Anual de Hidrocarburos 2024 y 2025: producción fiscalizada de hidrocarburos líquidos de la Selva Central 2016–2025 (PDF de 2025, pág. 34) y mensual 2025 (pág. 29), producción fiscalizada de gas natural 2016–2025 (pág. 43), pozos perforados por contrato (págs. 22–24), ingresos al fisco por contrato (pág. 80) y contratos vigentes al 31.12.2025 (págs. 84 y 85); Estadística Mensual de enero de 2026 (canon por departamento); «Canon por Año Ucayali» (Distribución) y «Canon Petrolero 2025» (Determinación), Excel de la página Canon y Sobre Canon. Área de los lotes por departamento: cruce del polígono de cada lote con los límites departamentales, mapa de lotes del proyecto. Elaboración propia. Nota: para el canon de 2025 se utiliza la suma de las transferencias mensuales (S/ 55,3 millones), igual en el Excel de Distribución y en la Estadística Mensual de enero de 2026, dado que la Estadística Anual 2025 consigna S/ 52,0 millones.</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2026-10-19T16:59:50.085Z</dcterms:created>
  <dcterms:modified xsi:type="dcterms:W3CDTF">2026-10-19T16:59:50.091Z</dcterms:modified>
</cp:coreProperties>
</file>

<file path=docProps/custom.xml><?xml version="1.0" encoding="utf-8"?>
<Properties xmlns="http://schemas.openxmlformats.org/officeDocument/2006/custom-properties" xmlns:vt="http://schemas.openxmlformats.org/officeDocument/2006/docPropsVTypes"/>
</file>