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Calibri" w:hAnsi="Calibri"/>
          <w:b/>
          <w:color w:val="16222D"/>
          <w:sz w:val="36"/>
        </w:rPr>
        <w:t>Small nursery test for coral wounds</w:t>
      </w:r>
    </w:p>
    <w:p>
      <w:pPr>
        <w:spacing w:after="120"/>
      </w:pPr>
      <w:r>
        <w:rPr>
          <w:rFonts w:ascii="Calibri" w:hAnsi="Calibri"/>
          <w:color w:val="55616E"/>
          <w:sz w:val="19"/>
        </w:rPr>
        <w:t>Draft one-pager for Hannah Stewart and Coral Gardeners</w:t>
      </w:r>
    </w:p>
    <w:p>
      <w:pPr>
        <w:spacing w:before="140" w:after="40"/>
      </w:pPr>
      <w:r>
        <w:rPr>
          <w:rFonts w:ascii="Calibri" w:hAnsi="Calibri"/>
          <w:b/>
          <w:color w:val="1F4D78"/>
          <w:sz w:val="21"/>
        </w:rPr>
        <w:t>Plain-language idea</w:t>
      </w:r>
    </w:p>
    <w:p>
      <w:pPr>
        <w:spacing w:after="80" w:line="252" w:lineRule="auto"/>
      </w:pPr>
      <w:r>
        <w:rPr>
          <w:rFonts w:ascii="Calibri" w:hAnsi="Calibri"/>
          <w:color w:val="202B36"/>
          <w:sz w:val="19"/>
        </w:rPr>
        <w:t>When coral fragments are made, some surfaces are left as fresh exposed skeleton. Those spots can foul, collect sediment, or heal slowly. We could run a small nursery test to ask whether covering those wounds helps enough to justify the extra time and cost.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E2E1"/>
          <w:left w:val="single" w:sz="6" w:space="0" w:color="D9E2E1"/>
          <w:bottom w:val="single" w:sz="6" w:space="0" w:color="D9E2E1"/>
          <w:right w:val="single" w:sz="6" w:space="0" w:color="D9E2E1"/>
          <w:insideH w:val="single" w:sz="6" w:space="0" w:color="D9E2E1"/>
          <w:insideV w:val="single" w:sz="6" w:space="0" w:color="D9E2E1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02B36"/>
                <w:sz w:val="18"/>
              </w:rPr>
              <w:t>Open wound</w:t>
              <w:br/>
            </w:r>
            <w:r>
              <w:rPr>
                <w:rFonts w:ascii="Calibri" w:hAnsi="Calibri"/>
                <w:color w:val="202B36"/>
                <w:sz w:val="18"/>
              </w:rPr>
              <w:t>No cover. This is the comparison group.</w:t>
            </w:r>
          </w:p>
        </w:tc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02B36"/>
                <w:sz w:val="18"/>
              </w:rPr>
              <w:t>Concrete</w:t>
              <w:br/>
            </w:r>
            <w:r>
              <w:rPr>
                <w:rFonts w:ascii="Calibri" w:hAnsi="Calibri"/>
                <w:color w:val="202B36"/>
                <w:sz w:val="18"/>
              </w:rPr>
              <w:t>Cheap mineral cover.</w:t>
            </w:r>
          </w:p>
        </w:tc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shd w:fill="E8F3F9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02B36"/>
                <w:sz w:val="18"/>
              </w:rPr>
              <w:t>Apoxie Sculpt</w:t>
              <w:br/>
            </w:r>
            <w:r>
              <w:rPr>
                <w:rFonts w:ascii="Calibri" w:hAnsi="Calibri"/>
                <w:color w:val="202B36"/>
                <w:sz w:val="18"/>
              </w:rPr>
              <w:t>Epoxy benchmark Adrian has used.</w:t>
            </w:r>
          </w:p>
        </w:tc>
        <w:tc>
          <w:tcPr>
            <w:tcW w:type="dxa" w:w="2477"/>
            <w:tcMar>
              <w:top w:w="80" w:type="dxa"/>
              <w:start w:w="100" w:type="dxa"/>
              <w:bottom w:w="80" w:type="dxa"/>
              <w:end w:w="100" w:type="dxa"/>
            </w:tcMar>
            <w:shd w:fill="FFF5DF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202B36"/>
                <w:sz w:val="18"/>
              </w:rPr>
              <w:t>Scripps material</w:t>
              <w:br/>
            </w:r>
            <w:r>
              <w:rPr>
                <w:rFonts w:ascii="Calibri" w:hAnsi="Calibri"/>
                <w:color w:val="202B36"/>
                <w:sz w:val="18"/>
              </w:rPr>
              <w:t>Only include if it can safely cover a fresh wound.</w:t>
            </w:r>
          </w:p>
        </w:tc>
      </w:tr>
    </w:tbl>
    <w:p>
      <w:pPr>
        <w:spacing w:before="140" w:after="40"/>
      </w:pPr>
      <w:r>
        <w:rPr>
          <w:rFonts w:ascii="Calibri" w:hAnsi="Calibri"/>
          <w:b/>
          <w:color w:val="1F4D78"/>
          <w:sz w:val="21"/>
        </w:rPr>
        <w:t>Simple design</w:t>
      </w:r>
    </w:p>
    <w:p>
      <w:pPr>
        <w:pStyle w:val="ListBullet"/>
        <w:spacing w:after="30" w:line="240" w:lineRule="auto"/>
        <w:ind w:left="317" w:hanging="173"/>
      </w:pPr>
      <w:r>
        <w:rPr>
          <w:rFonts w:ascii="Calibri" w:hAnsi="Calibri"/>
          <w:color w:val="202B36"/>
          <w:sz w:val="18"/>
        </w:rPr>
        <w:t>Use healthy nursery fragments, ideally from known parent colonies.</w:t>
      </w:r>
    </w:p>
    <w:p>
      <w:pPr>
        <w:pStyle w:val="ListBullet"/>
        <w:spacing w:after="30" w:line="240" w:lineRule="auto"/>
        <w:ind w:left="317" w:hanging="173"/>
      </w:pPr>
      <w:r>
        <w:rPr>
          <w:rFonts w:ascii="Calibri" w:hAnsi="Calibri"/>
          <w:color w:val="202B36"/>
          <w:sz w:val="18"/>
        </w:rPr>
        <w:t>Make the same small wound on each fragment.</w:t>
      </w:r>
    </w:p>
    <w:p>
      <w:pPr>
        <w:pStyle w:val="ListBullet"/>
        <w:spacing w:after="30" w:line="240" w:lineRule="auto"/>
        <w:ind w:left="317" w:hanging="173"/>
      </w:pPr>
      <w:r>
        <w:rPr>
          <w:rFonts w:ascii="Calibri" w:hAnsi="Calibri"/>
          <w:color w:val="202B36"/>
          <w:sz w:val="18"/>
        </w:rPr>
        <w:t>Randomly assign fragments to the four treatments above.</w:t>
      </w:r>
    </w:p>
    <w:p>
      <w:pPr>
        <w:pStyle w:val="ListBullet"/>
        <w:spacing w:after="30" w:line="240" w:lineRule="auto"/>
        <w:ind w:left="317" w:hanging="173"/>
      </w:pPr>
      <w:r>
        <w:rPr>
          <w:rFonts w:ascii="Calibri" w:hAnsi="Calibri"/>
          <w:color w:val="202B36"/>
          <w:sz w:val="18"/>
        </w:rPr>
        <w:t>Keep each cover type spread across parent colonies, so we can tell whether the cover matters.</w:t>
      </w:r>
    </w:p>
    <w:p>
      <w:pPr>
        <w:pStyle w:val="ListBullet"/>
        <w:spacing w:after="30" w:line="240" w:lineRule="auto"/>
        <w:ind w:left="317" w:hanging="173"/>
      </w:pPr>
      <w:r>
        <w:rPr>
          <w:rFonts w:ascii="Calibri" w:hAnsi="Calibri"/>
          <w:color w:val="202B36"/>
          <w:sz w:val="18"/>
        </w:rPr>
        <w:t>Return fragments to the nursery and avoid placing one treatment only in one good or bad spot.</w:t>
      </w:r>
    </w:p>
    <w:p>
      <w:pPr>
        <w:spacing w:before="140" w:after="40"/>
      </w:pPr>
      <w:r>
        <w:rPr>
          <w:rFonts w:ascii="Calibri" w:hAnsi="Calibri"/>
          <w:b/>
          <w:color w:val="1F4D78"/>
          <w:sz w:val="21"/>
        </w:rPr>
        <w:t>What we would measure</w:t>
      </w:r>
    </w:p>
    <w:p>
      <w:pPr>
        <w:pStyle w:val="ListBullet"/>
        <w:spacing w:after="30" w:line="240" w:lineRule="auto"/>
        <w:ind w:left="317" w:hanging="173"/>
      </w:pPr>
      <w:r>
        <w:rPr>
          <w:rFonts w:ascii="Calibri" w:hAnsi="Calibri"/>
          <w:color w:val="202B36"/>
          <w:sz w:val="18"/>
        </w:rPr>
        <w:t>Does the material stay on the wound?</w:t>
      </w:r>
    </w:p>
    <w:p>
      <w:pPr>
        <w:pStyle w:val="ListBullet"/>
        <w:spacing w:after="30" w:line="240" w:lineRule="auto"/>
        <w:ind w:left="317" w:hanging="173"/>
      </w:pPr>
      <w:r>
        <w:rPr>
          <w:rFonts w:ascii="Calibri" w:hAnsi="Calibri"/>
          <w:color w:val="202B36"/>
          <w:sz w:val="18"/>
        </w:rPr>
        <w:t>How fast does live tissue grow back over the wound?</w:t>
      </w:r>
    </w:p>
    <w:p>
      <w:pPr>
        <w:pStyle w:val="ListBullet"/>
        <w:spacing w:after="30" w:line="240" w:lineRule="auto"/>
        <w:ind w:left="317" w:hanging="173"/>
      </w:pPr>
      <w:r>
        <w:rPr>
          <w:rFonts w:ascii="Calibri" w:hAnsi="Calibri"/>
          <w:color w:val="202B36"/>
          <w:sz w:val="18"/>
        </w:rPr>
        <w:t>How much algae, sediment, or other buildup appears on the wound or cover?</w:t>
      </w:r>
    </w:p>
    <w:p>
      <w:pPr>
        <w:pStyle w:val="ListBullet"/>
        <w:spacing w:after="30" w:line="240" w:lineRule="auto"/>
        <w:ind w:left="317" w:hanging="173"/>
      </w:pPr>
      <w:r>
        <w:rPr>
          <w:rFonts w:ascii="Calibri" w:hAnsi="Calibri"/>
          <w:color w:val="202B36"/>
          <w:sz w:val="18"/>
        </w:rPr>
        <w:t>Is there any tissue loss, disease, bleaching, or death?</w:t>
      </w:r>
    </w:p>
    <w:p>
      <w:pPr>
        <w:pStyle w:val="ListBullet"/>
        <w:spacing w:after="30" w:line="240" w:lineRule="auto"/>
        <w:ind w:left="317" w:hanging="173"/>
      </w:pPr>
      <w:r>
        <w:rPr>
          <w:rFonts w:ascii="Calibri" w:hAnsi="Calibri"/>
          <w:color w:val="202B36"/>
          <w:sz w:val="18"/>
        </w:rPr>
        <w:t>Is there visible new skeleton or scar infill?</w:t>
      </w:r>
    </w:p>
    <w:p>
      <w:pPr>
        <w:pStyle w:val="ListBullet"/>
        <w:spacing w:after="30" w:line="240" w:lineRule="auto"/>
        <w:ind w:left="317" w:hanging="173"/>
      </w:pPr>
      <w:r>
        <w:rPr>
          <w:rFonts w:ascii="Calibri" w:hAnsi="Calibri"/>
          <w:color w:val="202B36"/>
          <w:sz w:val="18"/>
        </w:rPr>
        <w:t>How long does each treatment take to prepare and apply?</w:t>
      </w:r>
    </w:p>
    <w:p>
      <w:pPr>
        <w:spacing w:before="140" w:after="40"/>
      </w:pPr>
      <w:r>
        <w:rPr>
          <w:rFonts w:ascii="Calibri" w:hAnsi="Calibri"/>
          <w:b/>
          <w:color w:val="1F4D78"/>
          <w:sz w:val="21"/>
        </w:rPr>
        <w:t>Suggested checks through time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1"/>
          <w:left w:val="single" w:sz="4" w:space="0" w:color="D9E2E1"/>
          <w:bottom w:val="single" w:sz="4" w:space="0" w:color="D9E2E1"/>
          <w:right w:val="single" w:sz="4" w:space="0" w:color="D9E2E1"/>
          <w:insideH w:val="single" w:sz="4" w:space="0" w:color="D9E2E1"/>
          <w:insideV w:val="single" w:sz="4" w:space="0" w:color="D9E2E1"/>
        </w:tblBorders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987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2B36"/>
                <w:sz w:val="18"/>
              </w:rPr>
              <w:t>T0</w:t>
            </w:r>
          </w:p>
        </w:tc>
        <w:tc>
          <w:tcPr>
            <w:tcW w:type="dxa" w:w="1987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2B36"/>
                <w:sz w:val="18"/>
              </w:rPr>
              <w:t>2 weeks</w:t>
            </w:r>
          </w:p>
        </w:tc>
        <w:tc>
          <w:tcPr>
            <w:tcW w:type="dxa" w:w="1987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2B36"/>
                <w:sz w:val="18"/>
              </w:rPr>
              <w:t>1 month</w:t>
            </w:r>
          </w:p>
        </w:tc>
        <w:tc>
          <w:tcPr>
            <w:tcW w:type="dxa" w:w="1987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2B36"/>
                <w:sz w:val="18"/>
              </w:rPr>
              <w:t>3 months</w:t>
            </w:r>
          </w:p>
        </w:tc>
        <w:tc>
          <w:tcPr>
            <w:tcW w:type="dxa" w:w="1987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2B36"/>
                <w:sz w:val="18"/>
              </w:rPr>
              <w:t>6 months</w:t>
            </w:r>
          </w:p>
        </w:tc>
      </w:tr>
      <w:tr>
        <w:tc>
          <w:tcPr>
            <w:tcW w:type="dxa" w:w="1987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02B36"/>
                <w:sz w:val="17"/>
              </w:rPr>
              <w:t>photo + wound size</w:t>
            </w:r>
          </w:p>
        </w:tc>
        <w:tc>
          <w:tcPr>
            <w:tcW w:type="dxa" w:w="1987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02B36"/>
                <w:sz w:val="17"/>
              </w:rPr>
              <w:t>early loss + algae</w:t>
            </w:r>
          </w:p>
        </w:tc>
        <w:tc>
          <w:tcPr>
            <w:tcW w:type="dxa" w:w="1987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02B36"/>
                <w:sz w:val="17"/>
              </w:rPr>
              <w:t>early closure</w:t>
            </w:r>
          </w:p>
        </w:tc>
        <w:tc>
          <w:tcPr>
            <w:tcW w:type="dxa" w:w="1987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02B36"/>
                <w:sz w:val="17"/>
              </w:rPr>
              <w:t>main healing check</w:t>
            </w:r>
          </w:p>
        </w:tc>
        <w:tc>
          <w:tcPr>
            <w:tcW w:type="dxa" w:w="1987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02B36"/>
                <w:sz w:val="17"/>
              </w:rPr>
              <w:t>cost/value decision</w:t>
            </w:r>
          </w:p>
        </w:tc>
      </w:tr>
    </w:tbl>
    <w:p>
      <w:pPr>
        <w:spacing w:before="140" w:after="40"/>
      </w:pPr>
      <w:r>
        <w:rPr>
          <w:rFonts w:ascii="Calibri" w:hAnsi="Calibri"/>
          <w:b/>
          <w:color w:val="1F4D78"/>
          <w:sz w:val="21"/>
        </w:rPr>
        <w:t>Important first decision</w:t>
      </w:r>
    </w:p>
    <w:p>
      <w:pPr>
        <w:spacing w:after="80" w:line="252" w:lineRule="auto"/>
      </w:pPr>
      <w:r>
        <w:rPr>
          <w:rFonts w:ascii="Calibri" w:hAnsi="Calibri"/>
          <w:color w:val="202B36"/>
          <w:sz w:val="19"/>
        </w:rPr>
        <w:t>Before treating the Scripps / Hybrid Reefs material as a wound cover, we should confirm what it is and what it is meant to do. If it is mainly a plug, tile, or baby-coral settlement material, it may be better as a separate nursery-surface test rather than a direct wound-cover test.</w:t>
      </w:r>
    </w:p>
    <w:p>
      <w:pPr>
        <w:spacing w:before="140" w:after="40"/>
      </w:pPr>
      <w:r>
        <w:rPr>
          <w:rFonts w:ascii="Calibri" w:hAnsi="Calibri"/>
          <w:b/>
          <w:color w:val="1F4D78"/>
          <w:sz w:val="21"/>
        </w:rPr>
        <w:t>Questions for Hannah</w:t>
      </w:r>
    </w:p>
    <w:p>
      <w:pPr>
        <w:pStyle w:val="ListBullet"/>
        <w:spacing w:after="30" w:line="240" w:lineRule="auto"/>
        <w:ind w:left="317" w:hanging="173"/>
      </w:pPr>
      <w:r>
        <w:rPr>
          <w:rFonts w:ascii="Calibri" w:hAnsi="Calibri"/>
          <w:color w:val="202B36"/>
          <w:sz w:val="18"/>
        </w:rPr>
        <w:t>Which wound is most useful to test: a cut fragment end, or a side scrape like a donor-colony wound?</w:t>
      </w:r>
    </w:p>
    <w:p>
      <w:pPr>
        <w:pStyle w:val="ListBullet"/>
        <w:spacing w:after="30" w:line="240" w:lineRule="auto"/>
        <w:ind w:left="317" w:hanging="173"/>
      </w:pPr>
      <w:r>
        <w:rPr>
          <w:rFonts w:ascii="Calibri" w:hAnsi="Calibri"/>
          <w:color w:val="202B36"/>
          <w:sz w:val="18"/>
        </w:rPr>
        <w:t>What exactly is the Scripps / Hybrid Reefs material, and can it touch fresh exposed skeleton?</w:t>
      </w:r>
    </w:p>
    <w:p>
      <w:pPr>
        <w:pStyle w:val="ListBullet"/>
        <w:spacing w:after="30" w:line="240" w:lineRule="auto"/>
        <w:ind w:left="317" w:hanging="173"/>
      </w:pPr>
      <w:r>
        <w:rPr>
          <w:rFonts w:ascii="Calibri" w:hAnsi="Calibri"/>
          <w:color w:val="202B36"/>
          <w:sz w:val="18"/>
        </w:rPr>
        <w:t>Could Coral Gardeners spare a small set of nursery fragments from known parent colonies?</w:t>
      </w:r>
    </w:p>
    <w:p>
      <w:pPr>
        <w:pStyle w:val="ListBullet"/>
        <w:spacing w:after="30" w:line="240" w:lineRule="auto"/>
        <w:ind w:left="317" w:hanging="173"/>
      </w:pPr>
      <w:r>
        <w:rPr>
          <w:rFonts w:ascii="Calibri" w:hAnsi="Calibri"/>
          <w:color w:val="202B36"/>
          <w:sz w:val="18"/>
        </w:rPr>
        <w:t>Would a 2-week, 1-month, 3-month, and 6-month check fit the normal nursery workflow?</w:t>
      </w:r>
    </w:p>
    <w:sectPr w:rsidR="00FC693F" w:rsidRPr="0006063C" w:rsidSect="00034616">
      <w:footerReference w:type="default" r:id="rId9"/>
      <w:pgSz w:w="12240" w:h="15840"/>
      <w:pgMar w:top="979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8828C"/>
        <w:sz w:val="16"/>
      </w:rPr>
      <w:t>RSE-Moorea / Coral Gardeners scoping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