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color w:val="16222D"/>
          <w:sz w:val="36"/>
        </w:rPr>
        <w:t>Nursery wound-cover test</w:t>
      </w:r>
    </w:p>
    <w:p>
      <w:pPr>
        <w:spacing w:after="120"/>
      </w:pPr>
      <w:r>
        <w:rPr>
          <w:rFonts w:ascii="Calibri" w:hAnsi="Calibri"/>
          <w:b w:val="0"/>
          <w:color w:val="55616E"/>
          <w:sz w:val="19"/>
        </w:rPr>
        <w:t>Short note for Hannah Stewart and Coral Gardeners</w:t>
      </w:r>
    </w:p>
    <w:p>
      <w:pPr>
        <w:spacing w:before="120" w:after="40"/>
      </w:pPr>
      <w:r>
        <w:rPr>
          <w:rFonts w:ascii="Calibri" w:hAnsi="Calibri"/>
          <w:b/>
          <w:color w:val="1F4D78"/>
          <w:sz w:val="21"/>
        </w:rPr>
        <w:t>Why test this</w:t>
      </w:r>
    </w:p>
    <w:p>
      <w:pPr>
        <w:spacing w:after="60" w:line="252" w:lineRule="auto"/>
      </w:pPr>
      <w:r>
        <w:rPr>
          <w:rFonts w:ascii="Calibri" w:hAnsi="Calibri"/>
          <w:b w:val="0"/>
          <w:color w:val="202B36"/>
          <w:sz w:val="18"/>
        </w:rPr>
        <w:t>When coral fragments are cut, the new edge leaves exposed skeleton. Those spots can collect algae, sediment, and other fouling before tissue grows back. A small nursery test can tell us whether covering the wound improves healing enough to justify the added handling time.</w:t>
      </w:r>
    </w:p>
    <w:p>
      <w:pPr>
        <w:spacing w:before="120" w:after="40"/>
      </w:pPr>
      <w:r>
        <w:rPr>
          <w:rFonts w:ascii="Calibri" w:hAnsi="Calibri"/>
          <w:b/>
          <w:color w:val="1F4D78"/>
          <w:sz w:val="21"/>
        </w:rPr>
        <w:t>Cover types to compare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1"/>
          <w:left w:val="single" w:sz="6" w:space="0" w:color="D9E2E1"/>
          <w:bottom w:val="single" w:sz="6" w:space="0" w:color="D9E2E1"/>
          <w:right w:val="single" w:sz="6" w:space="0" w:color="D9E2E1"/>
          <w:insideH w:val="single" w:sz="6" w:space="0" w:color="D9E2E1"/>
          <w:insideV w:val="single" w:sz="6" w:space="0" w:color="D9E2E1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B36"/>
                <w:sz w:val="18"/>
              </w:rPr>
              <w:t>Open wound</w:t>
              <w:br/>
            </w:r>
            <w:r>
              <w:rPr>
                <w:rFonts w:ascii="Calibri" w:hAnsi="Calibri"/>
                <w:b w:val="0"/>
                <w:color w:val="202B36"/>
                <w:sz w:val="17"/>
              </w:rPr>
              <w:t>No cover. Baseline comparison.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B36"/>
                <w:sz w:val="18"/>
              </w:rPr>
              <w:t>Concrete</w:t>
              <w:br/>
            </w:r>
            <w:r>
              <w:rPr>
                <w:rFonts w:ascii="Calibri" w:hAnsi="Calibri"/>
                <w:b w:val="0"/>
                <w:color w:val="202B36"/>
                <w:sz w:val="17"/>
              </w:rPr>
              <w:t>Low-cost mineral cover.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shd w:fill="E8F3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B36"/>
                <w:sz w:val="18"/>
              </w:rPr>
              <w:t>Apoxie Sculpt</w:t>
              <w:br/>
            </w:r>
            <w:r>
              <w:rPr>
                <w:rFonts w:ascii="Calibri" w:hAnsi="Calibri"/>
                <w:b w:val="0"/>
                <w:color w:val="202B36"/>
                <w:sz w:val="17"/>
              </w:rPr>
              <w:t>Epoxy treatment Adrian has used before.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shd w:fill="FFF5D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B36"/>
                <w:sz w:val="18"/>
              </w:rPr>
              <w:t>Scripps material</w:t>
              <w:br/>
            </w:r>
            <w:r>
              <w:rPr>
                <w:rFonts w:ascii="Calibri" w:hAnsi="Calibri"/>
                <w:b w:val="0"/>
                <w:color w:val="202B36"/>
                <w:sz w:val="17"/>
              </w:rPr>
              <w:t>Confirm its use case, then include it as the new-material comparison.</w:t>
            </w:r>
          </w:p>
        </w:tc>
      </w:tr>
    </w:tbl>
    <w:p>
      <w:pPr>
        <w:spacing w:before="120" w:after="40"/>
      </w:pPr>
      <w:r>
        <w:rPr>
          <w:rFonts w:ascii="Calibri" w:hAnsi="Calibri"/>
          <w:b/>
          <w:color w:val="1F4D78"/>
          <w:sz w:val="21"/>
        </w:rPr>
        <w:t>Design</w:t>
      </w:r>
    </w:p>
    <w:p>
      <w:pPr>
        <w:pStyle w:val="ListBullet"/>
        <w:spacing w:after="26" w:line="240" w:lineRule="auto"/>
        <w:ind w:left="317" w:hanging="173"/>
      </w:pPr>
      <w:r>
        <w:rPr>
          <w:rFonts w:ascii="Calibri" w:hAnsi="Calibri"/>
          <w:b w:val="0"/>
          <w:color w:val="202B36"/>
          <w:sz w:val="18"/>
        </w:rPr>
        <w:t>Use healthy nursery fragments from known parent colonies where possible.</w:t>
      </w:r>
    </w:p>
    <w:p>
      <w:pPr>
        <w:pStyle w:val="ListBullet"/>
        <w:spacing w:after="26" w:line="240" w:lineRule="auto"/>
        <w:ind w:left="317" w:hanging="173"/>
      </w:pPr>
      <w:r>
        <w:rPr>
          <w:rFonts w:ascii="Calibri" w:hAnsi="Calibri"/>
          <w:b w:val="0"/>
          <w:color w:val="202B36"/>
          <w:sz w:val="18"/>
        </w:rPr>
        <w:t>Make one small, repeatable wound on each fragment.</w:t>
      </w:r>
    </w:p>
    <w:p>
      <w:pPr>
        <w:pStyle w:val="ListBullet"/>
        <w:spacing w:after="26" w:line="240" w:lineRule="auto"/>
        <w:ind w:left="317" w:hanging="173"/>
      </w:pPr>
      <w:r>
        <w:rPr>
          <w:rFonts w:ascii="Calibri" w:hAnsi="Calibri"/>
          <w:b w:val="0"/>
          <w:color w:val="202B36"/>
          <w:sz w:val="18"/>
        </w:rPr>
        <w:t>Assign fragments at random to open wound, concrete, Apoxie Sculpt, or the Scripps material.</w:t>
      </w:r>
    </w:p>
    <w:p>
      <w:pPr>
        <w:pStyle w:val="ListBullet"/>
        <w:spacing w:after="26" w:line="240" w:lineRule="auto"/>
        <w:ind w:left="317" w:hanging="173"/>
      </w:pPr>
      <w:r>
        <w:rPr>
          <w:rFonts w:ascii="Calibri" w:hAnsi="Calibri"/>
          <w:b w:val="0"/>
          <w:color w:val="202B36"/>
          <w:sz w:val="18"/>
        </w:rPr>
        <w:t>Spread each cover type across parent colonies or genotypes, so the material effect is not mixed up with lineage.</w:t>
      </w:r>
    </w:p>
    <w:p>
      <w:pPr>
        <w:pStyle w:val="ListBullet"/>
        <w:spacing w:after="26" w:line="240" w:lineRule="auto"/>
        <w:ind w:left="317" w:hanging="173"/>
      </w:pPr>
      <w:r>
        <w:rPr>
          <w:rFonts w:ascii="Calibri" w:hAnsi="Calibri"/>
          <w:b w:val="0"/>
          <w:color w:val="202B36"/>
          <w:sz w:val="18"/>
        </w:rPr>
        <w:t>Spread treatments across the nursery instead of putting one cover type in one part of the array.</w:t>
      </w:r>
    </w:p>
    <w:p>
      <w:pPr>
        <w:pStyle w:val="ListBullet"/>
        <w:spacing w:after="26" w:line="240" w:lineRule="auto"/>
        <w:ind w:left="317" w:hanging="173"/>
      </w:pPr>
      <w:r>
        <w:rPr>
          <w:rFonts w:ascii="Calibri" w:hAnsi="Calibri"/>
          <w:b w:val="0"/>
          <w:color w:val="202B36"/>
          <w:sz w:val="18"/>
        </w:rPr>
        <w:t>Photograph each fragment the same way at every check.</w:t>
      </w:r>
    </w:p>
    <w:p>
      <w:pPr>
        <w:spacing w:before="120" w:after="40"/>
      </w:pPr>
      <w:r>
        <w:rPr>
          <w:rFonts w:ascii="Calibri" w:hAnsi="Calibri"/>
          <w:b/>
          <w:color w:val="1F4D78"/>
          <w:sz w:val="21"/>
        </w:rPr>
        <w:t>What to measure</w:t>
      </w:r>
    </w:p>
    <w:p>
      <w:pPr>
        <w:pStyle w:val="ListBullet"/>
        <w:spacing w:after="26" w:line="240" w:lineRule="auto"/>
        <w:ind w:left="317" w:hanging="173"/>
      </w:pPr>
      <w:r>
        <w:rPr>
          <w:rFonts w:ascii="Calibri" w:hAnsi="Calibri"/>
          <w:b w:val="0"/>
          <w:color w:val="202B36"/>
          <w:sz w:val="18"/>
        </w:rPr>
        <w:t>Cover retention: is the material still attached?</w:t>
      </w:r>
    </w:p>
    <w:p>
      <w:pPr>
        <w:pStyle w:val="ListBullet"/>
        <w:spacing w:after="26" w:line="240" w:lineRule="auto"/>
        <w:ind w:left="317" w:hanging="173"/>
      </w:pPr>
      <w:r>
        <w:rPr>
          <w:rFonts w:ascii="Calibri" w:hAnsi="Calibri"/>
          <w:b w:val="0"/>
          <w:color w:val="202B36"/>
          <w:sz w:val="18"/>
        </w:rPr>
        <w:t>Tissue regrowth: how much live tissue has grown back across the wound?</w:t>
      </w:r>
    </w:p>
    <w:p>
      <w:pPr>
        <w:pStyle w:val="ListBullet"/>
        <w:spacing w:after="26" w:line="240" w:lineRule="auto"/>
        <w:ind w:left="317" w:hanging="173"/>
      </w:pPr>
      <w:r>
        <w:rPr>
          <w:rFonts w:ascii="Calibri" w:hAnsi="Calibri"/>
          <w:b w:val="0"/>
          <w:color w:val="202B36"/>
          <w:sz w:val="18"/>
        </w:rPr>
        <w:t>Fouling: algae, sediment, and other buildup on the wound or cover.</w:t>
      </w:r>
    </w:p>
    <w:p>
      <w:pPr>
        <w:pStyle w:val="ListBullet"/>
        <w:spacing w:after="26" w:line="240" w:lineRule="auto"/>
        <w:ind w:left="317" w:hanging="173"/>
      </w:pPr>
      <w:r>
        <w:rPr>
          <w:rFonts w:ascii="Calibri" w:hAnsi="Calibri"/>
          <w:b w:val="0"/>
          <w:color w:val="202B36"/>
          <w:sz w:val="18"/>
        </w:rPr>
        <w:t>Coral health: tissue loss, disease signs, bleaching, or death.</w:t>
      </w:r>
    </w:p>
    <w:p>
      <w:pPr>
        <w:pStyle w:val="ListBullet"/>
        <w:spacing w:after="26" w:line="240" w:lineRule="auto"/>
        <w:ind w:left="317" w:hanging="173"/>
      </w:pPr>
      <w:r>
        <w:rPr>
          <w:rFonts w:ascii="Calibri" w:hAnsi="Calibri"/>
          <w:b w:val="0"/>
          <w:color w:val="202B36"/>
          <w:sz w:val="18"/>
        </w:rPr>
        <w:t>New skeleton: visible scar filling or new skeleton on the cut surface.</w:t>
      </w:r>
    </w:p>
    <w:p>
      <w:pPr>
        <w:pStyle w:val="ListBullet"/>
        <w:spacing w:after="26" w:line="240" w:lineRule="auto"/>
        <w:ind w:left="317" w:hanging="173"/>
      </w:pPr>
      <w:r>
        <w:rPr>
          <w:rFonts w:ascii="Calibri" w:hAnsi="Calibri"/>
          <w:b w:val="0"/>
          <w:color w:val="202B36"/>
          <w:sz w:val="18"/>
        </w:rPr>
        <w:t>Handling cost: minutes per fragment and any added material cost.</w:t>
      </w:r>
    </w:p>
    <w:p>
      <w:pPr>
        <w:spacing w:before="120" w:after="40"/>
      </w:pPr>
      <w:r>
        <w:rPr>
          <w:rFonts w:ascii="Calibri" w:hAnsi="Calibri"/>
          <w:b/>
          <w:color w:val="1F4D78"/>
          <w:sz w:val="21"/>
        </w:rPr>
        <w:t>Checks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1"/>
          <w:left w:val="single" w:sz="4" w:space="0" w:color="D9E2E1"/>
          <w:bottom w:val="single" w:sz="4" w:space="0" w:color="D9E2E1"/>
          <w:right w:val="single" w:sz="4" w:space="0" w:color="D9E2E1"/>
          <w:insideH w:val="single" w:sz="4" w:space="0" w:color="D9E2E1"/>
          <w:insideV w:val="single" w:sz="4" w:space="0" w:color="D9E2E1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16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2B36"/>
                <w:sz w:val="18"/>
              </w:rPr>
              <w:t>T0</w:t>
            </w:r>
          </w:p>
        </w:tc>
        <w:tc>
          <w:tcPr>
            <w:tcW w:type="dxa" w:w="2016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2B36"/>
                <w:sz w:val="18"/>
              </w:rPr>
              <w:t>2 weeks</w:t>
            </w:r>
          </w:p>
        </w:tc>
        <w:tc>
          <w:tcPr>
            <w:tcW w:type="dxa" w:w="2016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2B36"/>
                <w:sz w:val="18"/>
              </w:rPr>
              <w:t>1 month</w:t>
            </w:r>
          </w:p>
        </w:tc>
        <w:tc>
          <w:tcPr>
            <w:tcW w:type="dxa" w:w="2016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2B36"/>
                <w:sz w:val="18"/>
              </w:rPr>
              <w:t>3 months</w:t>
            </w:r>
          </w:p>
        </w:tc>
        <w:tc>
          <w:tcPr>
            <w:tcW w:type="dxa" w:w="2016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2B36"/>
                <w:sz w:val="18"/>
              </w:rPr>
              <w:t>6 months</w:t>
            </w:r>
          </w:p>
        </w:tc>
      </w:tr>
      <w:tr>
        <w:tc>
          <w:tcPr>
            <w:tcW w:type="dxa" w:w="2016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02B36"/>
                <w:sz w:val="17"/>
              </w:rPr>
              <w:t>photo + wound area</w:t>
            </w:r>
          </w:p>
        </w:tc>
        <w:tc>
          <w:tcPr>
            <w:tcW w:type="dxa" w:w="2016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02B36"/>
                <w:sz w:val="17"/>
              </w:rPr>
              <w:t>attachment + fouling</w:t>
            </w:r>
          </w:p>
        </w:tc>
        <w:tc>
          <w:tcPr>
            <w:tcW w:type="dxa" w:w="2016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02B36"/>
                <w:sz w:val="17"/>
              </w:rPr>
              <w:t>early healing</w:t>
            </w:r>
          </w:p>
        </w:tc>
        <w:tc>
          <w:tcPr>
            <w:tcW w:type="dxa" w:w="2016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02B36"/>
                <w:sz w:val="17"/>
              </w:rPr>
              <w:t>healing + health</w:t>
            </w:r>
          </w:p>
        </w:tc>
        <w:tc>
          <w:tcPr>
            <w:tcW w:type="dxa" w:w="2016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02B36"/>
                <w:sz w:val="17"/>
              </w:rPr>
              <w:t>cost/value call</w:t>
            </w:r>
          </w:p>
        </w:tc>
      </w:tr>
    </w:tbl>
    <w:p>
      <w:pPr>
        <w:spacing w:before="120" w:after="40"/>
      </w:pPr>
      <w:r>
        <w:rPr>
          <w:rFonts w:ascii="Calibri" w:hAnsi="Calibri"/>
          <w:b/>
          <w:color w:val="1F4D78"/>
          <w:sz w:val="21"/>
        </w:rPr>
        <w:t>Scripps material check</w:t>
      </w:r>
    </w:p>
    <w:p>
      <w:pPr>
        <w:spacing w:after="40" w:line="252" w:lineRule="auto"/>
      </w:pPr>
      <w:r>
        <w:rPr>
          <w:rFonts w:ascii="Calibri" w:hAnsi="Calibri"/>
          <w:b w:val="0"/>
          <w:color w:val="202B36"/>
          <w:sz w:val="18"/>
        </w:rPr>
        <w:t>The Scripps / Hybrid Reefs material belongs in this test if it can sit on a fresh coral wound. First, ask what the material is, how it cures or breaks down, whether it has touched living coral tissue before, and whether it is a cover, plug, tile, or settlement surface. If it is mainly a settlement surface, keep it as a separate nursery-surface test.</w:t>
      </w: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color w:val="1F4D78"/>
          <w:sz w:val="21"/>
        </w:rPr>
        <w:t>Experiment design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46520" cy="5013960"/>
            <wp:docPr id="1" name="Picture 1" descr="Experiment design figure showing material triage, randomized nursery-fragment wound treatments, monitoring, and decision ru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und-treatment-experiment-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501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hAnsi="Calibri"/>
          <w:b w:val="0"/>
          <w:color w:val="55616E"/>
          <w:sz w:val="17"/>
        </w:rPr>
        <w:t>Figure. The design keeps the test small, uses Coral Gardeners nursery fragments, and compares wound covers against an open-wound baseline.</w:t>
      </w:r>
    </w:p>
    <w:p>
      <w:pPr>
        <w:spacing w:before="40" w:after="40"/>
      </w:pPr>
      <w:r>
        <w:rPr>
          <w:rFonts w:ascii="Calibri" w:hAnsi="Calibri"/>
          <w:b/>
          <w:color w:val="1F4D78"/>
          <w:sz w:val="21"/>
        </w:rPr>
        <w:t>Figure notes</w:t>
      </w:r>
    </w:p>
    <w:p>
      <w:pPr>
        <w:pStyle w:val="ListBullet"/>
        <w:spacing w:after="20" w:line="240" w:lineRule="auto"/>
        <w:ind w:left="317" w:hanging="173"/>
      </w:pPr>
      <w:r>
        <w:rPr>
          <w:rFonts w:ascii="Calibri" w:hAnsi="Calibri"/>
          <w:b w:val="0"/>
          <w:color w:val="202B36"/>
          <w:sz w:val="17"/>
        </w:rPr>
        <w:t>Panel A: check the Scripps / Hybrid Reefs material first: composition, cure or breakdown, and contact with living coral.</w:t>
      </w:r>
    </w:p>
    <w:p>
      <w:pPr>
        <w:pStyle w:val="ListBullet"/>
        <w:spacing w:after="20" w:line="240" w:lineRule="auto"/>
        <w:ind w:left="317" w:hanging="173"/>
      </w:pPr>
      <w:r>
        <w:rPr>
          <w:rFonts w:ascii="Calibri" w:hAnsi="Calibri"/>
          <w:b w:val="0"/>
          <w:color w:val="202B36"/>
          <w:sz w:val="17"/>
        </w:rPr>
        <w:t>Panel B: make one repeatable wound per fragment, assign treatments at random, and track the same measures through time.</w:t>
      </w:r>
    </w:p>
    <w:p>
      <w:pPr>
        <w:pStyle w:val="ListBullet"/>
        <w:spacing w:after="20" w:line="240" w:lineRule="auto"/>
        <w:ind w:left="317" w:hanging="173"/>
      </w:pPr>
      <w:r>
        <w:rPr>
          <w:rFonts w:ascii="Calibri" w:hAnsi="Calibri"/>
          <w:b w:val="0"/>
          <w:color w:val="202B36"/>
          <w:sz w:val="17"/>
        </w:rPr>
        <w:t>Panel C: keep a cover only if it heals faster, does not create health problems, and is fast enough for nursery work.</w:t>
      </w:r>
    </w:p>
    <w:p>
      <w:pPr>
        <w:spacing w:before="80" w:after="40"/>
      </w:pPr>
      <w:r>
        <w:rPr>
          <w:rFonts w:ascii="Calibri" w:hAnsi="Calibri"/>
          <w:b/>
          <w:color w:val="1F4D78"/>
          <w:sz w:val="21"/>
        </w:rPr>
        <w:t>Questions for Hannah</w:t>
      </w:r>
    </w:p>
    <w:p>
      <w:pPr>
        <w:pStyle w:val="ListBullet"/>
        <w:spacing w:after="16" w:line="240" w:lineRule="auto"/>
        <w:ind w:left="317" w:hanging="173"/>
      </w:pPr>
      <w:r>
        <w:rPr>
          <w:rFonts w:ascii="Calibri" w:hAnsi="Calibri"/>
          <w:b w:val="0"/>
          <w:color w:val="202B36"/>
          <w:sz w:val="17"/>
        </w:rPr>
        <w:t>Which wound matters most for Coral Gardeners: a cut fragment end, or a side scrape like a donor-colony wound?</w:t>
      </w:r>
    </w:p>
    <w:p>
      <w:pPr>
        <w:pStyle w:val="ListBullet"/>
        <w:spacing w:after="16" w:line="240" w:lineRule="auto"/>
        <w:ind w:left="317" w:hanging="173"/>
      </w:pPr>
      <w:r>
        <w:rPr>
          <w:rFonts w:ascii="Calibri" w:hAnsi="Calibri"/>
          <w:b w:val="0"/>
          <w:color w:val="202B36"/>
          <w:sz w:val="17"/>
        </w:rPr>
        <w:t>What is the Scripps / Hybrid Reefs material: cover, plug, tile, or settlement surface?</w:t>
      </w:r>
    </w:p>
    <w:p>
      <w:pPr>
        <w:pStyle w:val="ListBullet"/>
        <w:spacing w:after="16" w:line="240" w:lineRule="auto"/>
        <w:ind w:left="317" w:hanging="173"/>
      </w:pPr>
      <w:r>
        <w:rPr>
          <w:rFonts w:ascii="Calibri" w:hAnsi="Calibri"/>
          <w:b w:val="0"/>
          <w:color w:val="202B36"/>
          <w:sz w:val="17"/>
        </w:rPr>
        <w:t>How many nursery fragments from known parent colonies can be used without disrupting production?</w:t>
      </w:r>
    </w:p>
    <w:p>
      <w:pPr>
        <w:pStyle w:val="ListBullet"/>
        <w:spacing w:after="16" w:line="240" w:lineRule="auto"/>
        <w:ind w:left="317" w:hanging="173"/>
      </w:pPr>
      <w:r>
        <w:rPr>
          <w:rFonts w:ascii="Calibri" w:hAnsi="Calibri"/>
          <w:b w:val="0"/>
          <w:color w:val="202B36"/>
          <w:sz w:val="17"/>
        </w:rPr>
        <w:t>Do the 2-week, 1-month, 3-month, and 6-month checks fit the normal nursery schedule?</w:t>
      </w:r>
    </w:p>
    <w:sectPr w:rsidR="00FC693F" w:rsidRPr="0006063C" w:rsidSect="00034616">
      <w:footerReference w:type="default" r:id="rId10"/>
      <w:pgSz w:w="12240" w:h="15840"/>
      <w:pgMar w:top="893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78828C"/>
        <w:sz w:val="16"/>
      </w:rPr>
      <w:t>RSE-Moorea / Coral Gardeners scoping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