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project_c0d093ce-ca61-4376-831f-c5039ff9bc03</w:t>
      </w:r>
    </w:p>
    <w:p>
      <w:pPr>
        <w:spacing w:after="130"/>
      </w:pPr>
      <w:r>
        <w:t xml:space="preserve">分析 ID analysis_7f8a990b-724a-4c64-a2f0-9da8c94dd2ba；输入修订 R7；状态 已完成</w:t>
      </w:r>
    </w:p>
    <w:p>
      <w:pPr>
        <w:spacing w:after="130"/>
      </w:pPr>
      <w:r>
        <w:t xml:space="preserve">分析时间 2026-10-02T13:51:53.347Z；报告生成时间 2026-10-02T13:51:55.059Z（ISO 8601）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历史结果未记录版本；算法 未记录；约束 未记录；相对主元阈值 未记录。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0.00002 m，节点 N2；分量 (0.00002, 0,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analysis_7f8a990b-724a-4c64-a2f0-9da8c94dd2ba；输入修订 R7；LC1 · 默认工况。</w:t>
      </w:r>
    </w:p>
    <w:p>
      <w:pPr>
        <w:spacing w:after="130"/>
      </w:pPr>
      <w:r>
        <w:t xml:space="preserve">所选步骤：杆件过程（局部轴、位移荷载与单元矩阵）；整体自由度映射。所选杆件：M1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补算过程分析 analysis_9bb0e1a1-3c38-4f74-8f1c-482ad23783fc；来源分析 analysis_7f8a990b-724a-4c64-a2f0-9da8c94dd2ba。本段为基于冻结输入补算的过程，不冒充原运行记录；正文仍保留原结果。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补算过程分析 analysis_9bb0e1a1-3c38-4f74-8f1c-482ad23783fc；来源分析 analysis_7f8a990b-724a-4c64-a2f0-9da8c94dd2ba。本段为基于冻结输入补算的过程，不冒充原运行记录；正文仍保留原结果。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keepNext/>
        <w:spacing w:after="100" w:before="160"/>
      </w:pPr>
      <w:r>
        <w:t xml:space="preserve">整体自由度映射表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8ca1730fda0019704b77493d7b89729d521729e.png"/><Relationship Id="rId9" Type="http://schemas.openxmlformats.org/officeDocument/2006/relationships/image" Target="media/4b0fd5394c47309892ae96b1ad5c7da5fb30a8e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LC1 · 默认工况 · analysis_7f8a990b-724a-4c64-a2f0-9da8c94dd2ba</dc:description>
  <cp:lastModifiedBy>Un-named</cp:lastModifiedBy>
  <cp:revision>1</cp:revision>
  <dcterms:created xsi:type="dcterms:W3CDTF">2026-10-02T13:51:55.142Z</dcterms:created>
  <dcterms:modified xsi:type="dcterms:W3CDTF">2026-10-02T13:51:55.142Z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