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未命名项目 工程计算书</w:t>
      </w:r>
    </w:p>
    <w:p>
      <w:pPr>
        <w:spacing w:after="130"/>
      </w:pPr>
      <w:r>
        <w:t xml:space="preserve">本计算书记录 CB1 · 演示用户组合 · 用户定义组合 的空间刚架线弹性分析模型、输入参数、荷载和响应，供计算结果复核。</w:t>
      </w:r>
    </w:p>
    <w:p>
      <w:pPr>
        <w:pStyle w:val="Heading1"/>
        <w:keepNext/>
        <w:spacing w:after="160" w:before="200"/>
      </w:pPr>
      <w:r>
        <w:t xml:space="preserve">1 模型概况与来源</w:t>
      </w:r>
    </w:p>
    <w:p>
      <w:pPr>
        <w:spacing w:after="130"/>
      </w:pPr>
      <w:r>
        <w:t xml:space="preserve">项目 未命名项目；项目 ID project_53d51b8b-f043-40f5-b258-c09550db0a6a</w:t>
      </w:r>
    </w:p>
    <w:p>
      <w:pPr>
        <w:spacing w:after="130"/>
      </w:pPr>
      <w:r>
        <w:t xml:space="preserve">分析 ID analysis_1ce6b6d4-90fd-44d8-a226-f79c344b1b7c；输入修订 R4；状态 已完成</w:t>
      </w:r>
    </w:p>
    <w:p>
      <w:pPr>
        <w:spacing w:after="130"/>
      </w:pPr>
      <w:r>
        <w:t xml:space="preserve">分析时间 2026-10-02T17:45:10.221Z；报告生成时间 2026-10-02T17:45:23.270Z（ISO 8601）</w:t>
      </w:r>
    </w:p>
    <w:p>
      <w:pPr>
        <w:spacing w:after="130"/>
      </w:pPr>
      <w:r>
        <w:t xml:space="preserve">选定来源 CB1 · 演示用户组合 · 用户定义组合；12 个节点，16 根杆件，4 个支座。正文、表格及图片均使用本次分析的冻结输入与输出。</w:t>
      </w:r>
    </w:p>
    <w:p>
      <w:pPr>
        <w:spacing w:after="130"/>
      </w:pPr>
      <w:r>
        <w:t xml:space="preserve">单位约定：坐标与长度 m；力 kN；力矩 kN·m；位移 m；转角 rad；均布荷载 kN/m。材料 E 以 GPa 输入；密度 kg/m³；面积 m²；Iy、Iz、J 为 m⁴。</w:t>
      </w:r>
    </w:p>
    <w:p>
      <w:pPr>
        <w:jc w:val="center"/>
      </w:pPr>
      <w:r>
        <w:drawing>
          <wp:inline distT="0" distB="0" distL="0" distR="0">
            <wp:extent cx="5715000" cy="3143250"/>
            <wp:effectExtent t="0" r="0" b="0" l="0"/>
            <wp:docPr id="1" name="冻结输入模型 CB1 · 演示用户组合 · 用户定义组合" descr="冻结输入模型 CB1 · 演示用户组合 · 用户定义组合" title="冻结输入模型 CB1 · 演示用户组合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1 冻结输入模型。全局 +X、+Y、+Z 方向见图，杆件连接和支座自由度以正文表为准。大模型省略对象标签，稳定 ID 见表。</w:t>
      </w:r>
    </w:p>
    <w:p>
      <w:pPr>
        <w:pStyle w:val="Heading1"/>
        <w:keepNext/>
        <w:spacing w:after="160" w:before="200"/>
      </w:pPr>
      <w:r>
        <w:t xml:space="preserve">2 理论假设与适用边界</w:t>
      </w:r>
    </w:p>
    <w:p>
      <w:pPr>
        <w:spacing w:after="130"/>
      </w:pPr>
      <w:r>
        <w:t xml:space="preserve">空间 Euler–Bernoulli 直杆单元，每节点 ux、uy、uz、rx、ry、rz 六个自由度。线弹性、小变形、刚性节点，忽略剪切变形；支座采用零位移自由度约束。</w:t>
      </w:r>
    </w:p>
    <w:p>
      <w:pPr>
        <w:spacing w:after="130"/>
      </w:pPr>
      <w:r>
        <w:t xml:space="preserve">分析不包含几何非线性、材料非线性、屈曲、动力响应、截面强度或规范符合性验算。本报告给出分析响应，不据此判定结构满足设计规范。用户定义组合系数为输入值。</w:t>
      </w:r>
    </w:p>
    <w:p>
      <w:pPr>
        <w:spacing w:after="130"/>
      </w:pPr>
      <w:r>
        <w:t xml:space="preserve">整体方程 K · u = F；约束处理消除受限自由度，求解 Kff · uf = Ff；反力 R = K · u − F。局部转换 ul = T · ug，Kg = Tᵀ · Kl · T；G = E / [2(1 + ν)]。</w:t>
      </w:r>
    </w:p>
    <w:p>
      <w:pPr>
        <w:spacing w:after="130"/>
      </w:pPr>
      <w:r>
        <w:t xml:space="preserve">总体位移、转角、支座反力及反力矩按全局 XYZ。局部 x 由杆件起点指向终点，y、z 随截面转角；局部轴向量见表。杆端 N、Vy、Vz、T、My、Mz 为局部轴端部作用分量，两个端点分别记录，不能直接当作截面内力包络。</w:t>
      </w:r>
    </w:p>
    <w:p>
      <w:pPr>
        <w:spacing w:after="130"/>
      </w:pPr>
      <w:r>
        <w:t xml:space="preserve">求解器 framemind-frame/3；算法 partial-pivot-gaussian；约束 free-dof-elimination；相对主元阈值 1e-12。</w:t>
      </w:r>
    </w:p>
    <w:p>
      <w:pPr>
        <w:pStyle w:val="Heading1"/>
        <w:keepNext/>
        <w:spacing w:after="160" w:before="200"/>
      </w:pPr>
      <w:r>
        <w:t xml:space="preserve">3 材料截面与模型参数</w:t>
      </w:r>
    </w:p>
    <w:p>
      <w:pPr>
        <w:keepNext/>
        <w:spacing w:after="100" w:before="160"/>
      </w:pPr>
      <w:r>
        <w:t xml:space="preserve">材料参数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 (GPa)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ν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ρ (kg/m³)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S355JR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7850</w:t>
            </w:r>
          </w:p>
        </w:tc>
      </w:tr>
    </w:tbl>
    <w:p>
      <w:pPr>
        <w:spacing w:after="130"/>
      </w:pPr>
      <w:r>
        <w:t xml:space="preserve">M1 · material_0001：库资源；European Committee for Standardization，EN 10025-2 Hot rolled products of structural steels，EN 10025-2:2019；https://standards.iteh.ai/catalog/standards/cen/8f2a1a15-6f06-4f07-8b43-2c84b7c99f0b/en-10025-2-2019；核对日期 2026-10-02；E in GPa; density in kg/m³; ν dimensionless</w:t>
      </w:r>
    </w:p>
    <w:p>
      <w:pPr>
        <w:keepNext/>
        <w:spacing w:after="100" w:before="160"/>
      </w:pPr>
      <w:r>
        <w:t xml:space="preserve">截面参数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  <w:tblHeader/>
        </w:trPr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截面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 (m²)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Iy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Iz (m⁴)</w:t>
            </w:r>
          </w:p>
        </w:tc>
        <w:tc>
          <w:tcPr>
            <w:tcW w:type="dxa" w:w="160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J (m⁴)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S1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HEA 200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0.00538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0.00003692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0.00001335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2.104e-7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S2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IPE 200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0.00285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0.00001943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0.000001423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6.915e-8</w:t>
            </w:r>
          </w:p>
        </w:tc>
      </w:tr>
      <w:tr>
        <w:trPr>
          <w:cantSplit/>
          <w:tblHeader w:val="false"/>
        </w:trPr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S3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演示加大柱截面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0.01076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0.00007384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0.0000267</w:t>
            </w:r>
          </w:p>
        </w:tc>
        <w:tc>
          <w:tcPr>
            <w:tcW w:type="dxa" w:w="160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4.208e-7</w:t>
            </w:r>
          </w:p>
        </w:tc>
      </w:tr>
    </w:tbl>
    <w:p>
      <w:pPr>
        <w:spacing w:after="130"/>
      </w:pPr>
      <w:r>
        <w:t xml:space="preserve">S1 · section_0001：库资源；ArcelorMittal Europe - Long Products，Sections and Merchant Bars - ArcelorMittal，V2026-1, EN sections sheet；https://sections.arcelormittal.com/repo/Sections/Sections%20and%20Merchant%20Bars-ArcelorMittal_V2026-1.xlsx；核对日期 2026-10-02；A in m²; Iy, Iz and It (Saint-Venant torsion constant) in m⁴; values converted from cm²/cm⁴</w:t>
      </w:r>
    </w:p>
    <w:p>
      <w:pPr>
        <w:spacing w:after="130"/>
      </w:pPr>
      <w:r>
        <w:t xml:space="preserve">S2 · section_0002：库资源；ArcelorMittal Europe - Long Products，Sections and Merchant Bars - ArcelorMittal，V2026-1, EN sections sheet；https://sections.arcelormittal.com/repo/Sections/Sections%20and%20Merchant%20Bars-ArcelorMittal_V2026-1.xlsx；核对日期 2026-10-02；A in m²; Iy, Iz and It (Saint-Venant torsion constant) in m⁴; values converted from cm²/cm⁴</w:t>
      </w:r>
    </w:p>
    <w:p>
      <w:pPr>
        <w:spacing w:after="130"/>
      </w:pPr>
      <w:r>
        <w:t xml:space="preserve">S3 · section_0003：用户自定义参数</w:t>
      </w:r>
    </w:p>
    <w:p>
      <w:pPr>
        <w:keepNext/>
        <w:spacing w:after="100" w:before="160"/>
      </w:pPr>
      <w:r>
        <w:t xml:space="preserve">节点坐标与稳定标识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X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Y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Z (m)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</w:tbl>
    <w:p>
      <w:pPr>
        <w:keepNext/>
        <w:spacing w:after="100" w:before="160"/>
      </w:pPr>
      <w:r>
        <w:t xml:space="preserve">杆件连接、分配与截面朝向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杆件及 ID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起点 → 终点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材料 / 截面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长度 (m)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转角 (°)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
member_0001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→ N5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
member_0002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 → 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
member_0003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
member_0004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 → 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
member_0005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
member_0006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
member_0007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
member_0008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 → N8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
member_0009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→ N9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
member_0010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 → 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
member_0011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 → N10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
member_0012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 → 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
member_0013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 → N11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
member_0014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
member_0015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
member_0016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 → N12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S2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局部单位轴向量按全局 XYZ 分量表示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0, 1, 0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-1, 0, 0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0, 0, 1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4 支座与边界条件</w:t>
      </w:r>
    </w:p>
    <w:p>
      <w:pPr>
        <w:spacing w:after="130"/>
      </w:pPr>
      <w:r>
        <w:t xml:space="preserve">约束表示该自由度位移或转角为零；自由表示未施加该约束。平移方向为全局 XYZ，转动方向为绕全局 XYZ。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支座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B1 / 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B2 / 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B3 / 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B4 / 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5 荷载自重与工况组合</w:t>
      </w:r>
    </w:p>
    <w:p>
      <w:pPr>
        <w:spacing w:after="130"/>
      </w:pPr>
      <w:r>
        <w:t xml:space="preserve">本次来源 CB1 · 演示用户组合 · 用户定义组合。节点力和力矩按全局 XYZ；杆件均布荷载的坐标系逐项列示，作用于整根杆件。</w:t>
      </w:r>
    </w:p>
    <w:p>
      <w:pPr>
        <w:spacing w:after="130"/>
      </w:pPr>
      <w:r>
        <w:t xml:space="preserve">组合结果按用户定义系数线性叠加。下表和各分项工况保留未加权荷载；加权等效荷载见后续汇总表，避免自重和外荷载重复计入。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12"/>
        <w:gridCol w:w="3212"/>
        <w:gridCol w:w="3212"/>
      </w:tblGrid>
      <w:tr>
        <w:trPr>
          <w:cantSplit/>
          <w:tblHeader/>
        </w:trPr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工况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名称</w:t>
            </w:r>
          </w:p>
        </w:tc>
        <w:tc>
          <w:tcPr>
            <w:tcW w:type="dxa" w:w="3212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系数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LC1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恒载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LC2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演示外荷载</w:t>
            </w:r>
          </w:p>
        </w:tc>
        <w:tc>
          <w:tcPr>
            <w:tcW w:type="dxa" w:w="321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</w:tr>
    </w:tbl>
    <w:p>
      <w:pPr>
        <w:keepNext/>
        <w:spacing w:after="100" w:before="160"/>
      </w:pPr>
      <w:r>
        <w:t xml:space="preserve">LC1 · 恒载 分项工况原始荷载</w:t>
      </w:r>
    </w:p>
    <w:p>
      <w:pPr>
        <w:spacing w:after="130"/>
      </w:pPr>
      <w:r>
        <w:t xml:space="preserve">无节点集中荷载。</w:t>
      </w:r>
    </w:p>
    <w:p>
      <w:pPr>
        <w:spacing w:after="130"/>
      </w:pPr>
      <w:r>
        <w:t xml:space="preserve">无显式杆件均布荷载。</w:t>
      </w:r>
    </w:p>
    <w:p>
      <w:pPr>
        <w:spacing w:after="130"/>
      </w:pPr>
      <w:r>
        <w:t xml:space="preserve">LC1 原始自重：启用；归属工况 LC1；重力向量 (0, 0, -9.81) m/s²。</w:t>
      </w:r>
    </w:p>
    <w:p>
      <w:pPr>
        <w:spacing w:after="130"/>
      </w:pPr>
      <w:r>
        <w:t xml:space="preserve">按 m = ρ · A · L，qg = ρ · A · g / 1000 (kN/m) 施加一次；总质量 2161.89 kg；重力合力 (0, 0, -21.20814) kN；合力幅值 21.20814 kN。</w:t>
      </w:r>
    </w:p>
    <w:p>
      <w:pPr>
        <w:keepNext/>
        <w:spacing w:after="100" w:before="160"/>
      </w:pPr>
      <w:r>
        <w:t xml:space="preserve">LC2 · 演示外荷载 分项工况原始荷载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</w:t>
            </w:r>
          </w:p>
        </w:tc>
      </w:tr>
    </w:tbl>
    <w:p>
      <w:pPr>
        <w:spacing w:after="130"/>
      </w:pPr>
      <w:r>
        <w:t xml:space="preserve">LC2 原始自重：未启用；归属工况 LC2；重力向量 (0, 0, -9.81) m/s²。</w:t>
      </w:r>
    </w:p>
    <w:p>
      <w:pPr>
        <w:keepNext/>
        <w:spacing w:after="100" w:before="160"/>
      </w:pPr>
      <w:r>
        <w:t xml:space="preserve">本次组合加权等效荷载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L1 / 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荷载 / 杆件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坐标系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 (kN/m)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 (kN/m)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Q1 / M11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全局 XYZ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</w:t>
            </w:r>
          </w:p>
        </w:tc>
      </w:tr>
    </w:tbl>
    <w:p>
      <w:pPr>
        <w:spacing w:after="130"/>
      </w:pPr>
      <w:r>
        <w:t xml:space="preserve">本次组合等效自重：启用；归属工况 LC1；重力向量 (0, 0, -9.81) m/s²。</w:t>
      </w:r>
    </w:p>
    <w:p>
      <w:pPr>
        <w:spacing w:after="130"/>
      </w:pPr>
      <w:r>
        <w:t xml:space="preserve">按 m = ρ · A · L，qg = ρ · A · g / 1000 (kN/m) 施加一次；总质量 2161.89 kg；重力合力 (0, 0, -21.20814) kN；合力幅值 21.20814 kN。</w:t>
      </w:r>
    </w:p>
    <w:p>
      <w:pPr>
        <w:pStyle w:val="Heading1"/>
        <w:keepNext/>
        <w:spacing w:after="160" w:before="200"/>
      </w:pPr>
      <w:r>
        <w:t xml:space="preserve">6 关键响应与完整结果</w:t>
      </w:r>
    </w:p>
    <w:p>
      <w:pPr>
        <w:spacing w:after="130"/>
      </w:pPr>
      <w:r>
        <w:t xml:space="preserve">最大节点位移幅值 0.01140119 m，节点 N10；分量 (0.01139779, 0.0002725914, -0.00005642254) m。</w:t>
      </w:r>
    </w:p>
    <w:p>
      <w:pPr>
        <w:jc w:val="center"/>
      </w:pPr>
      <w:r>
        <w:drawing>
          <wp:inline distT="0" distB="0" distL="0" distR="0">
            <wp:extent cx="5715000" cy="3067050"/>
            <wp:effectExtent t="0" r="0" b="0" l="0"/>
            <wp:docPr id="1" name="节点位移幅值 CB1 · 演示用户组合 · 用户定义组合" descr="节点位移幅值 CB1 · 演示用户组合 · 用户定义组合" title="节点位移幅值 CB1 · 演示用户组合 · 用户定义组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30"/>
      </w:pPr>
      <w:r>
        <w:t xml:space="preserve">图 2 CB1 · 演示用户组合 · 用户定义组合 节点位移幅值，未放大数值；图中最多显示幅值最大的 12 个节点，全部方向分量如下。</w:t>
      </w:r>
    </w:p>
    <w:p>
      <w:pPr>
        <w:keepNext/>
        <w:spacing w:after="100" w:before="160"/>
      </w:pPr>
      <w:r>
        <w:t xml:space="preserve">节点位移与转角 按全局 XYZ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UX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UY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UZ (m)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RX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RY (rad)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RZ (rad)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0.003965361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0.0001111246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-0.00002335023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-0.00005442446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0.001953947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0.0005395083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0.0004626232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-0.000112994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-0.000009168295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0.00005739268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0.0001996227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0.0005383757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0.0004646766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0.0001121388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-0.00001239411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-0.00003723387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0.00009736495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0.0005462821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0.01139265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-0.0003010238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-0.00003680183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0.00002362116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0.003365657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0.001586859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0.01139779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0.0002725914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-0.00005642254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-0.00005286336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-0.000616672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0.001588589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0.001013557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-0.00030195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-0.00001306912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0.00006663291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0.0002080761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0.001586935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0.001010535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0.0002716103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-0.00001764495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-0.000011925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-0.0000156267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0.001588669</w:t>
            </w:r>
          </w:p>
        </w:tc>
      </w:tr>
    </w:tbl>
    <w:p>
      <w:pPr>
        <w:keepNext/>
        <w:spacing w:after="100" w:before="160"/>
      </w:pPr>
      <w:r>
        <w:t xml:space="preserve">节点反力与反力矩 按全局 XYZ 包括未约束自由度的数值残差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FX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MX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18.83031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0.5861432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-7.518667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-0.006112214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4.074239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-0.2873921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-0.4915479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-0.003049691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5.28908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0.3871685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-0.6865055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-0.003094478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-1.154632e-14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3.594347e-15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4.302114e-16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-3.295975e-17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7.793766e-14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-2.942091e-15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3.552714e-15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-1.110223e-16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8.65974e-15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1.387779e-17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-8.104628e-15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4.996004e-16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-3.552714e-15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3.330669e-16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-3.330669e-16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1.491862e-16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-1.69656e-15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8.999745e-15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-2.664535e-15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-4.649059e-16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3.018419e-16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-1.647987e-16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-8.104073e-13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-1.421085e-14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1.706968e-15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2.775558e-16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-4.312902e-15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-1.94289e-16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-2.738643e-13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1.582068e-15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4.683753e-16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-3.831469e-16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-5.828671e-16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-2.842171e-14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1.212919e-14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1.566455e-15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5.382047e-17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-4.753142e-16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-6.383782e-16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9.603429e-15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-1.607048e-14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1.580333e-15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-3.330669e-16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1.221245e-15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-7.771561e-16</w:t>
            </w:r>
          </w:p>
        </w:tc>
      </w:tr>
    </w:tbl>
    <w:p>
      <w:pPr>
        <w:keepNext/>
        <w:spacing w:after="100" w:before="160"/>
      </w:pPr>
      <w:r>
        <w:t xml:space="preserve">杆端局部内力 正值沿局部正轴 端点以起点和终点区分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杆件 / 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-8.528674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-0.2188374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-3.754144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18.83031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-0.006112214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0.5861432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-7.518667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M2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-16.34448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2.577827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0.2032227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0.006112214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0.02352498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-0.2148136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-4.10914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0.0496307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-1.660828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0.00009350087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5.963369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0.1485067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M3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4.10914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-0.0496307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2.977673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-0.00009350087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7.952134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0.1492775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4.074239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-0.003049691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-0.2873921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-0.4915479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M4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-2.831321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0.2033336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-0.09271099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0.003049691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0.009259145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-0.118453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-0.03237349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-0.07403055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0.5942713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0.001759756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-0.5916777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-0.1485546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M5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0.03237349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0.07403055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0.2836256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-0.001759756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-0.02961377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-0.1475676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5.28908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-0.003094478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0.3871685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-0.6865055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M6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-4.046163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0.397012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0.1939609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0.003094478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0.1947141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-0.5045304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-0.2048291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0.0502838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0.4571874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0.00008808457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0.0148234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0.1504576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M7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0.2048291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-0.0502838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0.8596579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-0.00008808457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1.192588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0.1512452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-0.1517483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-0.0744705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0.2903189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0.002592342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0.02216258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-0.1494471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M8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0.1517483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0.0744705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0.587578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-0.002592342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0.5723558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-0.1484349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9.595231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-0.2867178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0.2872154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-0.005976672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-0.3729339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-2.210985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M9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-8.352313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0.2867178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-0.2872154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0.005976672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-0.4887123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1.350831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13.07649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-6.761438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-0.001843738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-0.00594264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-0.001268898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-7.739913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M10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-11.83357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6.761438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0.001843738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0.00594264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0.00680011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-12.5444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-0.5126056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0.1486302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7.793423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0.00007119679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-1.35524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0.4458045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M11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0.5126056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-0.1486302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11.52342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-0.00007119679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12.54524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0.4459769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2.090508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0.07552605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0.0100537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-0.005939683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-0.038961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0.1053894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M12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-0.8475912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-0.07552605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-0.0100537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0.005939683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0.008799914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0.1211887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0.1385852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-0.2258878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0.5588905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0.004408925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-0.4886411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-0.4517812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M13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-0.1385852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0.2258878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0.3190064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-0.004408925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0.008873041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-0.4517699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2.598927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-0.5273706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-0.2954254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-0.005904719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0.3777298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-0.6854652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M14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-1.35601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0.5273706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0.2954254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0.005904719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0.5085463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-0.8966466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0.3014138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0.1486389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0.5285847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0.00007312684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-0.1167798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0.4458302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M15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-0.3014138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-0.1486389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0.7882606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-0.00007312684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0.8958074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0.4460029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 / 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0.1467865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-0.2259568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0.3101479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-0.0008392384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0.006728914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-0.4519195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M16 / 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-0.1467865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0.2259568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0.567749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0.0008392384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0.5084731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-0.4519077</w:t>
            </w:r>
          </w:p>
        </w:tc>
      </w:tr>
    </w:tbl>
    <w:p>
      <w:pPr>
        <w:spacing w:after="130"/>
      </w:pPr>
      <w:r>
        <w:t xml:space="preserve">以上数值保留七位有效数字供逐项核对；内部计算未按报告显示精度舍入。杆端表不代表杆件全长极值，也不构成强度或稳定性结论。</w:t>
      </w:r>
    </w:p>
    <w:p>
      <w:pPr>
        <w:pStyle w:val="Heading1"/>
        <w:keepNext/>
        <w:pageBreakBefore/>
      </w:pPr>
      <w:r>
        <w:t xml:space="preserve">附录 A 所选分析的计算过程</w:t>
      </w:r>
    </w:p>
    <w:p>
      <w:pPr>
        <w:spacing w:after="130"/>
      </w:pPr>
      <w:r>
        <w:t xml:space="preserve">正文来源分析 analysis_1ce6b6d4-90fd-44d8-a226-f79c344b1b7c；输入修订 R4；CB1 · 演示用户组合 · 用户定义组合。</w:t>
      </w:r>
    </w:p>
    <w:p>
      <w:pPr>
        <w:spacing w:after="130"/>
      </w:pPr>
      <w:r>
        <w:t xml:space="preserve">所选步骤：杆件过程（局部轴、位移荷载与单元矩阵）；整体约束处理与荷载向量。所选杆件：M1 · member_0001。</w:t>
      </w:r>
    </w:p>
    <w:p>
      <w:pPr>
        <w:spacing w:after="130"/>
      </w:pPr>
      <w:r>
        <w:t xml:space="preserve">杆件过程与组装贡献仅输出所选杆件；整体编号、约束及整体矩阵作用于全部模型。索引从 0 起，单元位置 0—5 为起点、6—11 为终点，顺序 ux、uy、uz、rx、ry、rz。未保存完整消元轨迹。</w:t>
      </w:r>
    </w:p>
    <w:p>
      <w:pPr>
        <w:spacing w:after="130"/>
      </w:pPr>
      <w:r>
        <w:t xml:space="preserve">矩阵按最多六个数值列分块，块名和行列索引共同定位原条目。刚度项按行的力/力矩及列的位移/转角取单位：平移行/平移列 kN/m，平移行/转动列 kN/rad，转动行/平移列 kN·m/m，转动行/转动列 kN·m/rad。T 为方向余弦转换，数值无量纲。</w:t>
      </w:r>
    </w:p>
    <w:p>
      <w:pPr>
        <w:pStyle w:val="Heading1"/>
        <w:keepNext/>
        <w:spacing w:after="160" w:before="200"/>
      </w:pPr>
      <w:r>
        <w:t xml:space="preserve">杆件过程 M1 · member_0001</w:t>
      </w:r>
    </w:p>
    <w:p>
      <w:pPr>
        <w:spacing w:after="130"/>
      </w:pPr>
      <w:r>
        <w:t xml:space="preserve">按冻结输入重建 · 分析 analysis_1ce6b6d4-90fd-44d8-a226-f79c344b1b7c；位移与杆端力来自该分析的已保存结果。</w:t>
      </w:r>
    </w:p>
    <w:p>
      <w:pPr>
        <w:spacing w:after="130"/>
      </w:pPr>
      <w:r>
        <w:t xml:space="preserve">求解器 framemind-frame/3；算法 partial-pivot-gaussian；约束 free-dof-elimination；主元阈值 1e-12。</w:t>
      </w:r>
    </w:p>
    <w:p>
      <w:pPr>
        <w:spacing w:after="130"/>
      </w:pPr>
      <w:r>
        <w:t xml:space="preserve">杆长 3 m；局部轴按全局 XYZ：x (0, 0, 1)，y (1, 0, 0)，z (0, 1, 0)。</w:t>
      </w:r>
    </w:p>
    <w:p>
      <w:pPr>
        <w:keepNext/>
        <w:spacing w:after="100" w:before="160"/>
      </w:pPr>
      <w:r>
        <w:t xml:space="preserve">单元自由度映射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单元位置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ID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自由度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N1 / node_0001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rx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ry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N5 / node_0005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rz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</w:tbl>
    <w:p>
      <w:pPr>
        <w:spacing w:after="130"/>
      </w:pPr>
      <w:r>
        <w:t xml:space="preserve">u_local = T · u_global；K_global = Tᵀ · K_local · T；f_local = Kl · u_local − F_equivalent_local。</w:t>
      </w:r>
    </w:p>
    <w:p>
      <w:pPr>
        <w:keepNext/>
        <w:spacing w:after="100" w:before="160"/>
      </w:pPr>
      <w:r>
        <w:t xml:space="preserve">单元位移与等效荷载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位置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u (m/rad)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局部 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 F (kN/kN·m)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 / 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 / 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0.003924167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 / 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-0.00001297343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-0.0001132104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 / 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 / 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0.00004602065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 / 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0.0005317703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0.001459924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局部均布力 xyz (kN/m)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来源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qx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qy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qz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显式荷载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自重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-0.8286115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合计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-0.8286115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局部端部作用分量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端点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Vy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Vz (kN)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My (kN·m)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Mz (kN·m)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起点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11.01451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-0.6945804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-9.211339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终点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-8.528674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4.321828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-0.3044726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0.006024548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-0.2188374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-3.754144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</w:tbl>
    <w:p>
      <w:pPr>
        <w:keepNext/>
        <w:spacing w:after="100" w:before="160"/>
      </w:pPr>
      <w:r>
        <w:t xml:space="preserve">局部单元刚度 Kl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坐标转换矩阵 T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0—5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</w:tr>
    </w:tbl>
    <w:p>
      <w:pPr>
        <w:keepNext/>
        <w:spacing w:after="100" w:before="160"/>
      </w:pPr>
      <w:r>
        <w:t xml:space="preserve">整体单元刚度 Kg · 12 × 12 · 列 6—11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76"/>
        <w:gridCol w:w="1376"/>
        <w:gridCol w:w="1376"/>
        <w:gridCol w:w="1376"/>
        <w:gridCol w:w="1376"/>
        <w:gridCol w:w="1376"/>
        <w:gridCol w:w="1376"/>
      </w:tblGrid>
      <w:tr>
        <w:trPr>
          <w:cantSplit/>
          <w:tblHeader/>
        </w:trPr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行＼列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-11.32923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2492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6891.733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753200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10337.6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20675.2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-3738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7476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376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11.32923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整体过程来源</w:t>
      </w:r>
    </w:p>
    <w:p>
      <w:pPr>
        <w:spacing w:after="130"/>
      </w:pPr>
      <w:r>
        <w:t xml:space="preserve">本次运行实际快照 · 分析 analysis_1ce6b6d4-90fd-44d8-a226-f79c344b1b7c</w:t>
      </w:r>
    </w:p>
    <w:p>
      <w:pPr>
        <w:spacing w:after="130"/>
      </w:pPr>
      <w:r>
        <w:t xml:space="preserve">求解器 framemind-frame/3；partial-pivot-gaussian；free-dof-elimination；主元阈值 1e-12。</w:t>
      </w:r>
    </w:p>
    <w:p>
      <w:pPr>
        <w:pStyle w:val="Heading1"/>
        <w:keepNext/>
        <w:spacing w:after="160" w:before="200"/>
      </w:pPr>
      <w:r>
        <w:t xml:space="preserve">约束处理与整体荷载</w:t>
      </w:r>
    </w:p>
    <w:p>
      <w:pPr>
        <w:spacing w:after="130"/>
      </w:pPr>
      <w:r>
        <w:t xml:space="preserve">K · u = F；零位移约束 u_c = 0；消去约束行列得到 Kff · uf = Ff；R = K · u − F。</w:t>
      </w:r>
    </w:p>
    <w:p>
      <w:pPr>
        <w:spacing w:after="130"/>
      </w:pPr>
      <w:r>
        <w:t xml:space="preserve">约束索引 [0, 1, 2, 3, 4, 5, 6, 7, 8, 9, 10, 11, 12, 13, 14, 15, 16, 17, 18, 19, 20, 21, 22, 23]；自由索引 [24, 25, 26, 27, 28, 29, 30, 31, 32, 33, 34, 35, 36, 37, 38, 39, 40, 41, 42, 43, 44, 45, 46, 47, 48, 49, 50, 51, 52, 53, 54, 55, 56, 57, 58, 59, 60, 61, 62, 63, 64, 65, 66, 67, 68, 69, 70, 71]。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27"/>
        <w:gridCol w:w="1927"/>
        <w:gridCol w:w="1927"/>
        <w:gridCol w:w="1927"/>
        <w:gridCol w:w="1927"/>
      </w:tblGrid>
      <w:tr>
        <w:trPr>
          <w:cantSplit/>
          <w:tblHeader/>
        </w:trPr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整体索引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节点 / 自由度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状态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 (kN/kN·m)</w:t>
            </w:r>
          </w:p>
        </w:tc>
        <w:tc>
          <w:tcPr>
            <w:tcW w:type="dxa" w:w="1927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Ff 位置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-1.242917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node_0003.rz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-0.6214586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node_0004.rz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约束 / u=0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已消去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-2.961747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node_0005.rz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-2.961747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node_0006.rz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-2.340288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node_0007.rz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-2.340288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node_0008.rz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9.658423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node_0009.rz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7.5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-10.71883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-9.658423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node_0010.rz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37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62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38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39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64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40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65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node_0011.rz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41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66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43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68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node_0012.uz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-1.71883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44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69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node_0012.rx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0.2926323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45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node_0012.ry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-0.6584227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46</w:t>
            </w:r>
          </w:p>
        </w:tc>
      </w:tr>
      <w:tr>
        <w:trPr>
          <w:cantSplit/>
          <w:tblHeader w:val="false"/>
        </w:trPr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71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node_0012.rz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自由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1927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47</w:t>
            </w:r>
          </w:p>
        </w:tc>
      </w:tr>
    </w:tbl>
    <w:p>
      <w:pPr>
        <w:pStyle w:val="Heading1"/>
        <w:keepNext/>
        <w:spacing w:after="160" w:before="200"/>
      </w:pPr>
      <w:r>
        <w:t xml:space="preserve">教材依据与实现约定</w:t>
      </w:r>
    </w:p>
    <w:p>
      <w:pPr>
        <w:spacing w:after="130"/>
      </w:pPr>
      <w:r>
        <w:t xml:space="preserve">《计算结构力学》（阎军、杨春秋，科学出版社，2014）扫描版。印刷页与 PDF 页序分别记录，沿用 T17/T18 的核查依据。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9"/>
        <w:gridCol w:w="2409"/>
        <w:gridCol w:w="2409"/>
        <w:gridCol w:w="2409"/>
      </w:tblGrid>
      <w:tr>
        <w:trPr>
          <w:cantSplit/>
          <w:tblHeader/>
        </w:trPr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章节 / 主题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核查关系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印刷页</w:t>
            </w:r>
          </w:p>
        </w:tc>
        <w:tc>
          <w:tcPr>
            <w:tcW w:type="dxa" w:w="2409"/>
            <w:shd w:fill="E8EEF2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PDF 页序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第 5 章 / 空间刚架直接刚度法流程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 · u = F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5.2 / 局部与总体坐标转换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u_local = T · u_global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118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5.3 / 空间刚架单元刚度与六分量向量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EA/l；12EJ/l³；6EJ/l²；4EJ/l；2EJ/l；GJ/l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122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131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5.4—5.5 / 端部自由度对号与整体刚度阵集合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K_global = Tᵀ · K_local · T；K = Σ kᵢ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127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136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5.6 / 荷载向量形成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F = F_node + F_equivalent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129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138</w:t>
            </w:r>
          </w:p>
        </w:tc>
      </w:tr>
      <w:tr>
        <w:trPr>
          <w:cantSplit/>
          <w:tblHeader w:val="false"/>
        </w:trPr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附录 IV / 程序组织线索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整体组装与方程求解步骤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180</w:t>
            </w:r>
          </w:p>
        </w:tc>
        <w:tc>
          <w:tcPr>
            <w:tcW w:type="dxa" w:w="2409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8"/>
                <w:szCs w:val="18"/>
              </w:rPr>
              <w:t xml:space="preserve">189</w:t>
            </w:r>
          </w:p>
        </w:tc>
      </w:tr>
    </w:tbl>
    <w:p>
      <w:pPr>
        <w:keepNext/>
        <w:spacing w:after="100" w:before="160"/>
      </w:pPr>
      <w:r>
        <w:t xml:space="preserve">坐标转换矩阵方向</w:t>
      </w:r>
    </w:p>
    <w:p>
      <w:pPr>
        <w:spacing w:after="130"/>
      </w:pPr>
      <w:r>
        <w:t xml:space="preserve">实现：局部轴作为 T 的行向量，使用 u_local = T · u_global；K_global = Tᵀ · K_local · T。 教材：5.2 节以总体到局部的转置记法展开 [T]。 原因：矩阵存储约定采用局部轴行向量，避免把同一正交转换的转置误认为不同理论。 验证：T17 斜向杆件转换矩阵与局部/总体刚度数值对照通过。</w:t>
      </w:r>
    </w:p>
    <w:p>
      <w:pPr>
        <w:keepNext/>
        <w:spacing w:after="100" w:before="160"/>
      </w:pPr>
      <w:r>
        <w:t xml:space="preserve">约束处理</w:t>
      </w:r>
    </w:p>
    <w:p>
      <w:pPr>
        <w:spacing w:after="130"/>
      </w:pPr>
      <w:r>
        <w:t xml:space="preserve">实现：按支座自由度从整体方程中消除约束列和行，仅对自由自由度子系统进行部分主元高斯消元。 教材：教材给出自由度对号、总刚度阵集合和约束处理的流程线索。 原因：首版支座是零位移约束；自由度消元保留真实刚度尺度，避免引入人为单位对角线。 验证：T04 约束尺度回归和整体平衡测试通过，受限自由度位移保持为零。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FrameMind 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000000"/>
        <w:sz w:val="21"/>
        <w:szCs w:val="21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  <w:spacing w:after="240"/>
    </w:pPr>
    <w:rPr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keepNext/>
    </w:pPr>
    <w:rPr>
      <w:b/>
      <w:bCs/>
      <w:color w:val="00000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b2617bcedd93e87ae63182a2ce54337236859e9.png"/><Relationship Id="rId9" Type="http://schemas.openxmlformats.org/officeDocument/2006/relationships/image" Target="media/61b38cd975a66535e9aa78695e92afd898d2149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未命名项目 工程计算书</dc:title>
  <dc:creator>FrameMind</dc:creator>
  <dc:description>CB1 · 演示用户组合 · 用户定义组合 · analysis_1ce6b6d4-90fd-44d8-a226-f79c344b1b7c</dc:description>
  <cp:lastModifiedBy>Un-named</cp:lastModifiedBy>
  <cp:revision>1</cp:revision>
  <dcterms:created xsi:type="dcterms:W3CDTF">2026-10-02T17:45:23.327Z</dcterms:created>
  <dcterms:modified xsi:type="dcterms:W3CDTF">2026-10-02T17:45:23.327Z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