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project_11379df7-a886-4326-a567-e3217bc03c34</w:t>
      </w:r>
    </w:p>
    <w:p>
      <w:pPr>
        <w:spacing w:after="130"/>
      </w:pPr>
      <w:r>
        <w:t xml:space="preserve">分析 ID analysis_8a5f9344-3ff5-4111-82fa-a17bd01b5b2f；输入修订 R7；状态 已完成</w:t>
      </w:r>
    </w:p>
    <w:p>
      <w:pPr>
        <w:spacing w:after="130"/>
      </w:pPr>
      <w:r>
        <w:t xml:space="preserve">分析时间 2026-10-03T05:52:02.417Z；报告生成时间 2026-10-03T05:52:04.492Z（ISO 8601）</w:t>
      </w:r>
    </w:p>
    <w:p>
      <w:pPr>
        <w:spacing w:after="130"/>
      </w:pPr>
      <w:r>
        <w:t xml:space="preserve">选定来源 LC1 · 默认工况；2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历史结果未记录版本；算法 未记录；约束 未记录；相对主元阈值 未记录。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analysis_8a5f9344-3ff5-4111-82fa-a17bd01b5b2f；输入修订 R7；LC1 · 默认工况。</w:t>
      </w:r>
    </w:p>
    <w:p>
      <w:pPr>
        <w:spacing w:after="130"/>
      </w:pPr>
      <w:r>
        <w:t xml:space="preserve">所选步骤：杆件过程（局部轴、位移荷载与单元矩阵）；整体自由度映射。所选杆件：M1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补算过程分析 analysis_a2d79018-237f-4046-ae62-cd2957dcca73；来源分析 analysis_8a5f9344-3ff5-4111-82fa-a17bd01b5b2f。本段为基于冻结输入补算的过程，不冒充原运行记录；正文仍保留原结果。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补算过程分析 analysis_a2d79018-237f-4046-ae62-cd2957dcca73；来源分析 analysis_8a5f9344-3ff5-4111-82fa-a17bd01b5b2f。本段为基于冻结输入补算的过程，不冒充原运行记录；正文仍保留原结果。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efb3b0b0d6398ccfbe2cb5adb26cf546868642e.png"/><Relationship Id="rId9" Type="http://schemas.openxmlformats.org/officeDocument/2006/relationships/image" Target="media/82b73252a50d8f8a591dcca9972068fe64129bd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analysis_8a5f9344-3ff5-4111-82fa-a17bd01b5b2f</dc:description>
  <cp:lastModifiedBy>Un-named</cp:lastModifiedBy>
  <cp:revision>1</cp:revision>
  <dcterms:created xsi:type="dcterms:W3CDTF">2026-10-03T05:52:04.536Z</dcterms:created>
  <dcterms:modified xsi:type="dcterms:W3CDTF">2026-10-03T05:52:04.536Z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