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T31 axial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T31 axial；项目 ID project_86dac543-bf52-4bef-aeb8-8f8f2284b733</w:t>
      </w:r>
    </w:p>
    <w:p>
      <w:pPr>
        <w:spacing w:after="130"/>
      </w:pPr>
      <w:r>
        <w:t xml:space="preserve">分析 ID analysis_62ef9e61-6cdc-4501-913d-794ce918de69；输入修订 R9；状态 已完成</w:t>
      </w:r>
    </w:p>
    <w:p>
      <w:pPr>
        <w:spacing w:after="130"/>
      </w:pPr>
      <w:r>
        <w:t xml:space="preserve">分析时间 2026-10-06T04:32:51Z；报告生成时间 2026-10-06T04:32:51.437Z（ISO 8601）</w:t>
      </w:r>
    </w:p>
    <w:p>
      <w:pPr>
        <w:spacing w:after="130"/>
      </w:pPr>
      <w:r>
        <w:t xml:space="preserve">运行来源 formal-model；请求 request_f3d26dfd-2b2e-42b1-9728-7b21177dfb89；实际阶段 模型检查 (2026-10-06T04:32:51Z) → 刚度组装 (2026-10-06T04:32:51Z) → 方程求解 (2026-10-06T04:32:51Z) → 结果恢复 (2026-10-06T04:32:51Z)。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显示单位：坐标与长度 mm；力 N；力矩 N·mm；位移 mm；转角 rad；均布荷载 N/mm；E MPa；密度 kg/mm³；面积 mm²；Iy、Iz、J mm⁴。内部规范单位及冻结数值未改变。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framemind-native/2；算法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(MPa)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material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0.00000785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Independent benchmark section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100000000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150000000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spacing w:after="130"/>
      </w:pPr>
      <w:r>
        <w:t xml:space="preserve">S1：几何未定义，仅保存力学属性。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-9810) mm/s²。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0.032 mm，节点 N2；分量 (0.032, 0, 0) mm。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(N·mm)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(N·mm)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0a754a3292663e31a7be5a96747762eac7e3620.png"/><Relationship Id="rId9" Type="http://schemas.openxmlformats.org/officeDocument/2006/relationships/image" Target="media/97667da9a30800e360aee8d0584e531d1853084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T31 axial 工程计算书</dc:title>
  <dc:creator>FrameMind</dc:creator>
  <dc:description>LC1 · 默认工况 · analysis_62ef9e61-6cdc-4501-913d-794ce918de69</dc:description>
  <cp:lastModifiedBy>Un-named</cp:lastModifiedBy>
  <cp:revision>1</cp:revision>
  <dcterms:created xsi:type="dcterms:W3CDTF">2026-10-06T04:32:51.468Z</dcterms:created>
  <dcterms:modified xsi:type="dcterms:W3CDTF">2026-10-06T04:32:51.468Z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