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</w:p>
    <w:p>
      <w:pPr>
        <w:pStyle w:val="Author"/>
      </w:pPr>
      <w:r>
        <w:t xml:space="preserve">Adrian Taggruber</w:t>
      </w:r>
    </w:p>
    <w:bookmarkStart w:id="20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"smoker.csv"</w:t>
      </w:r>
      <w:r>
        <w:rPr>
          <w:rStyle w:val="NormalTok"/>
        </w:rPr>
        <w:t xml:space="preserve">)</w:t>
      </w:r>
    </w:p>
    <w:bookmarkEnd w:id="20"/>
    <w:bookmarkStart w:id="21" w:name="inspect-structure"/>
    <w:p>
      <w:pPr>
        <w:pStyle w:val="Heading2"/>
      </w:pPr>
      <w:r>
        <w:t xml:space="preserve">Inspect structure</w:t>
      </w:r>
    </w:p>
    <w:p>
      <w:pPr>
        <w:pStyle w:val="SourceCode"/>
      </w:pPr>
      <w:r>
        <w:rPr>
          <w:rStyle w:val="NormalTok"/>
        </w:rPr>
        <w:t xml:space="preserve">dataset.shape</w:t>
      </w:r>
    </w:p>
    <w:p>
      <w:pPr>
        <w:pStyle w:val="SourceCode"/>
      </w:pPr>
      <w:r>
        <w:rPr>
          <w:rStyle w:val="VerbatimChar"/>
        </w:rPr>
        <w:t xml:space="preserve">(10000, 3)</w:t>
      </w:r>
    </w:p>
    <w:p>
      <w:pPr>
        <w:pStyle w:val="SourceCode"/>
      </w:pPr>
      <w:r>
        <w:rPr>
          <w:rStyle w:val="NormalTok"/>
        </w:rPr>
        <w:t xml:space="preserve">dataset.info()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10000 entries, 0 to 9999</w:t>
      </w:r>
      <w:r>
        <w:br/>
      </w:r>
      <w:r>
        <w:rPr>
          <w:rStyle w:val="VerbatimChar"/>
        </w:rPr>
        <w:t xml:space="preserve">Data columns (total 3 columns):</w:t>
      </w:r>
      <w:r>
        <w:br/>
      </w:r>
      <w:r>
        <w:rPr>
          <w:rStyle w:val="VerbatimChar"/>
        </w:rPr>
        <w:t xml:space="preserve"> #   Column     Non-Null Count  Dtype</w:t>
      </w:r>
      <w:r>
        <w:br/>
      </w:r>
      <w:r>
        <w:rPr>
          <w:rStyle w:val="VerbatimChar"/>
        </w:rPr>
        <w:t xml:space="preserve">---  ------     --------------  -----</w:t>
      </w:r>
      <w:r>
        <w:br/>
      </w:r>
      <w:r>
        <w:rPr>
          <w:rStyle w:val="VerbatimChar"/>
        </w:rPr>
        <w:t xml:space="preserve"> 0   smoker     10000 non-null  int64</w:t>
      </w:r>
      <w:r>
        <w:br/>
      </w:r>
      <w:r>
        <w:rPr>
          <w:rStyle w:val="VerbatimChar"/>
        </w:rPr>
        <w:t xml:space="preserve"> 1   treatment  10000 non-null  int64</w:t>
      </w:r>
      <w:r>
        <w:br/>
      </w:r>
      <w:r>
        <w:rPr>
          <w:rStyle w:val="VerbatimChar"/>
        </w:rPr>
        <w:t xml:space="preserve"> 2   outcome    10000 non-null  int64</w:t>
      </w:r>
      <w:r>
        <w:br/>
      </w:r>
      <w:r>
        <w:rPr>
          <w:rStyle w:val="VerbatimChar"/>
        </w:rPr>
        <w:t xml:space="preserve">dtypes: int64(3)</w:t>
      </w:r>
      <w:r>
        <w:br/>
      </w:r>
      <w:r>
        <w:rPr>
          <w:rStyle w:val="VerbatimChar"/>
        </w:rPr>
        <w:t xml:space="preserve">memory usage: 234.5 KB</w:t>
      </w:r>
    </w:p>
    <w:bookmarkEnd w:id="21"/>
    <w:bookmarkStart w:id="22" w:name="inspect-value"/>
    <w:p>
      <w:pPr>
        <w:pStyle w:val="Heading2"/>
      </w:pPr>
      <w:r>
        <w:t xml:space="preserve">Inspect Value</w:t>
      </w:r>
    </w:p>
    <w:p>
      <w:pPr>
        <w:pStyle w:val="SourceCode"/>
      </w:pPr>
      <w:r>
        <w:rPr>
          <w:rStyle w:val="NormalTok"/>
        </w:rPr>
        <w:t xml:space="preserve">dataset.head()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smoker</w:t>
            </w:r>
          </w:p>
        </w:tc>
        <w:tc>
          <w:tcPr/>
          <w:p>
            <w:pPr>
              <w:pStyle w:val="Compact"/>
            </w:pPr>
            <w:r>
              <w:t xml:space="preserve">treatment</w:t>
            </w:r>
          </w:p>
        </w:tc>
        <w:tc>
          <w:tcPr/>
          <w:p>
            <w:pPr>
              <w:pStyle w:val="Compact"/>
            </w:pPr>
            <w:r>
              <w:t xml:space="preserve">outcome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dataset.tail()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smoker</w:t>
            </w:r>
          </w:p>
        </w:tc>
        <w:tc>
          <w:tcPr/>
          <w:p>
            <w:pPr>
              <w:pStyle w:val="Compact"/>
            </w:pPr>
            <w:r>
              <w:t xml:space="preserve">treatment</w:t>
            </w:r>
          </w:p>
        </w:tc>
        <w:tc>
          <w:tcPr/>
          <w:p>
            <w:pPr>
              <w:pStyle w:val="Compact"/>
            </w:pPr>
            <w:r>
              <w:t xml:space="preserve">outcome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9995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9996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9997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9998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9999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bookmarkEnd w:id="22"/>
    <w:bookmarkStart w:id="23" w:name="statistics"/>
    <w:p>
      <w:pPr>
        <w:pStyle w:val="Heading2"/>
      </w:pPr>
      <w:r>
        <w:t xml:space="preserve">Statistics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(dataset.describe(),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smoker</w:t>
            </w:r>
          </w:p>
        </w:tc>
        <w:tc>
          <w:tcPr/>
          <w:p>
            <w:pPr>
              <w:pStyle w:val="Compact"/>
            </w:pPr>
            <w:r>
              <w:t xml:space="preserve">treatment</w:t>
            </w:r>
          </w:p>
        </w:tc>
        <w:tc>
          <w:tcPr/>
          <w:p>
            <w:pPr>
              <w:pStyle w:val="Compact"/>
            </w:pPr>
            <w:r>
              <w:t xml:space="preserve">outcome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10000.00</w:t>
            </w:r>
          </w:p>
        </w:tc>
        <w:tc>
          <w:tcPr/>
          <w:p>
            <w:pPr>
              <w:pStyle w:val="Compact"/>
            </w:pPr>
            <w:r>
              <w:t xml:space="preserve">10000.00</w:t>
            </w:r>
          </w:p>
        </w:tc>
        <w:tc>
          <w:tcPr/>
          <w:p>
            <w:pPr>
              <w:pStyle w:val="Compact"/>
            </w:pPr>
            <w:r>
              <w:t xml:space="preserve">10000.00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0.31</w:t>
            </w:r>
          </w:p>
        </w:tc>
        <w:tc>
          <w:tcPr/>
          <w:p>
            <w:pPr>
              <w:pStyle w:val="Compac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std</w:t>
            </w:r>
          </w:p>
        </w:tc>
        <w:tc>
          <w:tcPr/>
          <w:p>
            <w:pPr>
              <w:pStyle w:val="Compac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  <w:r>
              <w:t xml:space="preserve">0.48</w:t>
            </w:r>
          </w:p>
        </w:tc>
        <w:tc>
          <w:tcPr/>
          <w:p>
            <w:pPr>
              <w:pStyle w:val="Compac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25%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50%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75%</w:t>
            </w:r>
          </w:p>
        </w:tc>
        <w:tc>
          <w:tcPr/>
          <w:p>
            <w:pPr>
              <w:pStyle w:val="Compac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</w:t>
            </w:r>
          </w:p>
        </w:tc>
        <w:tc>
          <w:tcPr/>
          <w:p>
            <w:pPr>
              <w:pStyle w:val="Compact"/>
            </w:pPr>
            <w:r>
              <w:t xml:space="preserve">5.00</w:t>
            </w:r>
          </w:p>
        </w:tc>
        <w:tc>
          <w:tcPr/>
          <w:p>
            <w:pPr>
              <w:pStyle w:val="Compact"/>
            </w:pPr>
            <w:r>
              <w:t xml:space="preserve">8.00</w:t>
            </w:r>
          </w:p>
        </w:tc>
        <w:tc>
          <w:tcPr/>
          <w:p>
            <w:pPr>
              <w:pStyle w:val="Compact"/>
            </w:pPr>
            <w:r>
              <w:t xml:space="preserve">67.00</w:t>
            </w:r>
          </w:p>
        </w:tc>
      </w:tr>
    </w:tbl>
    <w:bookmarkEnd w:id="23"/>
    <w:bookmarkStart w:id="27" w:name="histogram"/>
    <w:p>
      <w:pPr>
        <w:pStyle w:val="Heading2"/>
      </w:pPr>
      <w:r>
        <w:t xml:space="preserve">Histogram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dataset[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].hist()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133850" cy="32099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da_smoker_files/figure-docx/cell-8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</dc:title>
  <dc:creator>Adrian Taggruber</dc:creator>
  <cp:keywords/>
  <dcterms:created xsi:type="dcterms:W3CDTF">2024-11-13T09:03:51Z</dcterms:created>
  <dcterms:modified xsi:type="dcterms:W3CDTF">2024-11-13T09:03:51Z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