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160"/>
        <w:jc w:val="center"/>
      </w:pPr>
      <w:r>
        <w:rPr>
          <w:b/>
          <w:color w:val="1F4D78"/>
          <w:sz w:val="48"/>
        </w:rPr>
        <w:t>PRESENTACIÓN DEL PATRÓN ENCONTRADO</w:t>
      </w:r>
    </w:p>
    <w:p>
      <w:pPr>
        <w:jc w:val="center"/>
      </w:pPr>
      <w:r>
        <w:rPr>
          <w:color w:val="444444"/>
          <w:sz w:val="32"/>
        </w:rPr>
        <w:t>Abandono de clientes en servicios de Internet</w:t>
      </w:r>
    </w:p>
    <w:p>
      <w:pPr>
        <w:jc w:val="center"/>
      </w:pPr>
      <w:r>
        <w:t>Minería de Datos</w:t>
        <w:br/>
        <w:t>Adrian Torrico</w:t>
        <w:br/>
        <w:t>31 de agosto de 2026</w:t>
      </w:r>
    </w:p>
    <w:p>
      <w:r>
        <w:br w:type="page"/>
      </w:r>
    </w:p>
    <w:p>
      <w:pPr>
        <w:pStyle w:val="Heading1"/>
      </w:pPr>
      <w:r>
        <w:t>1. Punto de partida</w:t>
      </w:r>
    </w:p>
    <w:p>
      <w:r>
        <w:t>En este trabajo partí de una pregunta muy concreta: ¿qué características permiten reconocer a un cliente con mayor riesgo de abandonar el servicio de Internet? Mi objetivo no fue solamente obtener un porcentaje, sino traducir los datos en una regla clara que pudiera comprender y comunicar con facilidad.</w:t>
      </w:r>
    </w:p>
    <w:p>
      <w:r>
        <w:t>Trabajé con 600 clientes. En el conjunto completo, 153 abandonaron el servicio; por ello, la tasa general de abandono fue 25.50%. Este valor fue mi referencia: cualquier patrón interesante debía mostrar un riesgo claramente superior a ese promedio.</w:t>
      </w:r>
    </w:p>
    <w:p>
      <w:r>
        <w:drawing>
          <wp:inline xmlns:a="http://schemas.openxmlformats.org/drawingml/2006/main" xmlns:pic="http://schemas.openxmlformats.org/drawingml/2006/picture">
            <wp:extent cx="5669280" cy="2225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hu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5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Contexto del abandono y comportamiento según tipo de contrato.</w:t>
      </w:r>
    </w:p>
    <w:p>
      <w:pPr>
        <w:pStyle w:val="Heading1"/>
      </w:pPr>
      <w:r>
        <w:t>2. Lo que observé antes de proponer la regla</w:t>
      </w:r>
    </w:p>
    <w:p>
      <w:r>
        <w:t>Primero revisé cada variable por separado. Esta exploración me permitió pasar de una impresión general a señales específicas. Encontré que el abandono era mayor entre clientes con contrato mensual, sin soporte técnico y con satisfacción baja.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Señal observada</w:t>
            </w:r>
          </w:p>
        </w:tc>
        <w:tc>
          <w:tcPr>
            <w:tcW w:type="dxa" w:w="194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Tasa de abandono</w:t>
            </w:r>
          </w:p>
        </w:tc>
        <w:tc>
          <w:tcPr>
            <w:tcW w:type="dxa" w:w="453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Lectura que hice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Contrato mensual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31.31%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compromiso es menor que en un contrato de mayor duración.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 soporte técnico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38.24%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 problema técnico puede quedar sin una vía clara de solución.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Satisfacción baja (1-4)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52.78%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percepción negativa del servicio es una alerta directa.</w:t>
            </w:r>
          </w:p>
        </w:tc>
      </w:tr>
    </w:tbl>
    <w:p>
      <w:r>
        <w:t>Mi intuición fue que estas tres condiciones no debían analizarse de manera aislada. Un cliente mensual puede abandonar con facilidad; si además no recibe soporte y está insatisfecho, su situación es más frágil. Esta idea se convirtió en una hipótesis que luego validé con los datos.</w:t>
      </w:r>
    </w:p>
    <w:p>
      <w:pPr>
        <w:pStyle w:val="Heading1"/>
      </w:pPr>
      <w:r>
        <w:t>3. El patrón que identifiqué</w:t>
      </w:r>
    </w:p>
    <w:p>
      <w:pPr>
        <w:jc w:val="center"/>
      </w:pPr>
      <w:r>
        <w:rPr>
          <w:b/>
          <w:color w:val="1F4D78"/>
          <w:sz w:val="26"/>
        </w:rPr>
        <w:t>Contrato mensual + sin soporte técnico + satisfacción baja → alto riesgo de abandono</w:t>
      </w:r>
    </w:p>
    <w:p>
      <w:r>
        <w:t>Al revisar la combinación, encontré 17 clientes que cumplían simultáneamente las tres condiciones. Diez de ellos abandonaron el servicio. Esta es la evidencia cuantitativa de la regla: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304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5256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Qué significa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Soporte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17 de 600 (2.83%)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regla aparece en un grupo real y no en un caso aislado.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Confianza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de 17 (58.82%)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Más de la mitad de este grupo abandonó.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Lift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2.31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abandono es 2.31 veces más frecuente que en el total.</w:t>
            </w:r>
          </w:p>
        </w:tc>
      </w:tr>
    </w:tbl>
    <w:p>
      <w:r>
        <w:t>Para explicarlo de forma cotidiana, es parecido a detectar que ciertos clientes de una cafetería dejan de volver cuando tuvieron una mala experiencia, no recibieron atención y no tienen ningún compromiso con el lugar. La combinación no garantiza que todos se vayan, pero permite actuar antes de que se marchen.</w:t>
      </w:r>
    </w:p>
    <w:p>
      <w:pPr>
        <w:pStyle w:val="Heading1"/>
      </w:pPr>
      <w:r>
        <w:t>4. Por qué considero que este patrón es valioso</w:t>
      </w:r>
    </w:p>
    <w:p>
      <w:pPr>
        <w:pStyle w:val="Heading2"/>
      </w:pPr>
      <w:r>
        <w:t>Es válido</w:t>
      </w:r>
    </w:p>
    <w:p>
      <w:r>
        <w:t>Lo sostengo con soporte, confianza y lift. La confianza de 58.82% es superior a la tasa base de 25.50%, y el lift confirma que no se trata de un resultado esperado por azar dentro del promedio. Aun así, lo presento como una asociación descriptiva, no como una afirmación causal.</w:t>
      </w:r>
    </w:p>
    <w:p>
      <w:pPr>
        <w:pStyle w:val="Heading2"/>
      </w:pPr>
      <w:r>
        <w:t>Es novedoso</w:t>
      </w:r>
    </w:p>
    <w:p>
      <w:r>
        <w:t>No me limité a una sola característica. La regla combina contrato, soporte y satisfacción para formar un perfil de riesgo. De esa manera, el resultado ofrece una lectura más específica que afirmar solamente que la satisfacción baja se relaciona con el abandono.</w:t>
      </w:r>
    </w:p>
    <w:p>
      <w:pPr>
        <w:pStyle w:val="Heading2"/>
      </w:pPr>
      <w:r>
        <w:t>Es útil y comprensible</w:t>
      </w:r>
    </w:p>
    <w:p>
      <w:r>
        <w:t>Es útil porque indica dónde enfocaría una estrategia de retención: identificaría primero a este segmento y le ofrecería contacto proactivo, soporte técnico y una alternativa de contratación. Es comprensible porque puede resumirse en una frase que entiende un área comercial, de soporte o de gestión sin requerir conocimientos de redes bayesianas.</w:t>
      </w:r>
    </w:p>
    <w:p>
      <w:pPr>
        <w:pStyle w:val="Heading1"/>
      </w:pPr>
      <w:r>
        <w:t>5. Relación con el análisis previo</w:t>
      </w:r>
    </w:p>
    <w:p>
      <w:r>
        <w:t>En la práctica anterior construí una Red Bayesiana propuesta y otra aprendida con Hill Climbing. La consulta sobre un cliente con contrato mensual, sin soporte, satisfacción baja y poca antigüedad produjo una probabilidad de abandono de 52.82%. Ese resultado fue coherente con el patrón actual y me ayudó a seleccionar las variables relevantes.</w:t>
      </w:r>
    </w:p>
    <w:p>
      <w:r>
        <w:drawing>
          <wp:inline xmlns:a="http://schemas.openxmlformats.org/drawingml/2006/main" xmlns:pic="http://schemas.openxmlformats.org/drawingml/2006/picture">
            <wp:extent cx="5669280" cy="2225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riesg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5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El abandono aumenta de forma notoria cuando la satisfacción es baja.</w:t>
      </w:r>
    </w:p>
    <w:p>
      <w:r>
        <w:t>Sin embargo, evité usar como patrón principal la combinación que añadía poca antigüedad, porque solo aparecía en cinco clientes. Preferí una regla con tres condiciones y 17 casos: conserva una señal fuerte, pero tiene un soporte más razonable para ser defendida en la presentación.</w:t>
      </w:r>
    </w:p>
    <w:p>
      <w:pPr>
        <w:pStyle w:val="Heading1"/>
      </w:pPr>
      <w:r>
        <w:t>6. Cierre</w:t>
      </w:r>
    </w:p>
    <w:p>
      <w:r>
        <w:t>Concluyo que los datos no solo permitieron estimar probabilidades: también permitieron construir una regla accionable. El patrón identifica un grupo pequeño pero relevante, con una probabilidad de abandono de 58.82%. Si yo estuviera apoyando a la empresa, usaría esta regla como un criterio inicial de priorización y luego validaría sus resultados con nuevos periodos de datos.</w:t>
      </w:r>
    </w:p>
    <w:p>
      <w:r>
        <w:t xml:space="preserve">El programa reproducible está disponible en: </w:t>
      </w:r>
      <w:hyperlink r:id="rId12">
        <w:r>
          <w:rPr>
            <w:color w:val="0563C1"/>
            <w:u w:val="single"/>
          </w:rPr>
          <w:t>Google Colab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Patrón de abandono de clientes | Adrian Torrico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colab.research.google.com/github/adriantorrico126/practica-1-redes-bayesianas/blob/main/Practica_1_Redes_Bayesianas_Adrian_Torrico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