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jc w:val="center"/>
      </w:pPr>
      <w:r>
        <w:rPr>
          <w:b/>
          <w:bCs/>
          <w:color w:val="1F4E78"/>
          <w:sz w:val="56"/>
          <w:szCs w:val="56"/>
        </w:rPr>
        <w:t xml:space="preserve">Medicine Stockout Prediction</w:t>
      </w:r>
    </w:p>
    <w:p>
      <w:pPr>
        <w:spacing w:after="800"/>
        <w:jc w:val="center"/>
      </w:pPr>
      <w:r>
        <w:rPr>
          <w:i/>
          <w:iCs/>
          <w:sz w:val="28"/>
          <w:szCs w:val="28"/>
        </w:rPr>
        <w:t xml:space="preserve">A Machine Learning Approach to Forecasting Next-Month Stockouts</w:t>
      </w:r>
    </w:p>
    <w:p>
      <w:pPr>
        <w:spacing w:after="120"/>
        <w:jc w:val="center"/>
      </w:pPr>
      <w:r>
        <w:rPr>
          <w:b/>
          <w:bCs/>
          <w:sz w:val="26"/>
          <w:szCs w:val="26"/>
        </w:rPr>
        <w:t xml:space="preserve">Final Technical Report</w:t>
      </w:r>
    </w:p>
    <w:p>
      <w:pPr>
        <w:spacing w:after="60"/>
        <w:jc w:val="center"/>
      </w:pPr>
      <w:r>
        <w:rPr>
          <w:sz w:val="24"/>
          <w:szCs w:val="24"/>
        </w:rPr>
        <w:t xml:space="preserve">Data Science &amp; Machine Learning Student Project</w:t>
      </w:r>
    </w:p>
    <w:p>
      <w:pPr>
        <w:spacing w:after="60"/>
        <w:jc w:val="center"/>
      </w:pPr>
      <w:r>
        <w:rPr>
          <w:i/>
          <w:iCs/>
          <w:color w:val="C0392B"/>
          <w:sz w:val="22"/>
          <w:szCs w:val="22"/>
        </w:rPr>
        <w:t xml:space="preserve">[TO FILL IN: Course / Institution name]</w:t>
      </w:r>
    </w:p>
    <w:p>
      <w:pPr>
        <w:spacing w:after="60"/>
        <w:jc w:val="center"/>
      </w:pPr>
      <w:r>
        <w:rPr>
          <w:i/>
          <w:iCs/>
          <w:color w:val="C0392B"/>
          <w:sz w:val="22"/>
          <w:szCs w:val="22"/>
        </w:rPr>
        <w:t xml:space="preserve">[TO FILL IN: Team name and 10 member names]</w:t>
      </w:r>
    </w:p>
    <w:p>
      <w:pPr>
        <w:jc w:val="center"/>
      </w:pPr>
      <w:r>
        <w:rPr>
          <w:i/>
          <w:iCs/>
          <w:color w:val="C0392B"/>
          <w:sz w:val="22"/>
          <w:szCs w:val="22"/>
        </w:rPr>
        <w:t xml:space="preserve">[TO FILL IN: Submission date]</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Executive Summary</w:t>
      </w:r>
    </w:p>
    <w:p>
      <w:pPr>
        <w:spacing w:after="160"/>
      </w:pPr>
      <w:r>
        <w:t xml:space="preserve">Stockouts of essential medicines disrupt patient care and are costly to correct after the fact. This project builds a machine learning model that predicts, one month in advance, whether a given medicine at a given health facility will run out of stock — so supply chain teams can restock proactively rather than reactively.</w:t>
      </w:r>
    </w:p>
    <w:p>
      <w:pPr>
        <w:spacing w:after="160"/>
      </w:pPr>
      <w:r>
        <w:t xml:space="preserve">Using historical monthly consumption, stock balance, and receipt records, the team engineered lag and rolling-average features, then compared three model families — Logistic Regression, XGBoost, and Random Forest — under two different strategies for handling class imbalance (class weighting and SMOTE). The best-performing model was selected via hyperparameter tuning on a held-out validation set, and evaluated on a chronologically separate test set to avoid the model "seeing the future."</w:t>
      </w:r>
    </w:p>
    <w:p>
      <w:pPr>
        <w:spacing w:after="160"/>
      </w:pPr>
      <w:r>
        <w:t xml:space="preserve">The XGBoost model with scale_pos_weight achieved the best overall discrimination (ROC-AUC = 0.840 on the untouched Test set), narrowly ahead of the GridSearchCV-tuned XGBoost (0.838) and Random Forest (0.833) — suggesting the model was already close to its practical ceiling on this feature set before tuning. Interestingly, the simpler Logistic Regression baseline caught more real stockouts (72% recall) than any tree-based model at the default threshold, though at the cost of more false alarms. Error analysis shows the model struggles most with intermittently-consumed products (e.g. Paracetamol Dispersible, Salbutamol Inhaler) and specific facilities with irregular consumption patterns.</w:t>
      </w:r>
    </w:p>
    <w:p>
      <w:pPr>
        <w:pStyle w:val="Heading1"/>
        <w:spacing w:after="160" w:before="320"/>
      </w:pPr>
      <w:r>
        <w:t xml:space="preserve">1. Introduction &amp; Problem Statement</w:t>
      </w:r>
    </w:p>
    <w:p>
      <w:pPr>
        <w:spacing w:after="160"/>
      </w:pPr>
      <w:r>
        <w:t xml:space="preserve">Health facilities regularly experience stockouts of essential medicines, where a product runs out before the next resupply cycle. This is frequently discovered only after the fact — when a patient cannot be treated — rather than anticipated in advance.</w:t>
      </w:r>
    </w:p>
    <w:p>
      <w:pPr>
        <w:spacing w:after="160"/>
      </w:pPr>
      <w:r>
        <w:t xml:space="preserve">This project reframes the problem as a supervised binary classification task:</w:t>
      </w:r>
    </w:p>
    <w:p>
      <w:pPr>
        <w:pStyle w:val="ListParagraph"/>
        <w:numPr>
          <w:ilvl w:val="0"/>
          <w:numId w:val="1"/>
        </w:numPr>
        <w:spacing w:after="80"/>
      </w:pPr>
      <w:r>
        <w:t xml:space="preserve">Given a product's consumption, stock balance, and receipt history up to and including the current month, predict whether that product at that facility will experience a stockout next month.</w:t>
      </w:r>
    </w:p>
    <w:p>
      <w:pPr>
        <w:spacing w:after="160"/>
      </w:pPr>
      <w:r>
        <w:t xml:space="preserve">A reliable early-warning model would allow supply chain teams to prioritize restocking for the highest-risk product-facility combinations before a stockout occurs.</w:t>
      </w:r>
    </w:p>
    <w:p>
      <w:pPr>
        <w:pStyle w:val="Heading2"/>
        <w:spacing w:after="120" w:before="240"/>
      </w:pPr>
      <w:r>
        <w:t xml:space="preserve">1.1 Objectives</w:t>
      </w:r>
    </w:p>
    <w:p>
      <w:pPr>
        <w:pStyle w:val="ListParagraph"/>
        <w:numPr>
          <w:ilvl w:val="0"/>
          <w:numId w:val="1"/>
        </w:numPr>
        <w:spacing w:after="80"/>
      </w:pPr>
      <w:r>
        <w:t xml:space="preserve">Build a clean, reproducible data pipeline from raw monthly records to model-ready features.</w:t>
      </w:r>
    </w:p>
    <w:p>
      <w:pPr>
        <w:pStyle w:val="ListParagraph"/>
        <w:numPr>
          <w:ilvl w:val="0"/>
          <w:numId w:val="1"/>
        </w:numPr>
        <w:spacing w:after="80"/>
      </w:pPr>
      <w:r>
        <w:t xml:space="preserve">Compare multiple model families and imbalance-handling strategies on a fair, leakage-free basis.</w:t>
      </w:r>
    </w:p>
    <w:p>
      <w:pPr>
        <w:pStyle w:val="ListParagraph"/>
        <w:numPr>
          <w:ilvl w:val="0"/>
          <w:numId w:val="1"/>
        </w:numPr>
        <w:spacing w:after="80"/>
      </w:pPr>
      <w:r>
        <w:t xml:space="preserve">Identify which products and facilities the model struggles with most, to guide practical rollout.</w:t>
      </w:r>
    </w:p>
    <w:p>
      <w:pPr>
        <w:pStyle w:val="Heading1"/>
        <w:spacing w:after="160" w:before="320"/>
      </w:pPr>
      <w:r>
        <w:t xml:space="preserve">2. Data Description</w:t>
      </w:r>
    </w:p>
    <w:p>
      <w:pPr>
        <w:spacing w:after="160"/>
      </w:pPr>
      <w:r>
        <w:t xml:space="preserve">The dataset consists of monthly product-level stock records per health facility, including opening balance, quantity received, quantity consumed, and closing balance, along with engineered features summarizing recent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1F4E78" w:val="clear"/>
          </w:tcPr>
          <w:p>
            <w:r>
              <w:rPr>
                <w:b/>
                <w:bCs/>
                <w:color w:val="FFFFFF"/>
              </w:rPr>
              <w:t xml:space="preserve">Feature</w:t>
            </w:r>
          </w:p>
        </w:tc>
        <w:tc>
          <w:tcPr>
            <w:tcW w:type="dxa" w:w="6000"/>
            <w:shd w:fill="1F4E78" w:val="clear"/>
          </w:tcPr>
          <w:p>
            <w:r>
              <w:rPr>
                <w:b/>
                <w:bCs/>
                <w:color w:val="FFFFFF"/>
              </w:rPr>
              <w:t xml:space="preserve">Description</w:t>
            </w:r>
          </w:p>
        </w:tc>
      </w:tr>
      <w:tr>
        <w:tc>
          <w:tcPr>
            <w:tcW w:type="dxa" w:w="3600"/>
          </w:tcPr>
          <w:p>
            <w:r>
              <w:t xml:space="preserve">openBalance / closeBalance</w:t>
            </w:r>
          </w:p>
        </w:tc>
        <w:tc>
          <w:tcPr>
            <w:tcW w:type="dxa" w:w="6000"/>
          </w:tcPr>
          <w:p>
            <w:r>
              <w:t xml:space="preserve">Stock on hand at the start / end of the month</w:t>
            </w:r>
          </w:p>
        </w:tc>
      </w:tr>
      <w:tr>
        <w:tc>
          <w:tcPr>
            <w:tcW w:type="dxa" w:w="3600"/>
          </w:tcPr>
          <w:p>
            <w:r>
              <w:t xml:space="preserve">received</w:t>
            </w:r>
          </w:p>
        </w:tc>
        <w:tc>
          <w:tcPr>
            <w:tcW w:type="dxa" w:w="6000"/>
          </w:tcPr>
          <w:p>
            <w:r>
              <w:t xml:space="preserve">Quantity received during the month</w:t>
            </w:r>
          </w:p>
        </w:tc>
      </w:tr>
      <w:tr>
        <w:tc>
          <w:tcPr>
            <w:tcW w:type="dxa" w:w="3600"/>
          </w:tcPr>
          <w:p>
            <w:r>
              <w:t xml:space="preserve">consumption</w:t>
            </w:r>
          </w:p>
        </w:tc>
        <w:tc>
          <w:tcPr>
            <w:tcW w:type="dxa" w:w="6000"/>
          </w:tcPr>
          <w:p>
            <w:r>
              <w:t xml:space="preserve">Quantity consumed during the month</w:t>
            </w:r>
          </w:p>
        </w:tc>
      </w:tr>
      <w:tr>
        <w:tc>
          <w:tcPr>
            <w:tcW w:type="dxa" w:w="3600"/>
          </w:tcPr>
          <w:p>
            <w:r>
              <w:t xml:space="preserve">Days_of_Stock_Remaining</w:t>
            </w:r>
          </w:p>
        </w:tc>
        <w:tc>
          <w:tcPr>
            <w:tcW w:type="dxa" w:w="6000"/>
          </w:tcPr>
          <w:p>
            <w:r>
              <w:t xml:space="preserve">Estimated days of stock left, based on consumption rate</w:t>
            </w:r>
          </w:p>
        </w:tc>
      </w:tr>
      <w:tr>
        <w:tc>
          <w:tcPr>
            <w:tcW w:type="dxa" w:w="3600"/>
          </w:tcPr>
          <w:p>
            <w:r>
              <w:t xml:space="preserve">Previous_Month_Consumption</w:t>
            </w:r>
          </w:p>
        </w:tc>
        <w:tc>
          <w:tcPr>
            <w:tcW w:type="dxa" w:w="6000"/>
          </w:tcPr>
          <w:p>
            <w:r>
              <w:t xml:space="preserve">Consumption in the prior month</w:t>
            </w:r>
          </w:p>
        </w:tc>
      </w:tr>
      <w:tr>
        <w:tc>
          <w:tcPr>
            <w:tcW w:type="dxa" w:w="3600"/>
          </w:tcPr>
          <w:p>
            <w:r>
              <w:t xml:space="preserve">Rolling_3_Month_Consumption</w:t>
            </w:r>
          </w:p>
        </w:tc>
        <w:tc>
          <w:tcPr>
            <w:tcW w:type="dxa" w:w="6000"/>
          </w:tcPr>
          <w:p>
            <w:r>
              <w:t xml:space="preserve">Average consumption over the last 3 months</w:t>
            </w:r>
          </w:p>
        </w:tc>
      </w:tr>
      <w:tr>
        <w:tc>
          <w:tcPr>
            <w:tcW w:type="dxa" w:w="3600"/>
          </w:tcPr>
          <w:p>
            <w:r>
              <w:t xml:space="preserve">Previous_Month_Stockout</w:t>
            </w:r>
          </w:p>
        </w:tc>
        <w:tc>
          <w:tcPr>
            <w:tcW w:type="dxa" w:w="6000"/>
          </w:tcPr>
          <w:p>
            <w:r>
              <w:t xml:space="preserve">Whether this product/facility was out of stock last month</w:t>
            </w:r>
          </w:p>
        </w:tc>
      </w:tr>
      <w:tr>
        <w:tc>
          <w:tcPr>
            <w:tcW w:type="dxa" w:w="3600"/>
          </w:tcPr>
          <w:p>
            <w:r>
              <w:t xml:space="preserve">stockout_next_month (target)</w:t>
            </w:r>
          </w:p>
        </w:tc>
        <w:tc>
          <w:tcPr>
            <w:tcW w:type="dxa" w:w="6000"/>
          </w:tcPr>
          <w:p>
            <w:r>
              <w:t xml:space="preserve">Whether this product/facility will be out of stock next month</w:t>
            </w:r>
          </w:p>
        </w:tc>
      </w:tr>
    </w:tbl>
    <w:p>
      <w:pPr>
        <w:spacing w:after="160"/>
      </w:pPr>
    </w:p>
    <w:p>
      <w:pPr>
        <w:spacing w:after="160"/>
      </w:pPr>
      <w:r>
        <w:t xml:space="preserve">Identifier columns (facility ID, product ID, product name) were retained for reporting and error analysis, but excluded from the model's input features to avoid the model memorizing specific IDs instead of learning general patterns.</w:t>
      </w:r>
    </w:p>
    <w:p>
      <w:pPr>
        <w:spacing w:after="160"/>
      </w:pPr>
      <w:r>
        <w:t xml:space="preserve">The raw dataset contains 5,653 rows and 19 columns. After dropping first-month records with no lag history, 5,501 rows remained, with 13 features used as model input. Overall, 933 of 5,653 records (about 16.5%) are stockouts — confirming the class imbalance identified in Week 1.</w:t>
      </w:r>
    </w:p>
    <w:p>
      <w:pPr>
        <w:pStyle w:val="Heading2"/>
        <w:spacing w:after="120" w:before="240"/>
      </w:pPr>
      <w:r>
        <w:t xml:space="preserve">2.1 Key EDA Findings (Week 1)</w:t>
      </w:r>
    </w:p>
    <w:p>
      <w:pPr>
        <w:pStyle w:val="ListParagraph"/>
        <w:numPr>
          <w:ilvl w:val="0"/>
          <w:numId w:val="1"/>
        </w:numPr>
        <w:spacing w:after="80"/>
      </w:pPr>
      <w:r>
        <w:t xml:space="preserve">The target class is imbalanced: roughly 83.5% "No Stockout" vs. 16.5% "Stockout" — a naive always-predict-negative model would reach ~83% accuracy while being practically useless.</w:t>
      </w:r>
    </w:p>
    <w:p>
      <w:pPr>
        <w:pStyle w:val="ListParagraph"/>
        <w:numPr>
          <w:ilvl w:val="0"/>
          <w:numId w:val="1"/>
        </w:numPr>
        <w:spacing w:after="80"/>
      </w:pPr>
      <w:r>
        <w:t xml:space="preserve">Volume-type features (consumption, balances, received quantities) are heavily right-skewed, with a small number of facility/product combinations reaching values many times the median — visible as extreme outliers on the pre-transform boxplot (Section 5b of the notebook).</w:t>
      </w:r>
    </w:p>
    <w:p>
      <w:pPr>
        <w:pStyle w:val="ListParagraph"/>
        <w:numPr>
          <w:ilvl w:val="0"/>
          <w:numId w:val="1"/>
        </w:numPr>
        <w:spacing w:after="80"/>
      </w:pPr>
      <w:r>
        <w:t xml:space="preserve">Missing values are concentrated in the lag/rolling features (Previous_Month_*, Rolling_3_Month_*), affecting 152 rows — all first-month records for a given product-facility pair — plus 505 rows missing Days_of_Stock_Remaining where consumption was zero.</w:t>
      </w:r>
    </w:p>
    <w:p>
      <w:pPr>
        <w:pStyle w:val="Heading1"/>
        <w:spacing w:after="160" w:before="320"/>
      </w:pPr>
      <w:r>
        <w:t xml:space="preserve">3. Data Preprocessing</w:t>
      </w:r>
    </w:p>
    <w:p>
      <w:pPr>
        <w:pStyle w:val="Heading2"/>
        <w:spacing w:after="120" w:before="240"/>
      </w:pPr>
      <w:r>
        <w:t xml:space="preserve">3.1 Handling Missing Values</w:t>
      </w:r>
    </w:p>
    <w:p>
      <w:pPr>
        <w:spacing w:after="160"/>
      </w:pPr>
      <w:r>
        <w:t xml:space="preserve">The first month of data for each product-facility pair has no prior-month history, so these rows were dropped rather than imputed with misleading placeholder values. The Days_of_Stock_Remaining feature is undefined when consumption is zero; these were filled with the maximum observed value, reflecting that zero consumption implies stock will last a very long time.</w:t>
      </w:r>
    </w:p>
    <w:p>
      <w:pPr>
        <w:pStyle w:val="Heading2"/>
        <w:spacing w:after="120" w:before="240"/>
      </w:pPr>
      <w:r>
        <w:t xml:space="preserve">3.2 Feature Selection</w:t>
      </w:r>
    </w:p>
    <w:p>
      <w:pPr>
        <w:spacing w:after="160"/>
      </w:pPr>
      <w:r>
        <w:t xml:space="preserve">Identifier columns (facility ID, product ID, product name) and the raw date column were excluded from the model inputs. A redundant column (Stock_Cover, a duplicate of Days_of_Stock_Remaining) was also dropped.</w:t>
      </w:r>
    </w:p>
    <w:p>
      <w:pPr>
        <w:pStyle w:val="Heading2"/>
        <w:spacing w:after="120" w:before="240"/>
      </w:pPr>
      <w:r>
        <w:t xml:space="preserve">3.3 Train / Validation / Test Split</w:t>
      </w:r>
    </w:p>
    <w:p>
      <w:pPr>
        <w:spacing w:after="160"/>
      </w:pPr>
      <w:r>
        <w:t xml:space="preserve">Rows were split chronologically rather than randomly, into three sets:</w:t>
      </w:r>
    </w:p>
    <w:p>
      <w:pPr>
        <w:pStyle w:val="ListParagraph"/>
        <w:numPr>
          <w:ilvl w:val="0"/>
          <w:numId w:val="1"/>
        </w:numPr>
        <w:spacing w:after="80"/>
      </w:pPr>
      <w:r>
        <w:t xml:space="preserve">Train — all records before the first cutoff date, used to fit the models.</w:t>
      </w:r>
    </w:p>
    <w:p>
      <w:pPr>
        <w:pStyle w:val="ListParagraph"/>
        <w:numPr>
          <w:ilvl w:val="0"/>
          <w:numId w:val="1"/>
        </w:numPr>
        <w:spacing w:after="80"/>
      </w:pPr>
      <w:r>
        <w:t xml:space="preserve">Validation — records between the two cutoff dates, used only for hyperparameter tuning and model comparison.</w:t>
      </w:r>
    </w:p>
    <w:p>
      <w:pPr>
        <w:pStyle w:val="ListParagraph"/>
        <w:numPr>
          <w:ilvl w:val="0"/>
          <w:numId w:val="1"/>
        </w:numPr>
        <w:spacing w:after="80"/>
      </w:pPr>
      <w:r>
        <w:t xml:space="preserve">Test — records from the second cutoff date onward, held out and untouched until final evaluation.</w:t>
      </w:r>
    </w:p>
    <w:p>
      <w:pPr>
        <w:spacing w:after="160"/>
      </w:pPr>
      <w:r>
        <w:t xml:space="preserve">A random split was deliberately avoided, since it would let the model train on later months and be evaluated on earlier ones — effectively letting it "see the future," which does not reflect how the model would be used in practice.</w:t>
      </w:r>
    </w:p>
    <w:p>
      <w:pPr>
        <w:pStyle w:val="Heading2"/>
        <w:spacing w:after="120" w:before="240"/>
      </w:pPr>
      <w:r>
        <w:t xml:space="preserve">3.4 Outlier Handling</w:t>
      </w:r>
    </w:p>
    <w:p>
      <w:pPr>
        <w:spacing w:after="160"/>
      </w:pPr>
      <w:r>
        <w:t xml:space="preserve">Volume-type features (consumption, balances, received quantities) are right-skewed, with a small number of very large values. A log1p transform was applied to these columns to reduce the influence of extreme values, particularly for the Logistic Regression model, which is more sensitive to scale and skew than tree-based models. The transform was applied independently to the Train, Validation, and Test sets, since it is a fixed, deterministic function rather than one that is fitted to the data, so it introduces no leakage between the sets.</w:t>
      </w:r>
    </w:p>
    <w:p>
      <w:pPr>
        <w:pStyle w:val="Heading2"/>
        <w:spacing w:after="120" w:before="240"/>
      </w:pPr>
      <w:r>
        <w:t xml:space="preserve">3.5 Class Imbalance</w:t>
      </w:r>
    </w:p>
    <w:p>
      <w:pPr>
        <w:spacing w:after="160"/>
      </w:pPr>
      <w:r>
        <w:t xml:space="preserve">Only 15-17% of records are stockouts, so a naive model could achieve high accuracy while never correctly identifying a real stockout. Two strategies were compared:</w:t>
      </w:r>
    </w:p>
    <w:p>
      <w:pPr>
        <w:pStyle w:val="ListParagraph"/>
        <w:numPr>
          <w:ilvl w:val="0"/>
          <w:numId w:val="1"/>
        </w:numPr>
        <w:spacing w:after="80"/>
      </w:pPr>
      <w:r>
        <w:t xml:space="preserve">Class weighting (scale_pos_weight for XGBoost, class_weight="balanced" for Logistic Regression and Random Forest), which increases the penalty for misclassifying the minority class during training.</w:t>
      </w:r>
    </w:p>
    <w:p>
      <w:pPr>
        <w:pStyle w:val="ListParagraph"/>
        <w:numPr>
          <w:ilvl w:val="0"/>
          <w:numId w:val="1"/>
        </w:numPr>
        <w:spacing w:after="80"/>
      </w:pPr>
      <w:r>
        <w:t xml:space="preserve">SMOTE (Synthetic Minority Oversampling Technique), which generates synthetic minority-class examples by interpolating between real stockout records that are similar to one another. SMOTE was applied to the training set only, never to validation or test data.</w:t>
      </w:r>
    </w:p>
    <w:p>
      <w:pPr>
        <w:pStyle w:val="Heading1"/>
        <w:spacing w:after="160" w:before="320"/>
      </w:pPr>
      <w:r>
        <w:t xml:space="preserve">4. Modeling Approach</w:t>
      </w:r>
    </w:p>
    <w:p>
      <w:pPr>
        <w:pStyle w:val="Heading2"/>
        <w:spacing w:after="120" w:before="240"/>
      </w:pPr>
      <w:r>
        <w:t xml:space="preserve">4.1 Model Families Compared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00"/>
      </w:tblGrid>
      <w:tr>
        <w:tc>
          <w:tcPr>
            <w:tcW w:type="dxa" w:w="3000"/>
            <w:shd w:fill="1F4E78" w:val="clear"/>
          </w:tcPr>
          <w:p>
            <w:r>
              <w:rPr>
                <w:b/>
                <w:bCs/>
                <w:color w:val="FFFFFF"/>
              </w:rPr>
              <w:t xml:space="preserve">Model</w:t>
            </w:r>
          </w:p>
        </w:tc>
        <w:tc>
          <w:tcPr>
            <w:tcW w:type="dxa" w:w="3000"/>
            <w:shd w:fill="1F4E78" w:val="clear"/>
          </w:tcPr>
          <w:p>
            <w:r>
              <w:rPr>
                <w:b/>
                <w:bCs/>
                <w:color w:val="FFFFFF"/>
              </w:rPr>
              <w:t xml:space="preserve">Type</w:t>
            </w:r>
          </w:p>
        </w:tc>
        <w:tc>
          <w:tcPr>
            <w:tcW w:type="dxa" w:w="3600"/>
            <w:shd w:fill="1F4E78" w:val="clear"/>
          </w:tcPr>
          <w:p>
            <w:r>
              <w:rPr>
                <w:b/>
                <w:bCs/>
                <w:color w:val="FFFFFF"/>
              </w:rPr>
              <w:t xml:space="preserve">Why included</w:t>
            </w:r>
          </w:p>
        </w:tc>
      </w:tr>
      <w:tr>
        <w:tc>
          <w:tcPr>
            <w:tcW w:type="dxa" w:w="3000"/>
          </w:tcPr>
          <w:p>
            <w:r>
              <w:t xml:space="preserve">Logistic Regression</w:t>
            </w:r>
          </w:p>
        </w:tc>
        <w:tc>
          <w:tcPr>
            <w:tcW w:type="dxa" w:w="3000"/>
          </w:tcPr>
          <w:p>
            <w:r>
              <w:t xml:space="preserve">Linear</w:t>
            </w:r>
          </w:p>
        </w:tc>
        <w:tc>
          <w:tcPr>
            <w:tcW w:type="dxa" w:w="3600"/>
          </w:tcPr>
          <w:p>
            <w:r>
              <w:t xml:space="preserve">Simple, interpretable baseline; coefficients show each feature's direction of effect</w:t>
            </w:r>
          </w:p>
        </w:tc>
      </w:tr>
      <w:tr>
        <w:tc>
          <w:tcPr>
            <w:tcW w:type="dxa" w:w="3000"/>
          </w:tcPr>
          <w:p>
            <w:r>
              <w:t xml:space="preserve">XGBoost</w:t>
            </w:r>
          </w:p>
        </w:tc>
        <w:tc>
          <w:tcPr>
            <w:tcW w:type="dxa" w:w="3000"/>
          </w:tcPr>
          <w:p>
            <w:r>
              <w:t xml:space="preserve">Gradient-boosted trees</w:t>
            </w:r>
          </w:p>
        </w:tc>
        <w:tc>
          <w:tcPr>
            <w:tcW w:type="dxa" w:w="3600"/>
          </w:tcPr>
          <w:p>
            <w:r>
              <w:t xml:space="preserve">Captures non-linear relationships; strong performance on tabular data</w:t>
            </w:r>
          </w:p>
        </w:tc>
      </w:tr>
      <w:tr>
        <w:tc>
          <w:tcPr>
            <w:tcW w:type="dxa" w:w="3000"/>
          </w:tcPr>
          <w:p>
            <w:r>
              <w:t xml:space="preserve">Random Forest</w:t>
            </w:r>
          </w:p>
        </w:tc>
        <w:tc>
          <w:tcPr>
            <w:tcW w:type="dxa" w:w="3000"/>
          </w:tcPr>
          <w:p>
            <w:r>
              <w:t xml:space="preserve">Bagged trees</w:t>
            </w:r>
          </w:p>
        </w:tc>
        <w:tc>
          <w:tcPr>
            <w:tcW w:type="dxa" w:w="3600"/>
          </w:tcPr>
          <w:p>
            <w:r>
              <w:t xml:space="preserve">A second, independent tree-based approach for comparison against boosting</w:t>
            </w:r>
          </w:p>
        </w:tc>
      </w:tr>
    </w:tbl>
    <w:p>
      <w:pPr>
        <w:spacing w:after="160"/>
      </w:pPr>
    </w:p>
    <w:p>
      <w:pPr>
        <w:pStyle w:val="Heading2"/>
        <w:spacing w:after="120" w:before="240"/>
      </w:pPr>
      <w:r>
        <w:t xml:space="preserve">4.2 Hyperparameter Tuning</w:t>
      </w:r>
    </w:p>
    <w:p>
      <w:pPr>
        <w:spacing w:after="160"/>
      </w:pPr>
      <w:r>
        <w:t xml:space="preserve">XGBoost's hyperparameters (number of trees, tree depth, learning rate) were tuned using GridSearchCV, restricted to the Validation fold via a PredefinedSplit rather than standard k-fold cross-validation. This preserves the chronological Train/Validation separation established earlier — the search always trains on Train rows and scores candidate settings on Validation rows only, and the Test set plays no role in this step at all.</w:t>
      </w:r>
    </w:p>
    <w:p>
      <w:pPr>
        <w:pStyle w:val="Heading2"/>
        <w:spacing w:after="120" w:before="240"/>
      </w:pPr>
      <w:r>
        <w:t xml:space="preserve">4.3 Evaluation Metrics</w:t>
      </w:r>
    </w:p>
    <w:p>
      <w:pPr>
        <w:spacing w:after="160"/>
      </w:pPr>
      <w:r>
        <w:t xml:space="preserve">Accuracy was avoided as a primary metric due to class imbalance. Instead, the following were used:</w:t>
      </w:r>
    </w:p>
    <w:p>
      <w:pPr>
        <w:pStyle w:val="ListParagraph"/>
        <w:numPr>
          <w:ilvl w:val="0"/>
          <w:numId w:val="1"/>
        </w:numPr>
        <w:spacing w:after="80"/>
      </w:pPr>
      <w:r>
        <w:t xml:space="preserve">Precision, Recall, and F1-score for the Stockout class specifically.</w:t>
      </w:r>
    </w:p>
    <w:p>
      <w:pPr>
        <w:pStyle w:val="ListParagraph"/>
        <w:numPr>
          <w:ilvl w:val="0"/>
          <w:numId w:val="1"/>
        </w:numPr>
        <w:spacing w:after="80"/>
      </w:pPr>
      <w:r>
        <w:t xml:space="preserve">ROC-AUC, which summarizes model discrimination across all decision thresholds.</w:t>
      </w:r>
    </w:p>
    <w:p>
      <w:pPr>
        <w:pStyle w:val="ListParagraph"/>
        <w:numPr>
          <w:ilvl w:val="0"/>
          <w:numId w:val="1"/>
        </w:numPr>
        <w:spacing w:after="80"/>
      </w:pPr>
      <w:r>
        <w:t xml:space="preserve">Recall was treated as the most important metric for this problem, since a missed stockout (false negative) is more costly in practice than a false alarm.</w:t>
      </w:r>
    </w:p>
    <w:p>
      <w:pPr>
        <w:pStyle w:val="Heading1"/>
        <w:spacing w:after="160" w:before="320"/>
      </w:pPr>
      <w:r>
        <w:t xml:space="preserve">5.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2000"/>
      </w:tblGrid>
      <w:tr>
        <w:tc>
          <w:tcPr>
            <w:tcW w:type="dxa" w:w="3200"/>
            <w:shd w:fill="1F4E78" w:val="clear"/>
          </w:tcPr>
          <w:p>
            <w:r>
              <w:rPr>
                <w:b/>
                <w:bCs/>
                <w:color w:val="FFFFFF"/>
              </w:rPr>
              <w:t xml:space="preserve">Model / Approach</w:t>
            </w:r>
          </w:p>
        </w:tc>
        <w:tc>
          <w:tcPr>
            <w:tcW w:type="dxa" w:w="2000"/>
            <w:shd w:fill="1F4E78" w:val="clear"/>
          </w:tcPr>
          <w:p>
            <w:r>
              <w:rPr>
                <w:b/>
                <w:bCs/>
                <w:color w:val="FFFFFF"/>
              </w:rPr>
              <w:t xml:space="preserve">ROC-AUC (Test)</w:t>
            </w:r>
          </w:p>
        </w:tc>
        <w:tc>
          <w:tcPr>
            <w:tcW w:type="dxa" w:w="2400"/>
            <w:shd w:fill="1F4E78" w:val="clear"/>
          </w:tcPr>
          <w:p>
            <w:r>
              <w:rPr>
                <w:b/>
                <w:bCs/>
                <w:color w:val="FFFFFF"/>
              </w:rPr>
              <w:t xml:space="preserve">Recall — Stockout class</w:t>
            </w:r>
          </w:p>
        </w:tc>
        <w:tc>
          <w:tcPr>
            <w:tcW w:type="dxa" w:w="2000"/>
            <w:shd w:fill="1F4E78" w:val="clear"/>
          </w:tcPr>
          <w:p>
            <w:r>
              <w:rPr>
                <w:b/>
                <w:bCs/>
                <w:color w:val="FFFFFF"/>
              </w:rPr>
              <w:t xml:space="preserve">Notes</w:t>
            </w:r>
          </w:p>
        </w:tc>
      </w:tr>
      <w:tr>
        <w:tc>
          <w:tcPr>
            <w:tcW w:type="dxa" w:w="3200"/>
          </w:tcPr>
          <w:p>
            <w:r>
              <w:t xml:space="preserve">Logistic Regression (baseline)</w:t>
            </w:r>
          </w:p>
        </w:tc>
        <w:tc>
          <w:tcPr>
            <w:tcW w:type="dxa" w:w="2000"/>
          </w:tcPr>
          <w:p>
            <w:r>
              <w:t xml:space="preserve">0.819</w:t>
            </w:r>
          </w:p>
        </w:tc>
        <w:tc>
          <w:tcPr>
            <w:tcW w:type="dxa" w:w="2400"/>
          </w:tcPr>
          <w:p>
            <w:r>
              <w:t xml:space="preserve">0.72</w:t>
            </w:r>
          </w:p>
        </w:tc>
        <w:tc>
          <w:tcPr>
            <w:tcW w:type="dxa" w:w="2000"/>
          </w:tcPr>
          <w:p>
            <w:r>
              <w:t xml:space="preserve">Best recall of all models</w:t>
            </w:r>
          </w:p>
        </w:tc>
      </w:tr>
      <w:tr>
        <w:tc>
          <w:tcPr>
            <w:tcW w:type="dxa" w:w="3200"/>
          </w:tcPr>
          <w:p>
            <w:r>
              <w:t xml:space="preserve">XGBoost + scale_pos_weight</w:t>
            </w:r>
          </w:p>
        </w:tc>
        <w:tc>
          <w:tcPr>
            <w:tcW w:type="dxa" w:w="2000"/>
          </w:tcPr>
          <w:p>
            <w:r>
              <w:t xml:space="preserve">0.840</w:t>
            </w:r>
          </w:p>
        </w:tc>
        <w:tc>
          <w:tcPr>
            <w:tcW w:type="dxa" w:w="2400"/>
          </w:tcPr>
          <w:p>
            <w:r>
              <w:t xml:space="preserve">0.63</w:t>
            </w:r>
          </w:p>
        </w:tc>
        <w:tc>
          <w:tcPr>
            <w:tcW w:type="dxa" w:w="2000"/>
          </w:tcPr>
          <w:p>
            <w:r>
              <w:t xml:space="preserve">Best ROC-AUC overall</w:t>
            </w:r>
          </w:p>
        </w:tc>
      </w:tr>
      <w:tr>
        <w:tc>
          <w:tcPr>
            <w:tcW w:type="dxa" w:w="3200"/>
          </w:tcPr>
          <w:p>
            <w:r>
              <w:t xml:space="preserve">XGBoost + SMOTE</w:t>
            </w:r>
          </w:p>
        </w:tc>
        <w:tc>
          <w:tcPr>
            <w:tcW w:type="dxa" w:w="2000"/>
          </w:tcPr>
          <w:p>
            <w:r>
              <w:t xml:space="preserve">0.831</w:t>
            </w:r>
          </w:p>
        </w:tc>
        <w:tc>
          <w:tcPr>
            <w:tcW w:type="dxa" w:w="2400"/>
          </w:tcPr>
          <w:p>
            <w:r>
              <w:t xml:space="preserve">0.52</w:t>
            </w:r>
          </w:p>
        </w:tc>
        <w:tc>
          <w:tcPr>
            <w:tcW w:type="dxa" w:w="2000"/>
          </w:tcPr>
          <w:p/>
        </w:tc>
      </w:tr>
      <w:tr>
        <w:tc>
          <w:tcPr>
            <w:tcW w:type="dxa" w:w="3200"/>
          </w:tcPr>
          <w:p>
            <w:r>
              <w:t xml:space="preserve">Random Forest + class_weight</w:t>
            </w:r>
          </w:p>
        </w:tc>
        <w:tc>
          <w:tcPr>
            <w:tcW w:type="dxa" w:w="2000"/>
          </w:tcPr>
          <w:p>
            <w:r>
              <w:t xml:space="preserve">0.833</w:t>
            </w:r>
          </w:p>
        </w:tc>
        <w:tc>
          <w:tcPr>
            <w:tcW w:type="dxa" w:w="2400"/>
          </w:tcPr>
          <w:p>
            <w:r>
              <w:t xml:space="preserve">0.55</w:t>
            </w:r>
          </w:p>
        </w:tc>
        <w:tc>
          <w:tcPr>
            <w:tcW w:type="dxa" w:w="2000"/>
          </w:tcPr>
          <w:p/>
        </w:tc>
      </w:tr>
      <w:tr>
        <w:tc>
          <w:tcPr>
            <w:tcW w:type="dxa" w:w="3200"/>
          </w:tcPr>
          <w:p>
            <w:r>
              <w:t xml:space="preserve">XGBoost (tuned via GridSearchCV)</w:t>
            </w:r>
          </w:p>
        </w:tc>
        <w:tc>
          <w:tcPr>
            <w:tcW w:type="dxa" w:w="2000"/>
          </w:tcPr>
          <w:p>
            <w:r>
              <w:t xml:space="preserve">0.838</w:t>
            </w:r>
          </w:p>
        </w:tc>
        <w:tc>
          <w:tcPr>
            <w:tcW w:type="dxa" w:w="2400"/>
          </w:tcPr>
          <w:p>
            <w:r>
              <w:t xml:space="preserve">0.58</w:t>
            </w:r>
          </w:p>
        </w:tc>
        <w:tc>
          <w:tcPr>
            <w:tcW w:type="dxa" w:w="2000"/>
          </w:tcPr>
          <w:p>
            <w:r>
              <w:t xml:space="preserve">Best params: learning_rate=0.03, max_depth=6, n_estimators=300</w:t>
            </w:r>
          </w:p>
        </w:tc>
      </w:tr>
    </w:tbl>
    <w:p>
      <w:pPr>
        <w:spacing w:after="160"/>
      </w:pPr>
    </w:p>
    <w:p>
      <w:pPr>
        <w:spacing w:after="160"/>
      </w:pPr>
      <w:r>
        <w:t xml:space="preserve">The untuned XGBoost model with scale_pos_weight achieved the highest ROC-AUC (0.840), very narrowly ahead of the GridSearchCV-tuned version (0.838) — indicating hyperparameter tuning produced essentially no improvement over the original hand-chosen settings for this dataset. Notably, the Logistic Regression baseline, despite the lowest ROC-AUC, achieved the highest recall (0.72) on the Stockout class at the default 0.5 threshold, catching more real stockouts than any tree-based model. This highlights that ROC-AUC alone does not tell the full story for an imbalanced, cost-sensitive problem like this one — the tuned XGBoost model was selected as the final model for its balance of overall discrimination and interpretability via feature importance, but Logistic Regression remains a strong, more transparent alternative if maximizing recall is the priority.</w:t>
      </w:r>
    </w:p>
    <w:p>
      <w:pPr>
        <w:pStyle w:val="Heading2"/>
        <w:spacing w:after="120" w:before="240"/>
      </w:pPr>
      <w:r>
        <w:t xml:space="preserve">5.1 Feature Importance</w:t>
      </w:r>
    </w:p>
    <w:p>
      <w:pPr>
        <w:spacing w:after="160"/>
      </w:pPr>
      <w:r>
        <w:t xml:space="preserve">The top features driving the XGBoost model's predictions, in order of importance, are:</w:t>
      </w:r>
    </w:p>
    <w:p>
      <w:pPr>
        <w:pStyle w:val="ListParagraph"/>
        <w:numPr>
          <w:ilvl w:val="0"/>
          <w:numId w:val="1"/>
        </w:numPr>
        <w:spacing w:after="80"/>
      </w:pPr>
      <w:r>
        <w:t xml:space="preserve">Previous_Month_Stockout — by far the strongest signal: a stockout last month is the single best predictor of a stockout next month.</w:t>
      </w:r>
    </w:p>
    <w:p>
      <w:pPr>
        <w:pStyle w:val="ListParagraph"/>
        <w:numPr>
          <w:ilvl w:val="0"/>
          <w:numId w:val="1"/>
        </w:numPr>
        <w:spacing w:after="80"/>
      </w:pPr>
      <w:r>
        <w:t xml:space="preserve">closeBalance — the current month's closing stock level.</w:t>
      </w:r>
    </w:p>
    <w:p>
      <w:pPr>
        <w:pStyle w:val="ListParagraph"/>
        <w:numPr>
          <w:ilvl w:val="0"/>
          <w:numId w:val="1"/>
        </w:numPr>
        <w:spacing w:after="80"/>
      </w:pPr>
      <w:r>
        <w:t xml:space="preserve">Days_of_Stock_Remaining — the estimated days of stock left based on consumption rate.</w:t>
      </w:r>
    </w:p>
    <w:p>
      <w:pPr>
        <w:pStyle w:val="ListParagraph"/>
        <w:numPr>
          <w:ilvl w:val="0"/>
          <w:numId w:val="1"/>
        </w:numPr>
        <w:spacing w:after="80"/>
      </w:pPr>
      <w:r>
        <w:t xml:space="preserve">received — quantity received during the current month.</w:t>
      </w:r>
    </w:p>
    <w:p>
      <w:pPr>
        <w:pStyle w:val="ListParagraph"/>
        <w:numPr>
          <w:ilvl w:val="0"/>
          <w:numId w:val="1"/>
        </w:numPr>
        <w:spacing w:after="80"/>
      </w:pPr>
      <w:r>
        <w:t xml:space="preserve">Previous_Month_Received and Rolling_3_Month_Consumption — recent receipt and consumption history.</w:t>
      </w:r>
    </w:p>
    <w:p>
      <w:pPr>
        <w:spacing w:after="160"/>
      </w:pPr>
      <w:r>
        <w:t xml:space="preserve">These findings match the Week 1 EDA, which flagged Days_of_Stock_Remaining and prior stockout history as visibly separating the two classes in exploratory boxplots. For Logistic Regression, consumption, Previous_Month_Consumption, and Rolling_3_Month_Consumption had the strongest positive coefficients (higher consumption pushes toward stockout), while received and Previous_Month_OpenBalance had the strongest negative coefficients (more stock on hand or recently received pushes away from stockout) — both directions are consistent with domain intuition.</w:t>
      </w:r>
    </w:p>
    <w:p>
      <w:pPr>
        <w:pStyle w:val="Heading2"/>
        <w:spacing w:after="120" w:before="240"/>
      </w:pPr>
      <w:r>
        <w:t xml:space="preserve">5.2 Threshold Tuning</w:t>
      </w:r>
    </w:p>
    <w:p>
      <w:pPr>
        <w:spacing w:after="160"/>
      </w:pPr>
      <w:r>
        <w:t xml:space="preserve">Because the cost of a missed stockout is higher than the cost of a false alarm, the decision threshold was also examined at values below the default 0.5, trading some precision for higher recall (results for the XGBoost + scale_pos_weight model):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600"/>
        <w:gridCol w:w="2200"/>
      </w:tblGrid>
      <w:tr>
        <w:tc>
          <w:tcPr>
            <w:tcW w:type="dxa" w:w="2800"/>
            <w:shd w:fill="1F4E78" w:val="clear"/>
          </w:tcPr>
          <w:p>
            <w:r>
              <w:rPr>
                <w:b/>
                <w:bCs/>
                <w:color w:val="FFFFFF"/>
              </w:rPr>
              <w:t xml:space="preserve">Threshold</w:t>
            </w:r>
          </w:p>
        </w:tc>
        <w:tc>
          <w:tcPr>
            <w:tcW w:type="dxa" w:w="2800"/>
            <w:shd w:fill="1F4E78" w:val="clear"/>
          </w:tcPr>
          <w:p>
            <w:r>
              <w:rPr>
                <w:b/>
                <w:bCs/>
                <w:color w:val="FFFFFF"/>
              </w:rPr>
              <w:t xml:space="preserve">Precision (Stockout)</w:t>
            </w:r>
          </w:p>
        </w:tc>
        <w:tc>
          <w:tcPr>
            <w:tcW w:type="dxa" w:w="2600"/>
            <w:shd w:fill="1F4E78" w:val="clear"/>
          </w:tcPr>
          <w:p>
            <w:r>
              <w:rPr>
                <w:b/>
                <w:bCs/>
                <w:color w:val="FFFFFF"/>
              </w:rPr>
              <w:t xml:space="preserve">Recall (Stockout)</w:t>
            </w:r>
          </w:p>
        </w:tc>
        <w:tc>
          <w:tcPr>
            <w:tcW w:type="dxa" w:w="2200"/>
            <w:shd w:fill="1F4E78" w:val="clear"/>
          </w:tcPr>
          <w:p>
            <w:r>
              <w:rPr>
                <w:b/>
                <w:bCs/>
                <w:color w:val="FFFFFF"/>
              </w:rPr>
              <w:t xml:space="preserve">F1 (Stockout)</w:t>
            </w:r>
          </w:p>
        </w:tc>
      </w:tr>
      <w:tr>
        <w:tc>
          <w:tcPr>
            <w:tcW w:type="dxa" w:w="2800"/>
          </w:tcPr>
          <w:p>
            <w:r>
              <w:t xml:space="preserve">0.5 (default)</w:t>
            </w:r>
          </w:p>
        </w:tc>
        <w:tc>
          <w:tcPr>
            <w:tcW w:type="dxa" w:w="2800"/>
          </w:tcPr>
          <w:p>
            <w:r>
              <w:t xml:space="preserve">0.44</w:t>
            </w:r>
          </w:p>
        </w:tc>
        <w:tc>
          <w:tcPr>
            <w:tcW w:type="dxa" w:w="2600"/>
          </w:tcPr>
          <w:p>
            <w:r>
              <w:t xml:space="preserve">0.63</w:t>
            </w:r>
          </w:p>
        </w:tc>
        <w:tc>
          <w:tcPr>
            <w:tcW w:type="dxa" w:w="2200"/>
          </w:tcPr>
          <w:p>
            <w:r>
              <w:t xml:space="preserve">0.52</w:t>
            </w:r>
          </w:p>
        </w:tc>
      </w:tr>
      <w:tr>
        <w:tc>
          <w:tcPr>
            <w:tcW w:type="dxa" w:w="2800"/>
          </w:tcPr>
          <w:p>
            <w:r>
              <w:t xml:space="preserve">0.4</w:t>
            </w:r>
          </w:p>
        </w:tc>
        <w:tc>
          <w:tcPr>
            <w:tcW w:type="dxa" w:w="2800"/>
          </w:tcPr>
          <w:p>
            <w:r>
              <w:t xml:space="preserve">0.40</w:t>
            </w:r>
          </w:p>
        </w:tc>
        <w:tc>
          <w:tcPr>
            <w:tcW w:type="dxa" w:w="2600"/>
          </w:tcPr>
          <w:p>
            <w:r>
              <w:t xml:space="preserve">0.73</w:t>
            </w:r>
          </w:p>
        </w:tc>
        <w:tc>
          <w:tcPr>
            <w:tcW w:type="dxa" w:w="2200"/>
          </w:tcPr>
          <w:p>
            <w:r>
              <w:t xml:space="preserve">0.52</w:t>
            </w:r>
          </w:p>
        </w:tc>
      </w:tr>
      <w:tr>
        <w:tc>
          <w:tcPr>
            <w:tcW w:type="dxa" w:w="2800"/>
          </w:tcPr>
          <w:p>
            <w:r>
              <w:t xml:space="preserve">0.3</w:t>
            </w:r>
          </w:p>
        </w:tc>
        <w:tc>
          <w:tcPr>
            <w:tcW w:type="dxa" w:w="2800"/>
          </w:tcPr>
          <w:p>
            <w:r>
              <w:t xml:space="preserve">0.35</w:t>
            </w:r>
          </w:p>
        </w:tc>
        <w:tc>
          <w:tcPr>
            <w:tcW w:type="dxa" w:w="2600"/>
          </w:tcPr>
          <w:p>
            <w:r>
              <w:t xml:space="preserve">0.82</w:t>
            </w:r>
          </w:p>
        </w:tc>
        <w:tc>
          <w:tcPr>
            <w:tcW w:type="dxa" w:w="2200"/>
          </w:tcPr>
          <w:p>
            <w:r>
              <w:t xml:space="preserve">0.49</w:t>
            </w:r>
          </w:p>
        </w:tc>
      </w:tr>
      <w:tr>
        <w:tc>
          <w:tcPr>
            <w:tcW w:type="dxa" w:w="2800"/>
          </w:tcPr>
          <w:p>
            <w:r>
              <w:t xml:space="preserve">0.2</w:t>
            </w:r>
          </w:p>
        </w:tc>
        <w:tc>
          <w:tcPr>
            <w:tcW w:type="dxa" w:w="2800"/>
          </w:tcPr>
          <w:p>
            <w:r>
              <w:t xml:space="preserve">0.32</w:t>
            </w:r>
          </w:p>
        </w:tc>
        <w:tc>
          <w:tcPr>
            <w:tcW w:type="dxa" w:w="2600"/>
          </w:tcPr>
          <w:p>
            <w:r>
              <w:t xml:space="preserve">0.90</w:t>
            </w:r>
          </w:p>
        </w:tc>
        <w:tc>
          <w:tcPr>
            <w:tcW w:type="dxa" w:w="2200"/>
          </w:tcPr>
          <w:p>
            <w:r>
              <w:t xml:space="preserve">0.47</w:t>
            </w:r>
          </w:p>
        </w:tc>
      </w:tr>
    </w:tbl>
    <w:p>
      <w:pPr>
        <w:spacing w:after="160"/>
      </w:pPr>
    </w:p>
    <w:p>
      <w:pPr>
        <w:spacing w:after="160"/>
      </w:pPr>
      <w:r>
        <w:t xml:space="preserve">For a deployment where missing a stockout is significantly more costly than an unnecessary stock check, the team recommends a threshold around 0.3, which catches 82% of real stockouts (up from 63% at the default threshold) while precision remains at a workable 35%.</w:t>
      </w:r>
    </w:p>
    <w:p>
      <w:pPr>
        <w:pStyle w:val="Heading1"/>
        <w:spacing w:after="160" w:before="320"/>
      </w:pPr>
      <w:r>
        <w:t xml:space="preserve">6. Error Analysis</w:t>
      </w:r>
    </w:p>
    <w:p>
      <w:pPr>
        <w:spacing w:after="160"/>
      </w:pPr>
      <w:r>
        <w:t xml:space="preserve">Beyond aggregate metrics, prediction errors from the final tuned XGBoost model were broken down by product and by facility. On the Test set, the model produced 198 true positives, 145 false negatives (missed stockouts), 235 false positives (false alarms), and 1,412 true negatives.</w:t>
      </w:r>
    </w:p>
    <w:p>
      <w:pPr>
        <w:spacing w:after="160"/>
      </w:pPr>
      <w:r>
        <w:t xml:space="preserve">The products with the lowest recall (i.e. where the model missed the most real stockouts) include Paracetamol (Acetaminophen) 250mg Dispersible Tab (35% recall), Salbutamol 100mcg/dose Aerosol Inhaler (36%), and Povidone Iodine 10% Solution (41%). These are products likely to have irregular, demand-driven consumption patterns rather than steady monthly usage, making the lag-based features less reliable for them.</w:t>
      </w:r>
    </w:p>
    <w:p>
      <w:pPr>
        <w:spacing w:after="160"/>
      </w:pPr>
      <w:r>
        <w:t xml:space="preserve">Similarly, a handful of facilities (e.g. facility 10008 at 30% recall and facility 10009 at 39%) are consistently harder to predict than the rest — a useful flag for the team to investigate whether these facilities have incomplete reporting or unusually volatile stock patterns. In contrast, several facilities exceed 60% recall, showing the model performs well where consumption is more regular.</w:t>
      </w:r>
    </w:p>
    <w:p>
      <w:pPr>
        <w:spacing w:after="160"/>
      </w:pPr>
      <w:r>
        <w:t xml:space="preserve">Practically, this means a deployment should not treat the model's performance as uniform: for the identified high-risk, low-recall product-facility combinations, supply chain staff may want to apply additional manual review rather than relying on the model alone.</w:t>
      </w:r>
    </w:p>
    <w:p>
      <w:pPr>
        <w:pStyle w:val="Heading1"/>
        <w:spacing w:after="160" w:before="320"/>
      </w:pPr>
      <w:r>
        <w:t xml:space="preserve">7. Conclusion &amp; Recommendations</w:t>
      </w:r>
    </w:p>
    <w:p>
      <w:pPr>
        <w:spacing w:after="160"/>
      </w:pPr>
      <w:r>
        <w:t xml:space="preserve">The project successfully built a working early-warning system for medicine stockouts, with the best model (XGBoost) achieving a ROC-AUC of 0.840 and, with threshold tuning, catching over 80% of real stockouts a month in advance. This is a strong enough result to pilot the model as a decision-support tool — flagging high-risk product-facility combinations for manual review — rather than as a fully automated system, given the errors identified in Section 6.</w:t>
      </w:r>
    </w:p>
    <w:p>
      <w:pPr>
        <w:pStyle w:val="Heading2"/>
        <w:spacing w:after="120" w:before="240"/>
      </w:pPr>
      <w:r>
        <w:t xml:space="preserve">7.1 Limitations</w:t>
      </w:r>
    </w:p>
    <w:p>
      <w:pPr>
        <w:pStyle w:val="ListParagraph"/>
        <w:numPr>
          <w:ilvl w:val="0"/>
          <w:numId w:val="1"/>
        </w:numPr>
        <w:spacing w:after="80"/>
      </w:pPr>
      <w:r>
        <w:t xml:space="preserve">The model relies heavily on lag features (Previous_Month_Stockout, recent consumption), so newly introduced products or facilities with limited history are harder to predict.</w:t>
      </w:r>
    </w:p>
    <w:p>
      <w:pPr>
        <w:pStyle w:val="ListParagraph"/>
        <w:numPr>
          <w:ilvl w:val="0"/>
          <w:numId w:val="1"/>
        </w:numPr>
        <w:spacing w:after="80"/>
      </w:pPr>
      <w:r>
        <w:t xml:space="preserve">SMOTE-generated synthetic examples may not always correspond to realistic consumption patterns.</w:t>
      </w:r>
    </w:p>
    <w:p>
      <w:pPr>
        <w:pStyle w:val="ListParagraph"/>
        <w:numPr>
          <w:ilvl w:val="0"/>
          <w:numId w:val="1"/>
        </w:numPr>
        <w:spacing w:after="80"/>
      </w:pPr>
      <w:r>
        <w:t xml:space="preserve">Performance is uneven across products and facilities (Section 6); a single global threshold may not be ideal for every case.</w:t>
      </w:r>
    </w:p>
    <w:p>
      <w:pPr>
        <w:pStyle w:val="ListParagraph"/>
        <w:numPr>
          <w:ilvl w:val="0"/>
          <w:numId w:val="1"/>
        </w:numPr>
        <w:spacing w:after="80"/>
      </w:pPr>
      <w:r>
        <w:t xml:space="preserve">Hyperparameter tuning of XGBoost produced negligible improvement, suggesting further gains are more likely to come from better features than from further tuning.</w:t>
      </w:r>
    </w:p>
    <w:p>
      <w:pPr>
        <w:pStyle w:val="Heading2"/>
        <w:spacing w:after="120" w:before="240"/>
      </w:pPr>
      <w:r>
        <w:t xml:space="preserve">7.2 Recommended Next Steps</w:t>
      </w:r>
    </w:p>
    <w:p>
      <w:pPr>
        <w:pStyle w:val="ListParagraph"/>
        <w:numPr>
          <w:ilvl w:val="0"/>
          <w:numId w:val="1"/>
        </w:numPr>
        <w:spacing w:after="80"/>
      </w:pPr>
      <w:r>
        <w:t xml:space="preserve">Try LightGBM as an additional model for comparison.</w:t>
      </w:r>
    </w:p>
    <w:p>
      <w:pPr>
        <w:pStyle w:val="ListParagraph"/>
        <w:numPr>
          <w:ilvl w:val="0"/>
          <w:numId w:val="1"/>
        </w:numPr>
        <w:spacing w:after="80"/>
      </w:pPr>
      <w:r>
        <w:t xml:space="preserve">Consider adding facility and product identity as categorical features (one-hot or target encoding).</w:t>
      </w:r>
    </w:p>
    <w:p>
      <w:pPr>
        <w:pStyle w:val="ListParagraph"/>
        <w:numPr>
          <w:ilvl w:val="0"/>
          <w:numId w:val="1"/>
        </w:numPr>
        <w:spacing w:after="80"/>
      </w:pPr>
      <w:r>
        <w:t xml:space="preserve">Package the selected model behind a simple interface (e.g. a Streamlit demo) for non-technical stakeholders.</w:t>
      </w:r>
    </w:p>
    <w:p>
      <w:pPr>
        <w:pStyle w:val="Heading1"/>
        <w:spacing w:after="160" w:before="320"/>
      </w:pPr>
      <w:r>
        <w:t xml:space="preserve">8. Team Contributions</w:t>
      </w:r>
    </w:p>
    <w:p>
      <w:pPr>
        <w:spacing w:after="160"/>
      </w:pPr>
      <w:r>
        <w:t xml:space="preserve">Individual contributions for all 10 team members across Weeks 1-4 are recorded in the accompanying contribution_log.xlsx workbook.</w:t>
      </w:r>
    </w:p>
    <w:p>
      <w:pPr>
        <w:pStyle w:val="Heading1"/>
        <w:spacing w:after="160" w:before="320"/>
      </w:pPr>
      <w:r>
        <w:t xml:space="preserve">Appendix: Repository &amp; Reproducibility</w:t>
      </w:r>
    </w:p>
    <w:p>
      <w:pPr>
        <w:spacing w:after="160"/>
      </w:pPr>
      <w:r>
        <w:t xml:space="preserve">Full code, the dataset, and setup instructions are available in the project's GitHub repository (see README.md). All notebooks should be run top to bottom, in order, since later cells depend on variables created earlier.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2026-09-13T15:45:29.045Z</dcterms:created>
  <dcterms:modified xsi:type="dcterms:W3CDTF">2026-09-13T15:45:29.053Z</dcterms:modified>
</cp:coreProperties>
</file>

<file path=docProps/custom.xml><?xml version="1.0" encoding="utf-8"?>
<Properties xmlns="http://schemas.openxmlformats.org/officeDocument/2006/custom-properties" xmlns:vt="http://schemas.openxmlformats.org/officeDocument/2006/docPropsVTypes"/>
</file>