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Title"/>
      </w:pPr>
    </w:p>
    <w:p>
      <w:pPr>
        <w:pStyle w:val="Heading1"/>
      </w:pPr>
    </w:p>
    <w:p>
      <w:r>
        <w:t xml:space="preserve"> | </w:t>
      </w:r>
      <w:r>
        <w:t xml:space="preserve"> | </w:t>
      </w:r>
      <w:r>
        <w:t xml:space="preserve"/>
      </w:r>
    </w:p>
    <w:p/>
    <w:p>
      <w:pPr>
        <w:pStyle w:val="Heading2"/>
      </w:pPr>
      <w:r>
        <w:t xml:space="preserve">SUMMARY</w:t>
      </w:r>
    </w:p>
    <w:p>
      <w:r>
        <w:t xml:space="preserve">Resultsdriven AI Engineer and Software Architect who has successfully delivered 15+ autonomous systems that have increased operational efficiency by an average of 40% across enterprise clients. Combining deep expertise in Python and TypeScript with advanced machine learning implementations, I architect scalable AI solutions that bridge the gap between theoretical ML models and productionready systems. Recognized for pioneering humanAI collaborative frameworks that have reduced decisionmaking latency by 60% while maintaining 99.9% system reliability, with particular focus on realtime processing and autonomous agent orchestration in missioncritical environments.</w:t>
      </w:r>
    </w:p>
    <w:p/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2025-08-09T01:18:58.432Z</dcterms:created>
  <dcterms:modified xsi:type="dcterms:W3CDTF">2025-08-09T01:18:58.432Z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