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widowControl/>
        <w:spacing w:after="400" w:before="0" w:line="276" w:lineRule="auto"/>
        <w:jc w:val="center"/>
      </w:pPr>
      <w:r>
        <w:rPr>
          <w:rFonts w:ascii="Calibri" w:hAnsi="Calibri"/>
          <w:b/>
          <w:color w:val="1F4D78"/>
          <w:sz w:val="48"/>
        </w:rPr>
        <w:t>ALLGEMEINES</w:t>
        <w:br/>
        <w:t>KI-IT-SICHERHEITSKONZEPT</w:t>
      </w:r>
    </w:p>
    <w:p>
      <w:pPr>
        <w:widowControl/>
        <w:spacing w:after="520" w:before="0" w:line="276" w:lineRule="auto"/>
        <w:jc w:val="center"/>
      </w:pPr>
      <w:r>
        <w:rPr>
          <w:color w:val="3F4A54"/>
          <w:sz w:val="28"/>
        </w:rPr>
        <w:t>Audit- und zertifizierungsvorbereitende Referenz für vollständig lokale KI-Infrastrukturen</w:t>
      </w:r>
    </w:p>
    <w:p>
      <w:pPr>
        <w:pStyle w:val="Dokumentstatus"/>
      </w:pPr>
      <w:r>
        <w:t>ÖFFENTLICH – organisationsneutrale Referenzvorlage</w:t>
      </w:r>
    </w:p>
    <w:p>
      <w:pPr>
        <w:widowControl/>
        <w:spacing w:after="360" w:before="0" w:line="276" w:lineRule="auto"/>
        <w:jc w:val="center"/>
      </w:pPr>
      <w:r>
        <w:t>Version 0.1.0 · Fachlicher Stichtag 02.09.2026</w:t>
      </w:r>
    </w:p>
    <w:p>
      <w:pPr>
        <w:jc w:val="center"/>
      </w:pPr>
      <w:r>
        <w:rPr>
          <w:i/>
          <w:color w:val="3F4A54"/>
        </w:rPr>
        <w:t>Keine amtliche Veröffentlichung · keine Systemfreigabe · kein Zertifikat</w:t>
      </w:r>
    </w:p>
    <w:p>
      <w:r>
        <w:br w:type="page"/>
      </w:r>
    </w:p>
    <w:p>
      <w:pPr>
        <w:pStyle w:val="Heading1"/>
        <w:keepNext/>
      </w:pPr>
      <w:r>
        <w:t>Dokumentenlenkung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Merkmal</w:t>
            </w:r>
          </w:p>
        </w:tc>
        <w:tc>
          <w:tcPr>
            <w:tcW w:type="dxa" w:w="6422"/>
            <w:tcMar>
              <w:top w:w="120" w:type="dxa"/>
              <w:bottom w:w="120" w:type="dxa"/>
              <w:start w:w="150" w:type="dxa"/>
              <w:end w:w="150" w:type="dxa"/>
            </w:tcMar>
            <w:vAlign w:val="center"/>
            <w:shd w:fill="E8EEF5"/>
          </w:tcPr>
          <w:p>
            <w:pPr>
              <w:pStyle w:val="Tabellenkopf"/>
              <w:jc w:val="center"/>
            </w:pPr>
            <w:r>
              <w:t>Festlegung</w:t>
            </w:r>
          </w:p>
        </w:tc>
      </w:tr>
      <w:tr>
        <w:trPr>
          <w:cantSplit/>
        </w:trPr>
        <w:tc>
          <w:tcPr>
            <w:tcW w:type="dxa" w:w="2500"/>
            <w:tcMar>
              <w:top w:w="120" w:type="dxa"/>
              <w:bottom w:w="120" w:type="dxa"/>
              <w:start w:w="150" w:type="dxa"/>
              <w:end w:w="150" w:type="dxa"/>
            </w:tcMar>
            <w:vAlign w:val="center"/>
          </w:tcPr>
          <w:p>
            <w:pPr>
              <w:pStyle w:val="Tabellentext"/>
              <w:jc w:val="left"/>
            </w:pPr>
            <w:r>
              <w:t>Dokumenttitel</w:t>
            </w:r>
          </w:p>
        </w:tc>
        <w:tc>
          <w:tcPr>
            <w:tcW w:type="dxa" w:w="6422"/>
            <w:tcMar>
              <w:top w:w="120" w:type="dxa"/>
              <w:bottom w:w="120" w:type="dxa"/>
              <w:start w:w="150" w:type="dxa"/>
              <w:end w:w="150" w:type="dxa"/>
            </w:tcMar>
            <w:vAlign w:val="center"/>
          </w:tcPr>
          <w:p>
            <w:pPr>
              <w:pStyle w:val="Tabellentext"/>
              <w:jc w:val="left"/>
            </w:pPr>
            <w:r>
              <w:t>Allgemeines KI-IT-Sicherheitskonzept</w:t>
            </w:r>
          </w:p>
        </w:tc>
      </w:tr>
      <w:tr>
        <w:trPr>
          <w:cantSplit/>
        </w:trPr>
        <w:tc>
          <w:tcPr>
            <w:tcW w:type="dxa" w:w="2500"/>
            <w:tcMar>
              <w:top w:w="120" w:type="dxa"/>
              <w:bottom w:w="120" w:type="dxa"/>
              <w:start w:w="150" w:type="dxa"/>
              <w:end w:w="150" w:type="dxa"/>
            </w:tcMar>
            <w:vAlign w:val="center"/>
          </w:tcPr>
          <w:p>
            <w:pPr>
              <w:pStyle w:val="Tabellentext"/>
              <w:jc w:val="left"/>
            </w:pPr>
            <w:r>
              <w:t>Dokumentstatus</w:t>
            </w:r>
          </w:p>
        </w:tc>
        <w:tc>
          <w:tcPr>
            <w:tcW w:type="dxa" w:w="6422"/>
            <w:tcMar>
              <w:top w:w="120" w:type="dxa"/>
              <w:bottom w:w="120" w:type="dxa"/>
              <w:start w:w="150" w:type="dxa"/>
              <w:end w:w="150" w:type="dxa"/>
            </w:tcMar>
            <w:vAlign w:val="center"/>
          </w:tcPr>
          <w:p>
            <w:pPr>
              <w:pStyle w:val="Tabellentext"/>
              <w:jc w:val="left"/>
            </w:pPr>
            <w:r>
              <w:t>ÖFFENTLICH – organisationsneutrale Referenzvorlage</w:t>
            </w:r>
          </w:p>
        </w:tc>
      </w:tr>
      <w:tr>
        <w:trPr>
          <w:cantSplit/>
        </w:trPr>
        <w:tc>
          <w:tcPr>
            <w:tcW w:type="dxa" w:w="2500"/>
            <w:tcMar>
              <w:top w:w="120" w:type="dxa"/>
              <w:bottom w:w="120" w:type="dxa"/>
              <w:start w:w="150" w:type="dxa"/>
              <w:end w:w="150" w:type="dxa"/>
            </w:tcMar>
            <w:vAlign w:val="center"/>
          </w:tcPr>
          <w:p>
            <w:pPr>
              <w:pStyle w:val="Tabellentext"/>
              <w:jc w:val="left"/>
            </w:pPr>
            <w:r>
              <w:t>Version</w:t>
            </w:r>
          </w:p>
        </w:tc>
        <w:tc>
          <w:tcPr>
            <w:tcW w:type="dxa" w:w="6422"/>
            <w:tcMar>
              <w:top w:w="120" w:type="dxa"/>
              <w:bottom w:w="120" w:type="dxa"/>
              <w:start w:w="150" w:type="dxa"/>
              <w:end w:w="150" w:type="dxa"/>
            </w:tcMar>
            <w:vAlign w:val="center"/>
          </w:tcPr>
          <w:p>
            <w:pPr>
              <w:pStyle w:val="Tabellentext"/>
              <w:jc w:val="left"/>
            </w:pPr>
            <w:r>
              <w:t>0.1.0</w:t>
            </w:r>
          </w:p>
        </w:tc>
      </w:tr>
      <w:tr>
        <w:trPr>
          <w:cantSplit/>
        </w:trPr>
        <w:tc>
          <w:tcPr>
            <w:tcW w:type="dxa" w:w="2500"/>
            <w:tcMar>
              <w:top w:w="120" w:type="dxa"/>
              <w:bottom w:w="120" w:type="dxa"/>
              <w:start w:w="150" w:type="dxa"/>
              <w:end w:w="150" w:type="dxa"/>
            </w:tcMar>
            <w:vAlign w:val="center"/>
          </w:tcPr>
          <w:p>
            <w:pPr>
              <w:pStyle w:val="Tabellentext"/>
              <w:jc w:val="left"/>
            </w:pPr>
            <w:r>
              <w:t>Fachlicher Stichtag</w:t>
            </w:r>
          </w:p>
        </w:tc>
        <w:tc>
          <w:tcPr>
            <w:tcW w:type="dxa" w:w="6422"/>
            <w:tcMar>
              <w:top w:w="120" w:type="dxa"/>
              <w:bottom w:w="120" w:type="dxa"/>
              <w:start w:w="150" w:type="dxa"/>
              <w:end w:w="150" w:type="dxa"/>
            </w:tcMar>
            <w:vAlign w:val="center"/>
          </w:tcPr>
          <w:p>
            <w:pPr>
              <w:pStyle w:val="Tabellentext"/>
              <w:jc w:val="left"/>
            </w:pPr>
            <w:r>
              <w:t>02.09.2026</w:t>
            </w:r>
          </w:p>
        </w:tc>
      </w:tr>
      <w:tr>
        <w:trPr>
          <w:cantSplit/>
        </w:trPr>
        <w:tc>
          <w:tcPr>
            <w:tcW w:type="dxa" w:w="2500"/>
            <w:tcMar>
              <w:top w:w="120" w:type="dxa"/>
              <w:bottom w:w="120" w:type="dxa"/>
              <w:start w:w="150" w:type="dxa"/>
              <w:end w:w="150" w:type="dxa"/>
            </w:tcMar>
            <w:vAlign w:val="center"/>
          </w:tcPr>
          <w:p>
            <w:pPr>
              <w:pStyle w:val="Tabellentext"/>
              <w:jc w:val="left"/>
            </w:pPr>
            <w:r>
              <w:t>Normative Quelle</w:t>
            </w:r>
          </w:p>
        </w:tc>
        <w:tc>
          <w:tcPr>
            <w:tcW w:type="dxa" w:w="6422"/>
            <w:tcMar>
              <w:top w:w="120" w:type="dxa"/>
              <w:bottom w:w="120" w:type="dxa"/>
              <w:start w:w="150" w:type="dxa"/>
              <w:end w:w="150" w:type="dxa"/>
            </w:tcMar>
            <w:vAlign w:val="center"/>
          </w:tcPr>
          <w:p>
            <w:pPr>
              <w:pStyle w:val="Tabellentext"/>
              <w:jc w:val="left"/>
            </w:pPr>
            <w:r>
              <w:t>katalog/ki-it-sicherheitskatalog.oscal.json</w:t>
            </w:r>
          </w:p>
        </w:tc>
      </w:tr>
      <w:tr>
        <w:trPr>
          <w:cantSplit/>
        </w:trPr>
        <w:tc>
          <w:tcPr>
            <w:tcW w:type="dxa" w:w="2500"/>
            <w:tcMar>
              <w:top w:w="120" w:type="dxa"/>
              <w:bottom w:w="120" w:type="dxa"/>
              <w:start w:w="150" w:type="dxa"/>
              <w:end w:w="150" w:type="dxa"/>
            </w:tcMar>
            <w:vAlign w:val="center"/>
          </w:tcPr>
          <w:p>
            <w:pPr>
              <w:pStyle w:val="Tabellentext"/>
              <w:jc w:val="left"/>
            </w:pPr>
            <w:r>
              <w:t>OSCAL-Fassung</w:t>
            </w:r>
          </w:p>
        </w:tc>
        <w:tc>
          <w:tcPr>
            <w:tcW w:type="dxa" w:w="6422"/>
            <w:tcMar>
              <w:top w:w="120" w:type="dxa"/>
              <w:bottom w:w="120" w:type="dxa"/>
              <w:start w:w="150" w:type="dxa"/>
              <w:end w:w="150" w:type="dxa"/>
            </w:tcMar>
            <w:vAlign w:val="center"/>
          </w:tcPr>
          <w:p>
            <w:pPr>
              <w:pStyle w:val="Tabellentext"/>
              <w:jc w:val="left"/>
            </w:pPr>
            <w:r>
              <w:t>1.1.3</w:t>
            </w:r>
          </w:p>
        </w:tc>
      </w:tr>
      <w:tr>
        <w:trPr>
          <w:cantSplit/>
        </w:trPr>
        <w:tc>
          <w:tcPr>
            <w:tcW w:type="dxa" w:w="2500"/>
            <w:tcMar>
              <w:top w:w="120" w:type="dxa"/>
              <w:bottom w:w="120" w:type="dxa"/>
              <w:start w:w="150" w:type="dxa"/>
              <w:end w:w="150" w:type="dxa"/>
            </w:tcMar>
            <w:vAlign w:val="center"/>
          </w:tcPr>
          <w:p>
            <w:pPr>
              <w:pStyle w:val="Tabellentext"/>
              <w:jc w:val="left"/>
            </w:pPr>
            <w:r>
              <w:t>Betriebsmodell</w:t>
            </w:r>
          </w:p>
        </w:tc>
        <w:tc>
          <w:tcPr>
            <w:tcW w:type="dxa" w:w="6422"/>
            <w:tcMar>
              <w:top w:w="120" w:type="dxa"/>
              <w:bottom w:w="120" w:type="dxa"/>
              <w:start w:w="150" w:type="dxa"/>
              <w:end w:w="150" w:type="dxa"/>
            </w:tcMar>
            <w:vAlign w:val="center"/>
          </w:tcPr>
          <w:p>
            <w:pPr>
              <w:pStyle w:val="Tabellentext"/>
              <w:jc w:val="left"/>
            </w:pPr>
            <w:r>
              <w:t>vollständig lokal; externe Inferenz nicht anwendbar</w:t>
            </w:r>
          </w:p>
        </w:tc>
      </w:tr>
      <w:tr>
        <w:trPr>
          <w:cantSplit/>
        </w:trPr>
        <w:tc>
          <w:tcPr>
            <w:tcW w:type="dxa" w:w="2500"/>
            <w:tcMar>
              <w:top w:w="120" w:type="dxa"/>
              <w:bottom w:w="120" w:type="dxa"/>
              <w:start w:w="150" w:type="dxa"/>
              <w:end w:w="150" w:type="dxa"/>
            </w:tcMar>
            <w:vAlign w:val="center"/>
          </w:tcPr>
          <w:p>
            <w:pPr>
              <w:pStyle w:val="Tabellentext"/>
              <w:jc w:val="left"/>
            </w:pPr>
            <w:r>
              <w:t>Modelländerung</w:t>
            </w:r>
          </w:p>
        </w:tc>
        <w:tc>
          <w:tcPr>
            <w:tcW w:type="dxa" w:w="6422"/>
            <w:tcMar>
              <w:top w:w="120" w:type="dxa"/>
              <w:bottom w:w="120" w:type="dxa"/>
              <w:start w:w="150" w:type="dxa"/>
              <w:end w:w="150" w:type="dxa"/>
            </w:tcMar>
            <w:vAlign w:val="center"/>
          </w:tcPr>
          <w:p>
            <w:pPr>
              <w:pStyle w:val="Tabellentext"/>
              <w:jc w:val="left"/>
            </w:pPr>
            <w:r>
              <w:t>Training und Feinabstimmung ausgeschlossen</w:t>
            </w:r>
          </w:p>
        </w:tc>
      </w:tr>
      <w:tr>
        <w:trPr>
          <w:cantSplit/>
        </w:trPr>
        <w:tc>
          <w:tcPr>
            <w:tcW w:type="dxa" w:w="2500"/>
            <w:tcMar>
              <w:top w:w="120" w:type="dxa"/>
              <w:bottom w:w="120" w:type="dxa"/>
              <w:start w:w="150" w:type="dxa"/>
              <w:end w:w="150" w:type="dxa"/>
            </w:tcMar>
            <w:vAlign w:val="center"/>
          </w:tcPr>
          <w:p>
            <w:pPr>
              <w:pStyle w:val="Tabellentext"/>
              <w:jc w:val="left"/>
            </w:pPr>
            <w:r>
              <w:t>Herausgeberschaft</w:t>
            </w:r>
          </w:p>
        </w:tc>
        <w:tc>
          <w:tcPr>
            <w:tcW w:type="dxa" w:w="6422"/>
            <w:tcMar>
              <w:top w:w="120" w:type="dxa"/>
              <w:bottom w:w="120" w:type="dxa"/>
              <w:start w:w="150" w:type="dxa"/>
              <w:end w:w="150" w:type="dxa"/>
            </w:tcMar>
            <w:vAlign w:val="center"/>
          </w:tcPr>
          <w:p>
            <w:pPr>
              <w:pStyle w:val="Tabellentext"/>
              <w:jc w:val="left"/>
            </w:pPr>
            <w:r>
              <w:t>Organisationsneutrales Referenzprojekt; keine amtliche Herausgeberschaft</w:t>
            </w:r>
          </w:p>
        </w:tc>
      </w:tr>
    </w:tbl>
    <w:p>
      <w:pPr>
        <w:widowControl/>
        <w:spacing w:after="160" w:before="160" w:line="276" w:lineRule="auto"/>
      </w:pPr>
      <w:r>
        <w:t>Freigabehinweis: Diese Fassung enthält ausschließlich öffentliche, organisationsneutrale Informationen. Eine private Repository-Sichtbarkeit ist keine Freigabe für organisationsspezifische, vertrauliche oder eingestufte Inhalte.</w:t>
      </w:r>
    </w:p>
    <w:p>
      <w:r>
        <w:br w:type="page"/>
      </w:r>
    </w:p>
    <w:p>
      <w:pPr>
        <w:pStyle w:val="Heading1"/>
        <w:keepNext/>
      </w:pPr>
      <w:r>
        <w:t>Inhaltsverzeichnis</w:t>
      </w:r>
    </w:p>
    <w:p>
      <w:pPr>
        <w:spacing w:after="80"/>
        <w:ind w:left="283"/>
      </w:pPr>
      <w:r>
        <w:t>1 Dokumentenlenkung und Status ÖFFENTLICH</w:t>
      </w:r>
    </w:p>
    <w:p>
      <w:pPr>
        <w:spacing w:after="80"/>
        <w:ind w:left="283"/>
      </w:pPr>
      <w:r>
        <w:t>2 Zweck, Zielgruppe und Abgrenzung</w:t>
      </w:r>
    </w:p>
    <w:p>
      <w:pPr>
        <w:spacing w:after="80"/>
        <w:ind w:left="283"/>
      </w:pPr>
      <w:r>
        <w:t>3 Voraussetzungen des allgemeinen IT-Sicherheitskonzepts</w:t>
      </w:r>
    </w:p>
    <w:p>
      <w:pPr>
        <w:spacing w:after="80"/>
        <w:ind w:left="283"/>
      </w:pPr>
      <w:r>
        <w:t>4 Lokale KI-Referenzarchitektur</w:t>
      </w:r>
    </w:p>
    <w:p>
      <w:pPr>
        <w:spacing w:after="80"/>
        <w:ind w:left="283"/>
      </w:pPr>
      <w:r>
        <w:t>5 Systemgrenzen, Vertrauenszonen und Datenflüsse</w:t>
      </w:r>
    </w:p>
    <w:p>
      <w:pPr>
        <w:spacing w:after="80"/>
        <w:ind w:left="283"/>
      </w:pPr>
      <w:r>
        <w:t>6 Rechts-, Normen- und Anwendbarkeitsmatrix</w:t>
      </w:r>
    </w:p>
    <w:p>
      <w:pPr>
        <w:spacing w:after="80"/>
        <w:ind w:left="283"/>
      </w:pPr>
      <w:r>
        <w:t>7 Governance, Rollen und Verantwortlichkeiten</w:t>
      </w:r>
    </w:p>
    <w:p>
      <w:pPr>
        <w:spacing w:after="80"/>
        <w:ind w:left="283"/>
      </w:pPr>
      <w:r>
        <w:t>8 KI-Risiko- und Bedrohungsmodell</w:t>
      </w:r>
    </w:p>
    <w:p>
      <w:pPr>
        <w:spacing w:after="80"/>
        <w:ind w:left="283"/>
      </w:pPr>
      <w:r>
        <w:t>9 Sicherheitsmaßnahmen entsprechend dem OSCAL-Katalog</w:t>
      </w:r>
    </w:p>
    <w:p>
      <w:pPr>
        <w:spacing w:after="80"/>
        <w:ind w:left="283"/>
      </w:pPr>
      <w:r>
        <w:t>10 RAG-, Upload- und Datenkonzept</w:t>
      </w:r>
    </w:p>
    <w:p>
      <w:pPr>
        <w:spacing w:after="80"/>
        <w:ind w:left="283"/>
      </w:pPr>
      <w:r>
        <w:t>11 Agentische Anwendungen und lokale Entwicklungsumgebungen</w:t>
      </w:r>
    </w:p>
    <w:p>
      <w:pPr>
        <w:spacing w:after="80"/>
        <w:ind w:left="283"/>
      </w:pPr>
      <w:r>
        <w:t>12 Betrieb, Änderung, Modellwechsel, Vorfälle und Außerbetriebnahme</w:t>
      </w:r>
    </w:p>
    <w:p>
      <w:pPr>
        <w:spacing w:after="80"/>
        <w:ind w:left="283"/>
      </w:pPr>
      <w:r>
        <w:t>13 Nachweis-, Prüf- und Mappingübersicht</w:t>
      </w:r>
    </w:p>
    <w:p>
      <w:pPr>
        <w:spacing w:after="80"/>
        <w:ind w:left="283"/>
      </w:pPr>
      <w:r>
        <w:t>14 Verfahren zur organisationsspezifischen Übernahme</w:t>
      </w:r>
    </w:p>
    <w:p>
      <w:pPr>
        <w:spacing w:after="80"/>
        <w:ind w:left="283"/>
      </w:pPr>
      <w:r>
        <w:t>15 Quellenverzeichnis, Glossar und Abkürzungen</w:t>
      </w:r>
    </w:p>
    <w:p>
      <w:pPr>
        <w:pStyle w:val="Heading1"/>
        <w:keepNext/>
      </w:pPr>
      <w:r>
        <w:t>1 Dokumentenlenkung und Status ÖFFENTLICH</w:t>
      </w:r>
    </w:p>
    <w:p>
      <w:pPr>
        <w:widowControl/>
        <w:spacing w:after="120" w:before="0" w:line="276" w:lineRule="auto"/>
      </w:pPr>
      <w:r>
        <w:t>Dieses Dokument trägt den Status ÖFFENTLICH – organisationsneutrale Referenzvorlage. Es ist eine organisationsneutrale Referenz und keine amtliche Veröffentlichung einer genannten Behörde. Version 0.1.0 bildet denselben Kontrollbestand wie der zugehörige OSCAL-Katalog ab.</w:t>
      </w:r>
    </w:p>
    <w:p>
      <w:pPr>
        <w:widowControl/>
        <w:spacing w:after="120" w:before="0" w:line="276" w:lineRule="auto"/>
      </w:pPr>
      <w:r>
        <w:t>Sobald reale Organisations-, Infrastruktur-, Schutzbedarfs-, Konto- oder Schwachstelleninformationen ergänzt werden, endet der öffentliche Status. Die Anpassung erfolgt nur in einer getrennten Offline-Fassung; Einstufung und Freigabe bleiben befugten Stellen der übernehmenden Organisation vorbehalten.</w:t>
      </w:r>
    </w:p>
    <w:p>
      <w:pPr>
        <w:pStyle w:val="ListBullet"/>
        <w:widowControl/>
        <w:spacing w:after="100" w:line="276" w:lineRule="auto"/>
        <w:ind w:left="720" w:hanging="360"/>
      </w:pPr>
      <w:r>
        <w:t>Redaktionelles Master: DOCX; die PDF-Lesefassung wird ausschließlich daraus erzeugt.</w:t>
      </w:r>
    </w:p>
    <w:p>
      <w:pPr>
        <w:pStyle w:val="ListBullet"/>
        <w:widowControl/>
        <w:spacing w:after="100" w:line="276" w:lineRule="auto"/>
        <w:ind w:left="720" w:hanging="360"/>
      </w:pPr>
      <w:r>
        <w:t>Normative Anforderungen: OSCAL-Katalog; dieses Dokument erläutert Anwendung und Zusammenwirken.</w:t>
      </w:r>
    </w:p>
    <w:p>
      <w:pPr>
        <w:pStyle w:val="ListBullet"/>
        <w:widowControl/>
        <w:spacing w:after="100" w:line="276" w:lineRule="auto"/>
        <w:ind w:left="720" w:hanging="360"/>
      </w:pPr>
      <w:r>
        <w:t>Änderungslenkung: gemeinsame Versionierung von Katalog, DOCX und PDF sowie vollständige Quellen- und Prüfspur.</w:t>
      </w:r>
    </w:p>
    <w:p>
      <w:pPr>
        <w:pStyle w:val="ListBullet"/>
        <w:widowControl/>
        <w:spacing w:after="100" w:line="276" w:lineRule="auto"/>
        <w:ind w:left="720" w:hanging="360"/>
      </w:pPr>
      <w:r>
        <w:t>Konformitätsgrenze: keine automatische ISO-, BSI-, EU-AI-Act-, VS- oder Systemkonformität und kein Zertifikat.</w:t>
      </w:r>
    </w:p>
    <w:p>
      <w:pPr>
        <w:pStyle w:val="Heading1"/>
        <w:keepNext/>
      </w:pPr>
      <w:r>
        <w:t>2 Zweck, Zielgruppe und Abgrenzung</w:t>
      </w:r>
    </w:p>
    <w:p>
      <w:pPr>
        <w:widowControl/>
        <w:spacing w:after="120" w:before="0" w:line="276" w:lineRule="auto"/>
      </w:pPr>
      <w:r>
        <w:t>Zweck ist eine prüfbare Referenz für Planung, Freigabe, Betrieb, Änderung und Außerbetriebnahme lokaler generativer KI-Dienste. Adressiert werden Leitung, Informationssicherheit, Datenschutz, Recht, Geheimschutz, Personalvertretung, Fachverantwortung, Architektur, Plattform-, Netz-, Identitäts-, RAG-, Modell-, Test- und Betriebsrollen.</w:t>
      </w:r>
    </w:p>
    <w:p>
      <w:pPr>
        <w:widowControl/>
        <w:spacing w:after="120" w:before="0" w:line="276" w:lineRule="auto"/>
      </w:pPr>
      <w:r>
        <w:t>Nicht Gegenstand sind eine produktive Plattform, Beschaffungsempfehlungen, Training, Feinabstimmung, kontinuierliches Lernen oder die pauschale Freigabe eines konkreten Anwendungsfalls. Domänenwissen wird über lokale RAG-Bestände oder kontrollierte lokale On-Demand-Uploads bereitgestellt.</w:t>
      </w:r>
    </w:p>
    <w:p>
      <w:pPr>
        <w:pStyle w:val="Heading1"/>
        <w:keepNext/>
      </w:pPr>
      <w:r>
        <w:t>3 Voraussetzungen des allgemeinen IT-Sicherheitskonzepts</w:t>
      </w:r>
    </w:p>
    <w:p>
      <w:pPr>
        <w:widowControl/>
        <w:spacing w:after="120" w:before="0" w:line="276" w:lineRule="auto"/>
      </w:pPr>
      <w:r>
        <w:t>Die Referenz setzt ein wirksames allgemeines IT-Sicherheitskonzept voraus. Die folgenden Fähigkeiten werden nicht vollständig erneut spezifiziert, sondern nur dort verschärft, wo KI-spezifische Daten-, Modell-, Prompt-, RAG- oder Toolrisiken dies verlangen:</w:t>
      </w:r>
    </w:p>
    <w:p>
      <w:pPr>
        <w:pStyle w:val="ListBullet"/>
        <w:widowControl/>
        <w:spacing w:after="100" w:line="276" w:lineRule="auto"/>
        <w:ind w:left="720" w:hanging="360"/>
      </w:pPr>
      <w:r>
        <w:t>Verwaltete Clients und Server, sichere Domäne, lokaler Identitätsprovider, Rollen und MFA.</w:t>
      </w:r>
    </w:p>
    <w:p>
      <w:pPr>
        <w:pStyle w:val="ListBullet"/>
        <w:widowControl/>
        <w:spacing w:after="100" w:line="276" w:lineRule="auto"/>
        <w:ind w:left="720" w:hanging="360"/>
      </w:pPr>
      <w:r>
        <w:t>Interne PKI, vertrauenswürdige Zertifikate, Segmentierung, Firewalls und abgesicherter Fernzugriff.</w:t>
      </w:r>
    </w:p>
    <w:p>
      <w:pPr>
        <w:pStyle w:val="ListBullet"/>
        <w:widowControl/>
        <w:spacing w:after="100" w:line="276" w:lineRule="auto"/>
        <w:ind w:left="720" w:hanging="360"/>
      </w:pPr>
      <w:r>
        <w:t>Patch-, Schwachstellen-, Konfigurations- und sichere Softwareverteilung.</w:t>
      </w:r>
    </w:p>
    <w:p>
      <w:pPr>
        <w:pStyle w:val="ListBullet"/>
        <w:widowControl/>
        <w:spacing w:after="100" w:line="276" w:lineRule="auto"/>
        <w:ind w:left="720" w:hanging="360"/>
      </w:pPr>
      <w:r>
        <w:t>Lokale Protokollierung, Überwachung, Backup, Wiederherstellung, Notfallmanagement und Schadsoftwareschutz.</w:t>
      </w:r>
    </w:p>
    <w:p>
      <w:pPr>
        <w:widowControl/>
        <w:spacing w:after="120" w:before="0" w:line="276" w:lineRule="auto"/>
      </w:pPr>
      <w:r>
        <w:t>KI-GEL-001 verlangt für jede Übernahme den expliziten Bezug auf diese Basis. Fehlende Basismaßnahmen werden nicht durch den KI-Katalog geheilt und müssen im allgemeinen Sicherheitsprozess behandelt werden.</w:t>
      </w:r>
    </w:p>
    <w:p>
      <w:pPr>
        <w:pStyle w:val="Heading1"/>
        <w:keepNext/>
      </w:pPr>
      <w:r>
        <w:t>4 Lokale KI-Referenzarchitektur</w:t>
      </w:r>
    </w:p>
    <w:p>
      <w:pPr>
        <w:widowControl/>
        <w:spacing w:after="120" w:before="0" w:line="276" w:lineRule="auto"/>
      </w:pPr>
      <w:r>
        <w:t>Die Standardarchitektur ist vollständig lokal. Verwaltete Clients erreichen über HTTPS ausschließlich einen kontrollierten internen KI-Zugang. Dahinter liegt eine getrennte KI-Serverzone mit lokaler Containerplattform, Chat-Oberfläche, Inferenz, RAG, Embeddings, Reranking, Vektor- beziehungsweise Datenbank und technischer Überwachung. Fernzugriff erfolgt nur über ein organisationskontrolliertes VPN mit MFA.</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676"/>
        <w:gridCol w:w="2973"/>
        <w:gridCol w:w="3273"/>
      </w:tblGrid>
      <w:tr>
        <w:trPr>
          <w:cantSplit/>
          <w:tblHeader w:val="1"/>
        </w:trPr>
        <w:tc>
          <w:tcPr>
            <w:tcW w:type="dxa" w:w="2676"/>
            <w:shd w:fill="E8EEF5"/>
            <w:tcMar>
              <w:top w:w="120" w:type="dxa"/>
              <w:bottom w:w="120" w:type="dxa"/>
              <w:start w:w="150" w:type="dxa"/>
              <w:end w:w="150" w:type="dxa"/>
            </w:tcMar>
            <w:vAlign w:val="center"/>
          </w:tcPr>
          <w:p>
            <w:pPr>
              <w:pStyle w:val="Tabellenkopf"/>
              <w:jc w:val="center"/>
            </w:pPr>
            <w:r>
              <w:rPr>
                <w:b/>
              </w:rPr>
              <w:t>Clientzone  →</w:t>
            </w:r>
          </w:p>
        </w:tc>
        <w:tc>
          <w:tcPr>
            <w:tcW w:type="dxa" w:w="2973"/>
            <w:shd w:fill="E8EEF5"/>
            <w:tcMar>
              <w:top w:w="120" w:type="dxa"/>
              <w:bottom w:w="120" w:type="dxa"/>
              <w:start w:w="150" w:type="dxa"/>
              <w:end w:w="150" w:type="dxa"/>
            </w:tcMar>
            <w:vAlign w:val="center"/>
          </w:tcPr>
          <w:p>
            <w:pPr>
              <w:pStyle w:val="Tabellenkopf"/>
              <w:jc w:val="center"/>
            </w:pPr>
            <w:r>
              <w:rPr>
                <w:b/>
              </w:rPr>
              <w:t>Kontrollierter KI-Zugang  →</w:t>
            </w:r>
          </w:p>
        </w:tc>
        <w:tc>
          <w:tcPr>
            <w:tcW w:type="dxa" w:w="3273"/>
            <w:shd w:fill="E8EEF5"/>
            <w:tcMar>
              <w:top w:w="120" w:type="dxa"/>
              <w:bottom w:w="120" w:type="dxa"/>
              <w:start w:w="150" w:type="dxa"/>
              <w:end w:w="150" w:type="dxa"/>
            </w:tcMar>
            <w:vAlign w:val="center"/>
          </w:tcPr>
          <w:p>
            <w:pPr>
              <w:pStyle w:val="Tabellenkopf"/>
              <w:jc w:val="center"/>
            </w:pPr>
            <w:r>
              <w:rPr>
                <w:b/>
              </w:rPr>
              <w:t>KI-Serverzone</w:t>
            </w:r>
          </w:p>
        </w:tc>
      </w:tr>
      <w:tr>
        <w:trPr>
          <w:cantSplit/>
        </w:trPr>
        <w:tc>
          <w:tcPr>
            <w:tcW w:type="dxa" w:w="2676"/>
            <w:tcMar>
              <w:top w:w="120" w:type="dxa"/>
              <w:bottom w:w="120" w:type="dxa"/>
              <w:start w:w="150" w:type="dxa"/>
              <w:end w:w="150" w:type="dxa"/>
            </w:tcMar>
            <w:vAlign w:val="center"/>
          </w:tcPr>
          <w:p>
            <w:pPr>
              <w:pStyle w:val="Tabellentext"/>
              <w:jc w:val="center"/>
            </w:pPr>
            <w:r>
              <w:t>Browser · agentische Clients · lokales Git</w:t>
              <w:br/>
              <w:t>Ausgehend ausschließlich HTTPS</w:t>
            </w:r>
          </w:p>
        </w:tc>
        <w:tc>
          <w:tcPr>
            <w:tcW w:type="dxa" w:w="2973"/>
            <w:tcMar>
              <w:top w:w="120" w:type="dxa"/>
              <w:bottom w:w="120" w:type="dxa"/>
              <w:start w:w="150" w:type="dxa"/>
              <w:end w:w="150" w:type="dxa"/>
            </w:tcMar>
            <w:vAlign w:val="center"/>
          </w:tcPr>
          <w:p>
            <w:pPr>
              <w:pStyle w:val="Tabellentext"/>
              <w:jc w:val="center"/>
            </w:pPr>
            <w:r>
              <w:t>IdP · Rollen · TLS</w:t>
              <w:br/>
              <w:t>Modell- und Toolfreigabe</w:t>
              <w:br/>
              <w:t>Protokollierung · Begrenzung</w:t>
            </w:r>
          </w:p>
        </w:tc>
        <w:tc>
          <w:tcPr>
            <w:tcW w:type="dxa" w:w="3273"/>
            <w:tcMar>
              <w:top w:w="120" w:type="dxa"/>
              <w:bottom w:w="120" w:type="dxa"/>
              <w:start w:w="150" w:type="dxa"/>
              <w:end w:w="150" w:type="dxa"/>
            </w:tcMar>
            <w:vAlign w:val="center"/>
          </w:tcPr>
          <w:p>
            <w:pPr>
              <w:pStyle w:val="Tabellentext"/>
              <w:jc w:val="center"/>
            </w:pPr>
            <w:r>
              <w:t>Chat · Inferenz · RAG</w:t>
              <w:br/>
              <w:t>Embeddings · Datenbank</w:t>
              <w:br/>
              <w:t>Monitoring · kein Egress</w:t>
            </w:r>
          </w:p>
        </w:tc>
      </w:tr>
    </w:tbl>
    <w:p>
      <w:pPr>
        <w:pStyle w:val="Tabellenbeschriftung"/>
      </w:pPr>
      <w:r>
        <w:t>Abbildung 1: Abstrakte lokale Referenzarchitektur. Produkte sind austauschbare Beispiele.</w:t>
      </w:r>
    </w:p>
    <w:p>
      <w:pPr>
        <w:pStyle w:val="Heading1"/>
        <w:keepNext/>
      </w:pPr>
      <w:r>
        <w:t>5 Systemgrenzen, Vertrauenszonen und Datenflüsse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Vertrauenszone</w:t>
            </w:r>
          </w:p>
        </w:tc>
        <w:tc>
          <w:tcPr>
            <w:tcW w:type="dxa" w:w="6422"/>
            <w:tcMar>
              <w:top w:w="120" w:type="dxa"/>
              <w:bottom w:w="120" w:type="dxa"/>
              <w:start w:w="150" w:type="dxa"/>
              <w:end w:w="150" w:type="dxa"/>
            </w:tcMar>
            <w:vAlign w:val="center"/>
            <w:shd w:fill="E8EEF5"/>
          </w:tcPr>
          <w:p>
            <w:pPr>
              <w:pStyle w:val="Tabellenkopf"/>
              <w:jc w:val="center"/>
            </w:pPr>
            <w:r>
              <w:t>Aufgabe und Grenze</w:t>
            </w:r>
          </w:p>
        </w:tc>
      </w:tr>
      <w:tr>
        <w:trPr>
          <w:cantSplit/>
        </w:trPr>
        <w:tc>
          <w:tcPr>
            <w:tcW w:type="dxa" w:w="2500"/>
            <w:tcMar>
              <w:top w:w="120" w:type="dxa"/>
              <w:bottom w:w="120" w:type="dxa"/>
              <w:start w:w="150" w:type="dxa"/>
              <w:end w:w="150" w:type="dxa"/>
            </w:tcMar>
            <w:vAlign w:val="center"/>
          </w:tcPr>
          <w:p>
            <w:pPr>
              <w:pStyle w:val="Tabellentext"/>
              <w:jc w:val="left"/>
            </w:pPr>
            <w:r>
              <w:t>Verwaltete Clientzone</w:t>
            </w:r>
          </w:p>
        </w:tc>
        <w:tc>
          <w:tcPr>
            <w:tcW w:type="dxa" w:w="6422"/>
            <w:tcMar>
              <w:top w:w="120" w:type="dxa"/>
              <w:bottom w:w="120" w:type="dxa"/>
              <w:start w:w="150" w:type="dxa"/>
              <w:end w:w="150" w:type="dxa"/>
            </w:tcMar>
            <w:vAlign w:val="center"/>
          </w:tcPr>
          <w:p>
            <w:pPr>
              <w:pStyle w:val="Tabellentext"/>
              <w:jc w:val="left"/>
            </w:pPr>
            <w:r>
              <w:t>Benutzerinteraktion, lokale Entwicklungswerkzeuge und begrenzte agentische Aktionen.</w:t>
            </w:r>
          </w:p>
        </w:tc>
      </w:tr>
      <w:tr>
        <w:trPr>
          <w:cantSplit/>
        </w:trPr>
        <w:tc>
          <w:tcPr>
            <w:tcW w:type="dxa" w:w="2500"/>
            <w:tcMar>
              <w:top w:w="120" w:type="dxa"/>
              <w:bottom w:w="120" w:type="dxa"/>
              <w:start w:w="150" w:type="dxa"/>
              <w:end w:w="150" w:type="dxa"/>
            </w:tcMar>
            <w:vAlign w:val="center"/>
          </w:tcPr>
          <w:p>
            <w:pPr>
              <w:pStyle w:val="Tabellentext"/>
              <w:jc w:val="left"/>
            </w:pPr>
            <w:r>
              <w:t>Kontrollierter KI-Zugang</w:t>
            </w:r>
          </w:p>
        </w:tc>
        <w:tc>
          <w:tcPr>
            <w:tcW w:type="dxa" w:w="6422"/>
            <w:tcMar>
              <w:top w:w="120" w:type="dxa"/>
              <w:bottom w:w="120" w:type="dxa"/>
              <w:start w:w="150" w:type="dxa"/>
              <w:end w:w="150" w:type="dxa"/>
            </w:tcMar>
            <w:vAlign w:val="center"/>
          </w:tcPr>
          <w:p>
            <w:pPr>
              <w:pStyle w:val="Tabellentext"/>
              <w:jc w:val="left"/>
            </w:pPr>
            <w:r>
              <w:t>Einziger Clientpfad; Identität, Rollen, TLS, Modell-, Kontext-, Raten- und Toolregeln.</w:t>
            </w:r>
          </w:p>
        </w:tc>
      </w:tr>
      <w:tr>
        <w:trPr>
          <w:cantSplit/>
        </w:trPr>
        <w:tc>
          <w:tcPr>
            <w:tcW w:type="dxa" w:w="2500"/>
            <w:tcMar>
              <w:top w:w="120" w:type="dxa"/>
              <w:bottom w:w="120" w:type="dxa"/>
              <w:start w:w="150" w:type="dxa"/>
              <w:end w:w="150" w:type="dxa"/>
            </w:tcMar>
            <w:vAlign w:val="center"/>
          </w:tcPr>
          <w:p>
            <w:pPr>
              <w:pStyle w:val="Tabellentext"/>
              <w:jc w:val="left"/>
            </w:pPr>
            <w:r>
              <w:t>KI-Serverzone</w:t>
            </w:r>
          </w:p>
        </w:tc>
        <w:tc>
          <w:tcPr>
            <w:tcW w:type="dxa" w:w="6422"/>
            <w:tcMar>
              <w:top w:w="120" w:type="dxa"/>
              <w:bottom w:w="120" w:type="dxa"/>
              <w:start w:w="150" w:type="dxa"/>
              <w:end w:w="150" w:type="dxa"/>
            </w:tcMar>
            <w:vAlign w:val="center"/>
          </w:tcPr>
          <w:p>
            <w:pPr>
              <w:pStyle w:val="Tabellentext"/>
              <w:jc w:val="left"/>
            </w:pPr>
            <w:r>
              <w:t>Interne Inferenz-, RAG-, Daten- und Überwachungsdienste ohne öffentliches oder allgemeines Clientnetz-Exposure.</w:t>
            </w:r>
          </w:p>
        </w:tc>
      </w:tr>
      <w:tr>
        <w:trPr>
          <w:cantSplit/>
        </w:trPr>
        <w:tc>
          <w:tcPr>
            <w:tcW w:type="dxa" w:w="2500"/>
            <w:tcMar>
              <w:top w:w="120" w:type="dxa"/>
              <w:bottom w:w="120" w:type="dxa"/>
              <w:start w:w="150" w:type="dxa"/>
              <w:end w:w="150" w:type="dxa"/>
            </w:tcMar>
            <w:vAlign w:val="center"/>
          </w:tcPr>
          <w:p>
            <w:pPr>
              <w:pStyle w:val="Tabellentext"/>
              <w:jc w:val="left"/>
            </w:pPr>
            <w:r>
              <w:t>Importweg</w:t>
            </w:r>
          </w:p>
        </w:tc>
        <w:tc>
          <w:tcPr>
            <w:tcW w:type="dxa" w:w="6422"/>
            <w:tcMar>
              <w:top w:w="120" w:type="dxa"/>
              <w:bottom w:w="120" w:type="dxa"/>
              <w:start w:w="150" w:type="dxa"/>
              <w:end w:w="150" w:type="dxa"/>
            </w:tcMar>
            <w:vAlign w:val="center"/>
          </w:tcPr>
          <w:p>
            <w:pPr>
              <w:pStyle w:val="Tabellentext"/>
              <w:jc w:val="left"/>
            </w:pPr>
            <w:r>
              <w:t>Prüfung von Modellen, Images, Paketen und Erweiterungen vor Übernahme in lokale Registrierungen.</w:t>
            </w:r>
          </w:p>
        </w:tc>
      </w:tr>
      <w:tr>
        <w:trPr>
          <w:cantSplit/>
        </w:trPr>
        <w:tc>
          <w:tcPr>
            <w:tcW w:type="dxa" w:w="2500"/>
            <w:tcMar>
              <w:top w:w="120" w:type="dxa"/>
              <w:bottom w:w="120" w:type="dxa"/>
              <w:start w:w="150" w:type="dxa"/>
              <w:end w:w="150" w:type="dxa"/>
            </w:tcMar>
            <w:vAlign w:val="center"/>
          </w:tcPr>
          <w:p>
            <w:pPr>
              <w:pStyle w:val="Tabellentext"/>
              <w:jc w:val="left"/>
            </w:pPr>
            <w:r>
              <w:t>Betriebs- und Nachweisbereich</w:t>
            </w:r>
          </w:p>
        </w:tc>
        <w:tc>
          <w:tcPr>
            <w:tcW w:type="dxa" w:w="6422"/>
            <w:tcMar>
              <w:top w:w="120" w:type="dxa"/>
              <w:bottom w:w="120" w:type="dxa"/>
              <w:start w:w="150" w:type="dxa"/>
              <w:end w:w="150" w:type="dxa"/>
            </w:tcMar>
            <w:vAlign w:val="center"/>
          </w:tcPr>
          <w:p>
            <w:pPr>
              <w:pStyle w:val="Tabellentext"/>
              <w:jc w:val="left"/>
            </w:pPr>
            <w:r>
              <w:t>Besonders geschützte Protokolle, SIEM-Daten, Freigaben, Sicherungen und Wiederherstellungsdaten.</w:t>
            </w:r>
          </w:p>
        </w:tc>
      </w:tr>
    </w:tbl>
    <w:p>
      <w:pPr>
        <w:widowControl/>
        <w:spacing w:after="120" w:before="160" w:line="276" w:lineRule="auto"/>
      </w:pPr>
      <w:r>
        <w:t>Das interne Container- oder Pod-Netz gilt nicht als hinreichende Sicherheitsgrenze. Kommunikationsbeziehungen werden standardmäßig verweigert und ausdrücklich erlaubt. Inferenz-, Administrations-, Debug-, Metrik-, Cluster- und Cache-Ports bleiben vom normalen Netz getrennt.</w:t>
      </w:r>
    </w:p>
    <w:p>
      <w:pPr>
        <w:widowControl/>
        <w:spacing w:after="120" w:before="0" w:line="276" w:lineRule="auto"/>
      </w:pPr>
      <w:r>
        <w:t>Alle fachlichen Datenflüsse bleiben lokal: Identitäten, Git, Modelle, Dokumente, Embeddings, Indizes, Chats, Protokolle, Telemetrie und Sicherungen. Der Standardbetrieb besitzt keinen Internet-Egress. Artefaktimporte erfolgen über einen kontrollierten separaten Prozess.</w:t>
      </w:r>
    </w:p>
    <w:p>
      <w:pPr>
        <w:pStyle w:val="Heading1"/>
        <w:keepNext/>
      </w:pPr>
      <w:r>
        <w:t>6 Rechts-, Normen- und Anwendbarkeitsmatrix</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850"/>
        <w:gridCol w:w="1550"/>
        <w:gridCol w:w="3872"/>
        <w:gridCol w:w="1650"/>
      </w:tblGrid>
      <w:tr>
        <w:trPr>
          <w:cantSplit/>
          <w:tblHeader w:val="1"/>
        </w:trPr>
        <w:tc>
          <w:tcPr>
            <w:tcW w:type="dxa" w:w="1850"/>
            <w:tcMar>
              <w:top w:w="120" w:type="dxa"/>
              <w:bottom w:w="120" w:type="dxa"/>
              <w:start w:w="150" w:type="dxa"/>
              <w:end w:w="150" w:type="dxa"/>
            </w:tcMar>
            <w:vAlign w:val="center"/>
            <w:shd w:fill="E8EEF5"/>
          </w:tcPr>
          <w:p>
            <w:pPr>
              <w:pStyle w:val="Tabellenkopf"/>
              <w:jc w:val="center"/>
            </w:pPr>
            <w:r>
              <w:t>Grundlage</w:t>
            </w:r>
          </w:p>
        </w:tc>
        <w:tc>
          <w:tcPr>
            <w:tcW w:type="dxa" w:w="1550"/>
            <w:tcMar>
              <w:top w:w="120" w:type="dxa"/>
              <w:bottom w:w="120" w:type="dxa"/>
              <w:start w:w="150" w:type="dxa"/>
              <w:end w:w="150" w:type="dxa"/>
            </w:tcMar>
            <w:vAlign w:val="center"/>
            <w:shd w:fill="E8EEF5"/>
          </w:tcPr>
          <w:p>
            <w:pPr>
              <w:pStyle w:val="Tabellenkopf"/>
              <w:jc w:val="center"/>
            </w:pPr>
            <w:r>
              <w:t>Anwendbarkeit</w:t>
            </w:r>
          </w:p>
        </w:tc>
        <w:tc>
          <w:tcPr>
            <w:tcW w:type="dxa" w:w="3872"/>
            <w:tcMar>
              <w:top w:w="120" w:type="dxa"/>
              <w:bottom w:w="120" w:type="dxa"/>
              <w:start w:w="150" w:type="dxa"/>
              <w:end w:w="150" w:type="dxa"/>
            </w:tcMar>
            <w:vAlign w:val="center"/>
            <w:shd w:fill="E8EEF5"/>
          </w:tcPr>
          <w:p>
            <w:pPr>
              <w:pStyle w:val="Tabellenkopf"/>
              <w:jc w:val="center"/>
            </w:pPr>
            <w:r>
              <w:t>Erforderliche organisationsspezifische Klärung</w:t>
            </w:r>
          </w:p>
        </w:tc>
        <w:tc>
          <w:tcPr>
            <w:tcW w:type="dxa" w:w="1650"/>
            <w:tcMar>
              <w:top w:w="120" w:type="dxa"/>
              <w:bottom w:w="120" w:type="dxa"/>
              <w:start w:w="150" w:type="dxa"/>
              <w:end w:w="150" w:type="dxa"/>
            </w:tcMar>
            <w:vAlign w:val="center"/>
            <w:shd w:fill="E8EEF5"/>
          </w:tcPr>
          <w:p>
            <w:pPr>
              <w:pStyle w:val="Tabellenkopf"/>
              <w:jc w:val="center"/>
            </w:pPr>
            <w:r>
              <w:t>Quellen</w:t>
            </w:r>
          </w:p>
        </w:tc>
      </w:tr>
      <w:tr>
        <w:trPr>
          <w:cantSplit/>
        </w:trPr>
        <w:tc>
          <w:tcPr>
            <w:tcW w:type="dxa" w:w="1850"/>
            <w:tcMar>
              <w:top w:w="120" w:type="dxa"/>
              <w:bottom w:w="120" w:type="dxa"/>
              <w:start w:w="150" w:type="dxa"/>
              <w:end w:w="150" w:type="dxa"/>
            </w:tcMar>
            <w:vAlign w:val="center"/>
          </w:tcPr>
          <w:p>
            <w:pPr>
              <w:pStyle w:val="Tabellentext"/>
              <w:jc w:val="left"/>
            </w:pPr>
            <w:r>
              <w:t>KI-Verordnung (EU) 2024/1689</w:t>
            </w:r>
          </w:p>
        </w:tc>
        <w:tc>
          <w:tcPr>
            <w:tcW w:type="dxa" w:w="1550"/>
            <w:tcMar>
              <w:top w:w="120" w:type="dxa"/>
              <w:bottom w:w="120" w:type="dxa"/>
              <w:start w:w="150" w:type="dxa"/>
              <w:end w:w="150" w:type="dxa"/>
            </w:tcMar>
            <w:vAlign w:val="center"/>
          </w:tcPr>
          <w:p>
            <w:pPr>
              <w:pStyle w:val="Tabellentext"/>
              <w:jc w:val="center"/>
            </w:pPr>
            <w:r>
              <w:t>Anwendungsfallbezogen</w:t>
            </w:r>
          </w:p>
        </w:tc>
        <w:tc>
          <w:tcPr>
            <w:tcW w:type="dxa" w:w="3872"/>
            <w:tcMar>
              <w:top w:w="120" w:type="dxa"/>
              <w:bottom w:w="120" w:type="dxa"/>
              <w:start w:w="150" w:type="dxa"/>
              <w:end w:w="150" w:type="dxa"/>
            </w:tcMar>
            <w:vAlign w:val="center"/>
          </w:tcPr>
          <w:p>
            <w:pPr>
              <w:pStyle w:val="Tabellentext"/>
              <w:jc w:val="left"/>
            </w:pPr>
            <w:r>
              <w:t>Rolle, Risikoklasse, Betreiberpflichten, KI-Kompetenz und Folgenabschätzung prüfen.</w:t>
            </w:r>
          </w:p>
        </w:tc>
        <w:tc>
          <w:tcPr>
            <w:tcW w:type="dxa" w:w="1650"/>
            <w:tcMar>
              <w:top w:w="120" w:type="dxa"/>
              <w:bottom w:w="120" w:type="dxa"/>
              <w:start w:w="150" w:type="dxa"/>
              <w:end w:w="150" w:type="dxa"/>
            </w:tcMar>
            <w:vAlign w:val="center"/>
          </w:tcPr>
          <w:p>
            <w:pPr>
              <w:pStyle w:val="Tabellentext"/>
              <w:jc w:val="center"/>
            </w:pPr>
            <w:r>
              <w:t>Q-EU-001</w:t>
            </w:r>
          </w:p>
        </w:tc>
      </w:tr>
      <w:tr>
        <w:trPr>
          <w:cantSplit/>
        </w:trPr>
        <w:tc>
          <w:tcPr>
            <w:tcW w:type="dxa" w:w="1850"/>
            <w:tcMar>
              <w:top w:w="120" w:type="dxa"/>
              <w:bottom w:w="120" w:type="dxa"/>
              <w:start w:w="150" w:type="dxa"/>
              <w:end w:w="150" w:type="dxa"/>
            </w:tcMar>
            <w:vAlign w:val="center"/>
          </w:tcPr>
          <w:p>
            <w:pPr>
              <w:pStyle w:val="Tabellentext"/>
              <w:jc w:val="left"/>
            </w:pPr>
            <w:r>
              <w:t>Datenschutzrecht</w:t>
            </w:r>
          </w:p>
        </w:tc>
        <w:tc>
          <w:tcPr>
            <w:tcW w:type="dxa" w:w="1550"/>
            <w:tcMar>
              <w:top w:w="120" w:type="dxa"/>
              <w:bottom w:w="120" w:type="dxa"/>
              <w:start w:w="150" w:type="dxa"/>
              <w:end w:w="150" w:type="dxa"/>
            </w:tcMar>
            <w:vAlign w:val="center"/>
          </w:tcPr>
          <w:p>
            <w:pPr>
              <w:pStyle w:val="Tabellentext"/>
              <w:jc w:val="center"/>
            </w:pPr>
            <w:r>
              <w:t>Bei personenbezogenen Daten</w:t>
            </w:r>
          </w:p>
        </w:tc>
        <w:tc>
          <w:tcPr>
            <w:tcW w:type="dxa" w:w="3872"/>
            <w:tcMar>
              <w:top w:w="120" w:type="dxa"/>
              <w:bottom w:w="120" w:type="dxa"/>
              <w:start w:w="150" w:type="dxa"/>
              <w:end w:w="150" w:type="dxa"/>
            </w:tcMar>
            <w:vAlign w:val="center"/>
          </w:tcPr>
          <w:p>
            <w:pPr>
              <w:pStyle w:val="Tabellentext"/>
              <w:jc w:val="left"/>
            </w:pPr>
            <w:r>
              <w:t>Rechtsgrundlage, Zweck, Minimierung, Rollen, Transparenz, Rechte, Löschung und Folgenabschätzung prüfen.</w:t>
            </w:r>
          </w:p>
        </w:tc>
        <w:tc>
          <w:tcPr>
            <w:tcW w:type="dxa" w:w="1650"/>
            <w:tcMar>
              <w:top w:w="120" w:type="dxa"/>
              <w:bottom w:w="120" w:type="dxa"/>
              <w:start w:w="150" w:type="dxa"/>
              <w:end w:w="150" w:type="dxa"/>
            </w:tcMar>
            <w:vAlign w:val="center"/>
          </w:tcPr>
          <w:p>
            <w:pPr>
              <w:pStyle w:val="Tabellentext"/>
              <w:jc w:val="center"/>
            </w:pPr>
            <w:r>
              <w:t>Q-BFDI-001; Q-DSK-001 bis Q-DSK-003</w:t>
            </w:r>
          </w:p>
        </w:tc>
      </w:tr>
      <w:tr>
        <w:trPr>
          <w:cantSplit/>
        </w:trPr>
        <w:tc>
          <w:tcPr>
            <w:tcW w:type="dxa" w:w="1850"/>
            <w:tcMar>
              <w:top w:w="120" w:type="dxa"/>
              <w:bottom w:w="120" w:type="dxa"/>
              <w:start w:w="150" w:type="dxa"/>
              <w:end w:w="150" w:type="dxa"/>
            </w:tcMar>
            <w:vAlign w:val="center"/>
          </w:tcPr>
          <w:p>
            <w:pPr>
              <w:pStyle w:val="Tabellentext"/>
              <w:jc w:val="left"/>
            </w:pPr>
            <w:r>
              <w:t>BSIG und adressatenbezogene BSI-Vorgaben</w:t>
            </w:r>
          </w:p>
        </w:tc>
        <w:tc>
          <w:tcPr>
            <w:tcW w:type="dxa" w:w="1550"/>
            <w:tcMar>
              <w:top w:w="120" w:type="dxa"/>
              <w:bottom w:w="120" w:type="dxa"/>
              <w:start w:w="150" w:type="dxa"/>
              <w:end w:w="150" w:type="dxa"/>
            </w:tcMar>
            <w:vAlign w:val="center"/>
          </w:tcPr>
          <w:p>
            <w:pPr>
              <w:pStyle w:val="Tabellentext"/>
              <w:jc w:val="center"/>
            </w:pPr>
            <w:r>
              <w:t>Organisationsspezifisch</w:t>
            </w:r>
          </w:p>
        </w:tc>
        <w:tc>
          <w:tcPr>
            <w:tcW w:type="dxa" w:w="3872"/>
            <w:tcMar>
              <w:top w:w="120" w:type="dxa"/>
              <w:bottom w:w="120" w:type="dxa"/>
              <w:start w:w="150" w:type="dxa"/>
              <w:end w:w="150" w:type="dxa"/>
            </w:tcMar>
            <w:vAlign w:val="center"/>
          </w:tcPr>
          <w:p>
            <w:pPr>
              <w:pStyle w:val="Tabellentext"/>
              <w:jc w:val="left"/>
            </w:pPr>
            <w:r>
              <w:t>Adressat, Verbindlichkeit, Basis-Sicherheitskonzept und Nachweispflichten feststellen.</w:t>
            </w:r>
          </w:p>
        </w:tc>
        <w:tc>
          <w:tcPr>
            <w:tcW w:type="dxa" w:w="1650"/>
            <w:tcMar>
              <w:top w:w="120" w:type="dxa"/>
              <w:bottom w:w="120" w:type="dxa"/>
              <w:start w:w="150" w:type="dxa"/>
              <w:end w:w="150" w:type="dxa"/>
            </w:tcMar>
            <w:vAlign w:val="center"/>
          </w:tcPr>
          <w:p>
            <w:pPr>
              <w:pStyle w:val="Tabellentext"/>
              <w:jc w:val="center"/>
            </w:pPr>
            <w:r>
              <w:t>Q-BSIG-001; Q-BSI-001</w:t>
            </w:r>
          </w:p>
        </w:tc>
      </w:tr>
      <w:tr>
        <w:trPr>
          <w:cantSplit/>
        </w:trPr>
        <w:tc>
          <w:tcPr>
            <w:tcW w:type="dxa" w:w="1850"/>
            <w:tcMar>
              <w:top w:w="120" w:type="dxa"/>
              <w:bottom w:w="120" w:type="dxa"/>
              <w:start w:w="150" w:type="dxa"/>
              <w:end w:w="150" w:type="dxa"/>
            </w:tcMar>
            <w:vAlign w:val="center"/>
          </w:tcPr>
          <w:p>
            <w:pPr>
              <w:pStyle w:val="Tabellentext"/>
              <w:jc w:val="left"/>
            </w:pPr>
            <w:r>
              <w:t>Geheimschutz</w:t>
            </w:r>
          </w:p>
        </w:tc>
        <w:tc>
          <w:tcPr>
            <w:tcW w:type="dxa" w:w="1550"/>
            <w:tcMar>
              <w:top w:w="120" w:type="dxa"/>
              <w:bottom w:w="120" w:type="dxa"/>
              <w:start w:w="150" w:type="dxa"/>
              <w:end w:w="150" w:type="dxa"/>
            </w:tcMar>
            <w:vAlign w:val="center"/>
          </w:tcPr>
          <w:p>
            <w:pPr>
              <w:pStyle w:val="Tabellentext"/>
              <w:jc w:val="center"/>
            </w:pPr>
            <w:r>
              <w:t>Bei entsprechend geschützten Inhalten</w:t>
            </w:r>
          </w:p>
        </w:tc>
        <w:tc>
          <w:tcPr>
            <w:tcW w:type="dxa" w:w="3872"/>
            <w:tcMar>
              <w:top w:w="120" w:type="dxa"/>
              <w:bottom w:w="120" w:type="dxa"/>
              <w:start w:w="150" w:type="dxa"/>
              <w:end w:w="150" w:type="dxa"/>
            </w:tcMar>
            <w:vAlign w:val="center"/>
          </w:tcPr>
          <w:p>
            <w:pPr>
              <w:pStyle w:val="Tabellentext"/>
              <w:jc w:val="left"/>
            </w:pPr>
            <w:r>
              <w:t>Verarbeitung nur nach befugter Einstufung, Systemzulässigkeit und ausdrücklicher Freigabe.</w:t>
            </w:r>
          </w:p>
        </w:tc>
        <w:tc>
          <w:tcPr>
            <w:tcW w:type="dxa" w:w="1650"/>
            <w:tcMar>
              <w:top w:w="120" w:type="dxa"/>
              <w:bottom w:w="120" w:type="dxa"/>
              <w:start w:w="150" w:type="dxa"/>
              <w:end w:w="150" w:type="dxa"/>
            </w:tcMar>
            <w:vAlign w:val="center"/>
          </w:tcPr>
          <w:p>
            <w:pPr>
              <w:pStyle w:val="Tabellentext"/>
              <w:jc w:val="center"/>
            </w:pPr>
            <w:r>
              <w:t>Q-SUEG-001; Q-VSA-001</w:t>
            </w:r>
          </w:p>
        </w:tc>
      </w:tr>
      <w:tr>
        <w:trPr>
          <w:cantSplit/>
        </w:trPr>
        <w:tc>
          <w:tcPr>
            <w:tcW w:type="dxa" w:w="1850"/>
            <w:tcMar>
              <w:top w:w="120" w:type="dxa"/>
              <w:bottom w:w="120" w:type="dxa"/>
              <w:start w:w="150" w:type="dxa"/>
              <w:end w:w="150" w:type="dxa"/>
            </w:tcMar>
            <w:vAlign w:val="center"/>
          </w:tcPr>
          <w:p>
            <w:pPr>
              <w:pStyle w:val="Tabellentext"/>
              <w:jc w:val="left"/>
            </w:pPr>
            <w:r>
              <w:t>ISO/IEC 27001 und 27002</w:t>
            </w:r>
          </w:p>
        </w:tc>
        <w:tc>
          <w:tcPr>
            <w:tcW w:type="dxa" w:w="1550"/>
            <w:tcMar>
              <w:top w:w="120" w:type="dxa"/>
              <w:bottom w:w="120" w:type="dxa"/>
              <w:start w:w="150" w:type="dxa"/>
              <w:end w:w="150" w:type="dxa"/>
            </w:tcMar>
            <w:vAlign w:val="center"/>
          </w:tcPr>
          <w:p>
            <w:pPr>
              <w:pStyle w:val="Tabellentext"/>
              <w:jc w:val="center"/>
            </w:pPr>
            <w:r>
              <w:t>Orientierende Zuordnung</w:t>
            </w:r>
          </w:p>
        </w:tc>
        <w:tc>
          <w:tcPr>
            <w:tcW w:type="dxa" w:w="3872"/>
            <w:tcMar>
              <w:top w:w="120" w:type="dxa"/>
              <w:bottom w:w="120" w:type="dxa"/>
              <w:start w:w="150" w:type="dxa"/>
              <w:end w:w="150" w:type="dxa"/>
            </w:tcMar>
            <w:vAlign w:val="center"/>
          </w:tcPr>
          <w:p>
            <w:pPr>
              <w:pStyle w:val="Tabellentext"/>
              <w:jc w:val="left"/>
            </w:pPr>
            <w:r>
              <w:t>Lizenzierte Normtexte und unabhängige Bewertung für eine Konformitätsaussage erforderlich.</w:t>
            </w:r>
          </w:p>
        </w:tc>
        <w:tc>
          <w:tcPr>
            <w:tcW w:type="dxa" w:w="1650"/>
            <w:tcMar>
              <w:top w:w="120" w:type="dxa"/>
              <w:bottom w:w="120" w:type="dxa"/>
              <w:start w:w="150" w:type="dxa"/>
              <w:end w:w="150" w:type="dxa"/>
            </w:tcMar>
            <w:vAlign w:val="center"/>
          </w:tcPr>
          <w:p>
            <w:pPr>
              <w:pStyle w:val="Tabellentext"/>
              <w:jc w:val="center"/>
            </w:pPr>
            <w:r>
              <w:t>Q-ISO-27001; Q-ISO-27002</w:t>
            </w:r>
          </w:p>
        </w:tc>
      </w:tr>
      <w:tr>
        <w:trPr>
          <w:cantSplit/>
        </w:trPr>
        <w:tc>
          <w:tcPr>
            <w:tcW w:type="dxa" w:w="1850"/>
            <w:tcMar>
              <w:top w:w="120" w:type="dxa"/>
              <w:bottom w:w="120" w:type="dxa"/>
              <w:start w:w="150" w:type="dxa"/>
              <w:end w:w="150" w:type="dxa"/>
            </w:tcMar>
            <w:vAlign w:val="center"/>
          </w:tcPr>
          <w:p>
            <w:pPr>
              <w:pStyle w:val="Tabellentext"/>
              <w:jc w:val="left"/>
            </w:pPr>
            <w:r>
              <w:t>ISO/IEC 42001, 23894, 42005, 5338, 5259, 25059</w:t>
            </w:r>
          </w:p>
        </w:tc>
        <w:tc>
          <w:tcPr>
            <w:tcW w:type="dxa" w:w="1550"/>
            <w:tcMar>
              <w:top w:w="120" w:type="dxa"/>
              <w:bottom w:w="120" w:type="dxa"/>
              <w:start w:w="150" w:type="dxa"/>
              <w:end w:w="150" w:type="dxa"/>
            </w:tcMar>
            <w:vAlign w:val="center"/>
          </w:tcPr>
          <w:p>
            <w:pPr>
              <w:pStyle w:val="Tabellentext"/>
              <w:jc w:val="center"/>
            </w:pPr>
            <w:r>
              <w:t>Orientierende KI-Zuordnung</w:t>
            </w:r>
          </w:p>
        </w:tc>
        <w:tc>
          <w:tcPr>
            <w:tcW w:type="dxa" w:w="3872"/>
            <w:tcMar>
              <w:top w:w="120" w:type="dxa"/>
              <w:bottom w:w="120" w:type="dxa"/>
              <w:start w:w="150" w:type="dxa"/>
              <w:end w:w="150" w:type="dxa"/>
            </w:tcMar>
            <w:vAlign w:val="center"/>
          </w:tcPr>
          <w:p>
            <w:pPr>
              <w:pStyle w:val="Tabellentext"/>
              <w:jc w:val="left"/>
            </w:pPr>
            <w:r>
              <w:t>Nur öffentliche Metadaten und Kennungen; keine Wiedergabe proprietärer Anforderungen.</w:t>
            </w:r>
          </w:p>
        </w:tc>
        <w:tc>
          <w:tcPr>
            <w:tcW w:type="dxa" w:w="1650"/>
            <w:tcMar>
              <w:top w:w="120" w:type="dxa"/>
              <w:bottom w:w="120" w:type="dxa"/>
              <w:start w:w="150" w:type="dxa"/>
              <w:end w:w="150" w:type="dxa"/>
            </w:tcMar>
            <w:vAlign w:val="center"/>
          </w:tcPr>
          <w:p>
            <w:pPr>
              <w:pStyle w:val="Tabellentext"/>
              <w:jc w:val="center"/>
            </w:pPr>
            <w:r>
              <w:t>Q-ISO-42001; Q-ISO-23894; Q-ISO-42005; Q-ISO-5338; Q-ISO-5259; Q-ISO-25059</w:t>
            </w:r>
          </w:p>
        </w:tc>
      </w:tr>
    </w:tbl>
    <w:p>
      <w:pPr>
        <w:widowControl/>
        <w:spacing w:after="120" w:before="160" w:line="276" w:lineRule="auto"/>
      </w:pPr>
      <w:r>
        <w:t>Die Matrix ist ein Prüfungseinstieg und keine Rechtsberatung. Fachgesetze, Mitbestimmung und behördenspezifische Vorschriften sind je Organisation und Anwendungsfall zu ergänzen.</w:t>
      </w:r>
    </w:p>
    <w:p>
      <w:pPr>
        <w:pStyle w:val="Heading1"/>
        <w:keepNext/>
      </w:pPr>
      <w:r>
        <w:t>7 Governance, Rollen und Verantwortlichkeiten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600"/>
        <w:gridCol w:w="6322"/>
      </w:tblGrid>
      <w:tr>
        <w:trPr>
          <w:cantSplit/>
          <w:tblHeader w:val="1"/>
        </w:trPr>
        <w:tc>
          <w:tcPr>
            <w:tcW w:type="dxa" w:w="2600"/>
            <w:tcMar>
              <w:top w:w="120" w:type="dxa"/>
              <w:bottom w:w="120" w:type="dxa"/>
              <w:start w:w="150" w:type="dxa"/>
              <w:end w:w="150" w:type="dxa"/>
            </w:tcMar>
            <w:vAlign w:val="center"/>
            <w:shd w:fill="E8EEF5"/>
          </w:tcPr>
          <w:p>
            <w:pPr>
              <w:pStyle w:val="Tabellenkopf"/>
              <w:jc w:val="center"/>
            </w:pPr>
            <w:r>
              <w:t>Rolle</w:t>
            </w:r>
          </w:p>
        </w:tc>
        <w:tc>
          <w:tcPr>
            <w:tcW w:type="dxa" w:w="6322"/>
            <w:tcMar>
              <w:top w:w="120" w:type="dxa"/>
              <w:bottom w:w="120" w:type="dxa"/>
              <w:start w:w="150" w:type="dxa"/>
              <w:end w:w="150" w:type="dxa"/>
            </w:tcMar>
            <w:vAlign w:val="center"/>
            <w:shd w:fill="E8EEF5"/>
          </w:tcPr>
          <w:p>
            <w:pPr>
              <w:pStyle w:val="Tabellenkopf"/>
              <w:jc w:val="center"/>
            </w:pPr>
            <w:r>
              <w:t>Kernverantwortung</w:t>
            </w:r>
          </w:p>
        </w:tc>
      </w:tr>
      <w:tr>
        <w:trPr>
          <w:cantSplit/>
        </w:trPr>
        <w:tc>
          <w:tcPr>
            <w:tcW w:type="dxa" w:w="2600"/>
            <w:tcMar>
              <w:top w:w="120" w:type="dxa"/>
              <w:bottom w:w="120" w:type="dxa"/>
              <w:start w:w="150" w:type="dxa"/>
              <w:end w:w="150" w:type="dxa"/>
            </w:tcMar>
            <w:vAlign w:val="center"/>
          </w:tcPr>
          <w:p>
            <w:pPr>
              <w:pStyle w:val="Tabellentext"/>
              <w:jc w:val="left"/>
            </w:pPr>
            <w:r>
              <w:t>Leitung</w:t>
            </w:r>
          </w:p>
        </w:tc>
        <w:tc>
          <w:tcPr>
            <w:tcW w:type="dxa" w:w="6322"/>
            <w:tcMar>
              <w:top w:w="120" w:type="dxa"/>
              <w:bottom w:w="120" w:type="dxa"/>
              <w:start w:w="150" w:type="dxa"/>
              <w:end w:w="150" w:type="dxa"/>
            </w:tcMar>
            <w:vAlign w:val="center"/>
          </w:tcPr>
          <w:p>
            <w:pPr>
              <w:pStyle w:val="Tabellentext"/>
              <w:jc w:val="left"/>
            </w:pPr>
            <w:r>
              <w:t>Risikobereitschaft, Ressourcen, wesentliche Restrisiken und Freigaberahmen.</w:t>
            </w:r>
          </w:p>
        </w:tc>
      </w:tr>
      <w:tr>
        <w:trPr>
          <w:cantSplit/>
        </w:trPr>
        <w:tc>
          <w:tcPr>
            <w:tcW w:type="dxa" w:w="2600"/>
            <w:tcMar>
              <w:top w:w="120" w:type="dxa"/>
              <w:bottom w:w="120" w:type="dxa"/>
              <w:start w:w="150" w:type="dxa"/>
              <w:end w:w="150" w:type="dxa"/>
            </w:tcMar>
            <w:vAlign w:val="center"/>
          </w:tcPr>
          <w:p>
            <w:pPr>
              <w:pStyle w:val="Tabellentext"/>
              <w:jc w:val="left"/>
            </w:pPr>
            <w:r>
              <w:t>KI-Verantwortliche</w:t>
            </w:r>
          </w:p>
        </w:tc>
        <w:tc>
          <w:tcPr>
            <w:tcW w:type="dxa" w:w="6322"/>
            <w:tcMar>
              <w:top w:w="120" w:type="dxa"/>
              <w:bottom w:w="120" w:type="dxa"/>
              <w:start w:w="150" w:type="dxa"/>
              <w:end w:w="150" w:type="dxa"/>
            </w:tcMar>
            <w:vAlign w:val="center"/>
          </w:tcPr>
          <w:p>
            <w:pPr>
              <w:pStyle w:val="Tabellentext"/>
              <w:jc w:val="left"/>
            </w:pPr>
            <w:r>
              <w:t>Inventar, Anwendungsfälle, Modell- und Richtlinienfreigaben sowie koordinierter Lebenszyklus.</w:t>
            </w:r>
          </w:p>
        </w:tc>
      </w:tr>
      <w:tr>
        <w:trPr>
          <w:cantSplit/>
        </w:trPr>
        <w:tc>
          <w:tcPr>
            <w:tcW w:type="dxa" w:w="2600"/>
            <w:tcMar>
              <w:top w:w="120" w:type="dxa"/>
              <w:bottom w:w="120" w:type="dxa"/>
              <w:start w:w="150" w:type="dxa"/>
              <w:end w:w="150" w:type="dxa"/>
            </w:tcMar>
            <w:vAlign w:val="center"/>
          </w:tcPr>
          <w:p>
            <w:pPr>
              <w:pStyle w:val="Tabellentext"/>
              <w:jc w:val="left"/>
            </w:pPr>
            <w:r>
              <w:t>Informationssicherheit</w:t>
            </w:r>
          </w:p>
        </w:tc>
        <w:tc>
          <w:tcPr>
            <w:tcW w:type="dxa" w:w="6322"/>
            <w:tcMar>
              <w:top w:w="120" w:type="dxa"/>
              <w:bottom w:w="120" w:type="dxa"/>
              <w:start w:w="150" w:type="dxa"/>
              <w:end w:w="150" w:type="dxa"/>
            </w:tcMar>
            <w:vAlign w:val="center"/>
          </w:tcPr>
          <w:p>
            <w:pPr>
              <w:pStyle w:val="Tabellentext"/>
              <w:jc w:val="left"/>
            </w:pPr>
            <w:r>
              <w:t>Bedrohungsmodell, Kontrollanforderungen, Prüfung, Vorfälle und Basis-ISMS-Verknüpfung.</w:t>
            </w:r>
          </w:p>
        </w:tc>
      </w:tr>
      <w:tr>
        <w:trPr>
          <w:cantSplit/>
        </w:trPr>
        <w:tc>
          <w:tcPr>
            <w:tcW w:type="dxa" w:w="2600"/>
            <w:tcMar>
              <w:top w:w="120" w:type="dxa"/>
              <w:bottom w:w="120" w:type="dxa"/>
              <w:start w:w="150" w:type="dxa"/>
              <w:end w:w="150" w:type="dxa"/>
            </w:tcMar>
            <w:vAlign w:val="center"/>
          </w:tcPr>
          <w:p>
            <w:pPr>
              <w:pStyle w:val="Tabellentext"/>
              <w:jc w:val="left"/>
            </w:pPr>
            <w:r>
              <w:t>Datenschutz, Recht, Geheimschutz, Personalvertretung</w:t>
            </w:r>
          </w:p>
        </w:tc>
        <w:tc>
          <w:tcPr>
            <w:tcW w:type="dxa" w:w="6322"/>
            <w:tcMar>
              <w:top w:w="120" w:type="dxa"/>
              <w:bottom w:w="120" w:type="dxa"/>
              <w:start w:w="150" w:type="dxa"/>
              <w:end w:w="150" w:type="dxa"/>
            </w:tcMar>
            <w:vAlign w:val="center"/>
          </w:tcPr>
          <w:p>
            <w:pPr>
              <w:pStyle w:val="Tabellentext"/>
              <w:jc w:val="left"/>
            </w:pPr>
            <w:r>
              <w:t>Anwendbarkeitsprüfung, Beteiligung, Bedingungen und befugte Freigaben im jeweiligen Zuständigkeitsbereich.</w:t>
            </w:r>
          </w:p>
        </w:tc>
      </w:tr>
      <w:tr>
        <w:trPr>
          <w:cantSplit/>
        </w:trPr>
        <w:tc>
          <w:tcPr>
            <w:tcW w:type="dxa" w:w="2600"/>
            <w:tcMar>
              <w:top w:w="120" w:type="dxa"/>
              <w:bottom w:w="120" w:type="dxa"/>
              <w:start w:w="150" w:type="dxa"/>
              <w:end w:w="150" w:type="dxa"/>
            </w:tcMar>
            <w:vAlign w:val="center"/>
          </w:tcPr>
          <w:p>
            <w:pPr>
              <w:pStyle w:val="Tabellentext"/>
              <w:jc w:val="left"/>
            </w:pPr>
            <w:r>
              <w:t>Architektur, Netz, Plattform, Identität und Gateway</w:t>
            </w:r>
          </w:p>
        </w:tc>
        <w:tc>
          <w:tcPr>
            <w:tcW w:type="dxa" w:w="6322"/>
            <w:tcMar>
              <w:top w:w="120" w:type="dxa"/>
              <w:bottom w:w="120" w:type="dxa"/>
              <w:start w:w="150" w:type="dxa"/>
              <w:end w:w="150" w:type="dxa"/>
            </w:tcMar>
            <w:vAlign w:val="center"/>
          </w:tcPr>
          <w:p>
            <w:pPr>
              <w:pStyle w:val="Tabellentext"/>
              <w:jc w:val="left"/>
            </w:pPr>
            <w:r>
              <w:t>Technische Zonen, Egress, Laufzeitbaseline, Identitäten, Zertifikate und Richtliniendurchsetzung.</w:t>
            </w:r>
          </w:p>
        </w:tc>
      </w:tr>
      <w:tr>
        <w:trPr>
          <w:cantSplit/>
        </w:trPr>
        <w:tc>
          <w:tcPr>
            <w:tcW w:type="dxa" w:w="2600"/>
            <w:tcMar>
              <w:top w:w="120" w:type="dxa"/>
              <w:bottom w:w="120" w:type="dxa"/>
              <w:start w:w="150" w:type="dxa"/>
              <w:end w:w="150" w:type="dxa"/>
            </w:tcMar>
            <w:vAlign w:val="center"/>
          </w:tcPr>
          <w:p>
            <w:pPr>
              <w:pStyle w:val="Tabellentext"/>
              <w:jc w:val="left"/>
            </w:pPr>
            <w:r>
              <w:t>Modell, RAG, Daten und Tools</w:t>
            </w:r>
          </w:p>
        </w:tc>
        <w:tc>
          <w:tcPr>
            <w:tcW w:type="dxa" w:w="6322"/>
            <w:tcMar>
              <w:top w:w="120" w:type="dxa"/>
              <w:bottom w:w="120" w:type="dxa"/>
              <w:start w:w="150" w:type="dxa"/>
              <w:end w:w="150" w:type="dxa"/>
            </w:tcMar>
            <w:vAlign w:val="center"/>
          </w:tcPr>
          <w:p>
            <w:pPr>
              <w:pStyle w:val="Tabellentext"/>
              <w:jc w:val="left"/>
            </w:pPr>
            <w:r>
              <w:t>Provenienz, Integrität, ACLs, Löschung, Erweiterungsfreigabe und fachliche Datenverantwortung.</w:t>
            </w:r>
          </w:p>
        </w:tc>
      </w:tr>
      <w:tr>
        <w:trPr>
          <w:cantSplit/>
        </w:trPr>
        <w:tc>
          <w:tcPr>
            <w:tcW w:type="dxa" w:w="2600"/>
            <w:tcMar>
              <w:top w:w="120" w:type="dxa"/>
              <w:bottom w:w="120" w:type="dxa"/>
              <w:start w:w="150" w:type="dxa"/>
              <w:end w:w="150" w:type="dxa"/>
            </w:tcMar>
            <w:vAlign w:val="center"/>
          </w:tcPr>
          <w:p>
            <w:pPr>
              <w:pStyle w:val="Tabellentext"/>
              <w:jc w:val="left"/>
            </w:pPr>
            <w:r>
              <w:t>Test und Betrieb</w:t>
            </w:r>
          </w:p>
        </w:tc>
        <w:tc>
          <w:tcPr>
            <w:tcW w:type="dxa" w:w="6322"/>
            <w:tcMar>
              <w:top w:w="120" w:type="dxa"/>
              <w:bottom w:w="120" w:type="dxa"/>
              <w:start w:w="150" w:type="dxa"/>
              <w:end w:w="150" w:type="dxa"/>
            </w:tcMar>
            <w:vAlign w:val="center"/>
          </w:tcPr>
          <w:p>
            <w:pPr>
              <w:pStyle w:val="Tabellentext"/>
              <w:jc w:val="left"/>
            </w:pPr>
            <w:r>
              <w:t>Reproduzierbare Evaluation, Regression, Monitoring, Protokollierung, Wiederanlauf und Außerbetriebnahme.</w:t>
            </w:r>
          </w:p>
        </w:tc>
      </w:tr>
      <w:tr>
        <w:trPr>
          <w:cantSplit/>
        </w:trPr>
        <w:tc>
          <w:tcPr>
            <w:tcW w:type="dxa" w:w="2600"/>
            <w:tcMar>
              <w:top w:w="120" w:type="dxa"/>
              <w:bottom w:w="120" w:type="dxa"/>
              <w:start w:w="150" w:type="dxa"/>
              <w:end w:w="150" w:type="dxa"/>
            </w:tcMar>
            <w:vAlign w:val="center"/>
          </w:tcPr>
          <w:p>
            <w:pPr>
              <w:pStyle w:val="Tabellentext"/>
              <w:jc w:val="left"/>
            </w:pPr>
            <w:r>
              <w:t>Nutzende</w:t>
            </w:r>
          </w:p>
        </w:tc>
        <w:tc>
          <w:tcPr>
            <w:tcW w:type="dxa" w:w="6322"/>
            <w:tcMar>
              <w:top w:w="120" w:type="dxa"/>
              <w:bottom w:w="120" w:type="dxa"/>
              <w:start w:w="150" w:type="dxa"/>
              <w:end w:w="150" w:type="dxa"/>
            </w:tcMar>
            <w:vAlign w:val="center"/>
          </w:tcPr>
          <w:p>
            <w:pPr>
              <w:pStyle w:val="Tabellentext"/>
              <w:jc w:val="left"/>
            </w:pPr>
            <w:r>
              <w:t>Zweckgebundene Nutzung, Schutzregeln, Ergebnisprüfung und Meldung von Auffälligkeiten.</w:t>
            </w:r>
          </w:p>
        </w:tc>
      </w:tr>
    </w:tbl>
    <w:p>
      <w:pPr>
        <w:widowControl/>
        <w:spacing w:after="120" w:before="160" w:line="276" w:lineRule="auto"/>
      </w:pPr>
      <w:r>
        <w:t>Eine Person kann mehrere Rollen wahrnehmen, sofern Interessenkonflikte und notwendige unabhängige Prüfungen behandelt werden. Verantwortung darf nicht an das Sprachmodell oder eine automatisierte Agentenkette delegiert werden.</w:t>
      </w:r>
    </w:p>
    <w:p>
      <w:pPr>
        <w:pStyle w:val="Heading1"/>
        <w:keepNext/>
      </w:pPr>
      <w:r>
        <w:t>8 KI-Risiko- und Bedrohungsmodell</w:t>
      </w:r>
    </w:p>
    <w:p>
      <w:pPr>
        <w:widowControl/>
        <w:spacing w:after="120" w:before="0" w:line="276" w:lineRule="auto"/>
        <w:suppressAutoHyphens w:val="true"/>
      </w:pPr>
      <w:r>
        <w:t>Das Bedrohungsmodell erweitert das allgemeine IT-Modell um probabilistische Ausgaben, untrusted Kontext, Modell- und Wissenslieferketten sowie agentische Wirkungsketten. Es betrachtet Eingabe, Modell, Systemanweisung, RAG, Tool, Client, Schnittstelle, Plattform, Protokoll und Importpfad.</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900"/>
        <w:gridCol w:w="3200"/>
        <w:gridCol w:w="3822"/>
      </w:tblGrid>
      <w:tr>
        <w:trPr>
          <w:cantSplit/>
          <w:tblHeader w:val="1"/>
        </w:trPr>
        <w:tc>
          <w:tcPr>
            <w:tcW w:type="dxa" w:w="1900"/>
            <w:tcMar>
              <w:top w:w="120" w:type="dxa"/>
              <w:bottom w:w="120" w:type="dxa"/>
              <w:start w:w="150" w:type="dxa"/>
              <w:end w:w="150" w:type="dxa"/>
            </w:tcMar>
            <w:vAlign w:val="center"/>
            <w:shd w:fill="E8EEF5"/>
          </w:tcPr>
          <w:p>
            <w:pPr>
              <w:pStyle w:val="Tabellenkopf"/>
              <w:jc w:val="center"/>
            </w:pPr>
            <w:r>
              <w:t>Szenario</w:t>
            </w:r>
          </w:p>
        </w:tc>
        <w:tc>
          <w:tcPr>
            <w:tcW w:type="dxa" w:w="3200"/>
            <w:tcMar>
              <w:top w:w="120" w:type="dxa"/>
              <w:bottom w:w="120" w:type="dxa"/>
              <w:start w:w="150" w:type="dxa"/>
              <w:end w:w="150" w:type="dxa"/>
            </w:tcMar>
            <w:vAlign w:val="center"/>
            <w:shd w:fill="E8EEF5"/>
          </w:tcPr>
          <w:p>
            <w:pPr>
              <w:pStyle w:val="Tabellenkopf"/>
              <w:jc w:val="center"/>
            </w:pPr>
            <w:r>
              <w:t>Auswirkung</w:t>
            </w:r>
          </w:p>
        </w:tc>
        <w:tc>
          <w:tcPr>
            <w:tcW w:type="dxa" w:w="3822"/>
            <w:tcMar>
              <w:top w:w="120" w:type="dxa"/>
              <w:bottom w:w="120" w:type="dxa"/>
              <w:start w:w="150" w:type="dxa"/>
              <w:end w:w="150" w:type="dxa"/>
            </w:tcMar>
            <w:vAlign w:val="center"/>
            <w:shd w:fill="E8EEF5"/>
          </w:tcPr>
          <w:p>
            <w:pPr>
              <w:pStyle w:val="Tabellenkopf"/>
              <w:jc w:val="center"/>
            </w:pPr>
            <w:r>
              <w:t>Behandlungsschwerpunkt</w:t>
            </w:r>
          </w:p>
        </w:tc>
      </w:tr>
      <w:tr>
        <w:trPr>
          <w:cantSplit/>
        </w:trPr>
        <w:tc>
          <w:tcPr>
            <w:tcW w:type="dxa" w:w="1900"/>
            <w:tcMar>
              <w:top w:w="120" w:type="dxa"/>
              <w:bottom w:w="120" w:type="dxa"/>
              <w:start w:w="150" w:type="dxa"/>
              <w:end w:w="150" w:type="dxa"/>
            </w:tcMar>
            <w:vAlign w:val="center"/>
          </w:tcPr>
          <w:p>
            <w:pPr>
              <w:pStyle w:val="Tabellentext"/>
              <w:jc w:val="left"/>
            </w:pPr>
            <w:r>
              <w:t>Prompt Injection</w:t>
            </w:r>
          </w:p>
        </w:tc>
        <w:tc>
          <w:tcPr>
            <w:tcW w:type="dxa" w:w="3200"/>
            <w:tcMar>
              <w:top w:w="120" w:type="dxa"/>
              <w:bottom w:w="120" w:type="dxa"/>
              <w:start w:w="150" w:type="dxa"/>
              <w:end w:w="150" w:type="dxa"/>
            </w:tcMar>
            <w:vAlign w:val="center"/>
          </w:tcPr>
          <w:p>
            <w:pPr>
              <w:pStyle w:val="Tabellentext"/>
              <w:jc w:val="left"/>
            </w:pPr>
            <w:r>
              <w:t>Direkte oder indirekte Anweisungen überschreiben beabsichtigte Regeln.</w:t>
            </w:r>
          </w:p>
        </w:tc>
        <w:tc>
          <w:tcPr>
            <w:tcW w:type="dxa" w:w="3822"/>
            <w:tcMar>
              <w:top w:w="120" w:type="dxa"/>
              <w:bottom w:w="120" w:type="dxa"/>
              <w:start w:w="150" w:type="dxa"/>
              <w:end w:w="150" w:type="dxa"/>
            </w:tcMar>
            <w:vAlign w:val="center"/>
          </w:tcPr>
          <w:p>
            <w:pPr>
              <w:pStyle w:val="Tabellentext"/>
              <w:jc w:val="left"/>
            </w:pPr>
            <w:r>
              <w:t>Kontexttrennung, Tool-Policy, Bestätigung, Tests und Monitoring.</w:t>
            </w:r>
          </w:p>
        </w:tc>
      </w:tr>
      <w:tr>
        <w:trPr>
          <w:cantSplit/>
        </w:trPr>
        <w:tc>
          <w:tcPr>
            <w:tcW w:type="dxa" w:w="1900"/>
            <w:tcMar>
              <w:top w:w="120" w:type="dxa"/>
              <w:bottom w:w="120" w:type="dxa"/>
              <w:start w:w="150" w:type="dxa"/>
              <w:end w:w="150" w:type="dxa"/>
            </w:tcMar>
            <w:vAlign w:val="center"/>
          </w:tcPr>
          <w:p>
            <w:pPr>
              <w:pStyle w:val="Tabellentext"/>
              <w:jc w:val="left"/>
            </w:pPr>
            <w:r>
              <w:t>Poisoning und manipulierte Provenienz</w:t>
            </w:r>
          </w:p>
        </w:tc>
        <w:tc>
          <w:tcPr>
            <w:tcW w:type="dxa" w:w="3200"/>
            <w:tcMar>
              <w:top w:w="120" w:type="dxa"/>
              <w:bottom w:w="120" w:type="dxa"/>
              <w:start w:w="150" w:type="dxa"/>
              <w:end w:w="150" w:type="dxa"/>
            </w:tcMar>
            <w:vAlign w:val="center"/>
          </w:tcPr>
          <w:p>
            <w:pPr>
              <w:pStyle w:val="Tabellentext"/>
              <w:jc w:val="left"/>
            </w:pPr>
            <w:r>
              <w:t>Modell- oder RAG-Artefakte verändern Verhalten und Quellenlage.</w:t>
            </w:r>
          </w:p>
        </w:tc>
        <w:tc>
          <w:tcPr>
            <w:tcW w:type="dxa" w:w="3822"/>
            <w:tcMar>
              <w:top w:w="120" w:type="dxa"/>
              <w:bottom w:w="120" w:type="dxa"/>
              <w:start w:w="150" w:type="dxa"/>
              <w:end w:w="150" w:type="dxa"/>
            </w:tcMar>
            <w:vAlign w:val="center"/>
          </w:tcPr>
          <w:p>
            <w:pPr>
              <w:pStyle w:val="Tabellentext"/>
              <w:jc w:val="left"/>
            </w:pPr>
            <w:r>
              <w:t>Kontrollierter Import, Hash, Signatur, Herkunft, Freigabe und Rollback.</w:t>
            </w:r>
          </w:p>
        </w:tc>
      </w:tr>
      <w:tr>
        <w:trPr>
          <w:cantSplit/>
        </w:trPr>
        <w:tc>
          <w:tcPr>
            <w:tcW w:type="dxa" w:w="1900"/>
            <w:tcMar>
              <w:top w:w="120" w:type="dxa"/>
              <w:bottom w:w="120" w:type="dxa"/>
              <w:start w:w="150" w:type="dxa"/>
              <w:end w:w="150" w:type="dxa"/>
            </w:tcMar>
            <w:vAlign w:val="center"/>
          </w:tcPr>
          <w:p>
            <w:pPr>
              <w:pStyle w:val="Tabellentext"/>
              <w:jc w:val="left"/>
            </w:pPr>
            <w:r>
              <w:t>Datenabfluss und Rekonstruktion</w:t>
            </w:r>
          </w:p>
        </w:tc>
        <w:tc>
          <w:tcPr>
            <w:tcW w:type="dxa" w:w="3200"/>
            <w:tcMar>
              <w:top w:w="120" w:type="dxa"/>
              <w:bottom w:w="120" w:type="dxa"/>
              <w:start w:w="150" w:type="dxa"/>
              <w:end w:w="150" w:type="dxa"/>
            </w:tcMar>
            <w:vAlign w:val="center"/>
          </w:tcPr>
          <w:p>
            <w:pPr>
              <w:pStyle w:val="Tabellentext"/>
              <w:jc w:val="left"/>
            </w:pPr>
            <w:r>
              <w:t>Prompts, Embeddings, Caches, Ausgaben oder Tools überschreiten Berechtigungen.</w:t>
            </w:r>
          </w:p>
        </w:tc>
        <w:tc>
          <w:tcPr>
            <w:tcW w:type="dxa" w:w="3822"/>
            <w:tcMar>
              <w:top w:w="120" w:type="dxa"/>
              <w:bottom w:w="120" w:type="dxa"/>
              <w:start w:w="150" w:type="dxa"/>
              <w:end w:w="150" w:type="dxa"/>
            </w:tcMar>
            <w:vAlign w:val="center"/>
          </w:tcPr>
          <w:p>
            <w:pPr>
              <w:pStyle w:val="Tabellentext"/>
              <w:jc w:val="left"/>
            </w:pPr>
            <w:r>
              <w:t>ACL vor Aufnahme und Abfrage, Minimierung, Egress-Verbot und Ausgabeprüfung.</w:t>
            </w:r>
          </w:p>
        </w:tc>
      </w:tr>
      <w:tr>
        <w:trPr>
          <w:cantSplit/>
        </w:trPr>
        <w:tc>
          <w:tcPr>
            <w:tcW w:type="dxa" w:w="1900"/>
            <w:tcMar>
              <w:top w:w="120" w:type="dxa"/>
              <w:bottom w:w="120" w:type="dxa"/>
              <w:start w:w="150" w:type="dxa"/>
              <w:end w:w="150" w:type="dxa"/>
            </w:tcMar>
            <w:vAlign w:val="center"/>
          </w:tcPr>
          <w:p>
            <w:pPr>
              <w:pStyle w:val="Tabellentext"/>
              <w:jc w:val="left"/>
            </w:pPr>
            <w:r>
              <w:t>Unsichere Modellausgabe</w:t>
            </w:r>
          </w:p>
        </w:tc>
        <w:tc>
          <w:tcPr>
            <w:tcW w:type="dxa" w:w="3200"/>
            <w:tcMar>
              <w:top w:w="120" w:type="dxa"/>
              <w:bottom w:w="120" w:type="dxa"/>
              <w:start w:w="150" w:type="dxa"/>
              <w:end w:w="150" w:type="dxa"/>
            </w:tcMar>
            <w:vAlign w:val="center"/>
          </w:tcPr>
          <w:p>
            <w:pPr>
              <w:pStyle w:val="Tabellentext"/>
              <w:jc w:val="left"/>
            </w:pPr>
            <w:r>
              <w:t>Fehlerhafte Inhalte oder Code erhalten reale Folgewirkung.</w:t>
            </w:r>
          </w:p>
        </w:tc>
        <w:tc>
          <w:tcPr>
            <w:tcW w:type="dxa" w:w="3822"/>
            <w:tcMar>
              <w:top w:w="120" w:type="dxa"/>
              <w:bottom w:w="120" w:type="dxa"/>
              <w:start w:w="150" w:type="dxa"/>
              <w:end w:w="150" w:type="dxa"/>
            </w:tcMar>
            <w:vAlign w:val="center"/>
          </w:tcPr>
          <w:p>
            <w:pPr>
              <w:pStyle w:val="Tabellentext"/>
              <w:jc w:val="left"/>
            </w:pPr>
            <w:r>
              <w:t>Validierung, menschliche Freigabe, sichere Weiterverarbeitung und Kennzeichnung.</w:t>
            </w:r>
          </w:p>
        </w:tc>
      </w:tr>
      <w:tr>
        <w:trPr>
          <w:cantSplit/>
        </w:trPr>
        <w:tc>
          <w:tcPr>
            <w:tcW w:type="dxa" w:w="1900"/>
            <w:tcMar>
              <w:top w:w="120" w:type="dxa"/>
              <w:bottom w:w="120" w:type="dxa"/>
              <w:start w:w="150" w:type="dxa"/>
              <w:end w:w="150" w:type="dxa"/>
            </w:tcMar>
            <w:vAlign w:val="center"/>
          </w:tcPr>
          <w:p>
            <w:pPr>
              <w:pStyle w:val="Tabellentext"/>
              <w:jc w:val="left"/>
            </w:pPr>
            <w:r>
              <w:t>Übermäßige Agentenrechte</w:t>
            </w:r>
          </w:p>
        </w:tc>
        <w:tc>
          <w:tcPr>
            <w:tcW w:type="dxa" w:w="3200"/>
            <w:tcMar>
              <w:top w:w="120" w:type="dxa"/>
              <w:bottom w:w="120" w:type="dxa"/>
              <w:start w:w="150" w:type="dxa"/>
              <w:end w:w="150" w:type="dxa"/>
            </w:tcMar>
            <w:vAlign w:val="center"/>
          </w:tcPr>
          <w:p>
            <w:pPr>
              <w:pStyle w:val="Tabellentext"/>
              <w:jc w:val="left"/>
            </w:pPr>
            <w:r>
              <w:t>Modellfehler führen zu Datei-, Befehls- oder Netzwerkaktionen.</w:t>
            </w:r>
          </w:p>
        </w:tc>
        <w:tc>
          <w:tcPr>
            <w:tcW w:type="dxa" w:w="3822"/>
            <w:tcMar>
              <w:top w:w="120" w:type="dxa"/>
              <w:bottom w:w="120" w:type="dxa"/>
              <w:start w:w="150" w:type="dxa"/>
              <w:end w:w="150" w:type="dxa"/>
            </w:tcMar>
            <w:vAlign w:val="center"/>
          </w:tcPr>
          <w:p>
            <w:pPr>
              <w:pStyle w:val="Tabellentext"/>
              <w:jc w:val="left"/>
            </w:pPr>
            <w:r>
              <w:t>Getrennte Fähigkeiten, Least Privilege, konkrete Bestätigung und Auditspur.</w:t>
            </w:r>
          </w:p>
        </w:tc>
      </w:tr>
      <w:tr>
        <w:trPr>
          <w:cantSplit/>
        </w:trPr>
        <w:tc>
          <w:tcPr>
            <w:tcW w:type="dxa" w:w="1900"/>
            <w:tcMar>
              <w:top w:w="120" w:type="dxa"/>
              <w:bottom w:w="120" w:type="dxa"/>
              <w:start w:w="150" w:type="dxa"/>
              <w:end w:w="150" w:type="dxa"/>
            </w:tcMar>
            <w:vAlign w:val="center"/>
          </w:tcPr>
          <w:p>
            <w:pPr>
              <w:pStyle w:val="Tabellentext"/>
              <w:jc w:val="left"/>
            </w:pPr>
            <w:r>
              <w:t>Ressourcenerschöpfung</w:t>
            </w:r>
          </w:p>
        </w:tc>
        <w:tc>
          <w:tcPr>
            <w:tcW w:type="dxa" w:w="3200"/>
            <w:tcMar>
              <w:top w:w="120" w:type="dxa"/>
              <w:bottom w:w="120" w:type="dxa"/>
              <w:start w:w="150" w:type="dxa"/>
              <w:end w:w="150" w:type="dxa"/>
            </w:tcMar>
            <w:vAlign w:val="center"/>
          </w:tcPr>
          <w:p>
            <w:pPr>
              <w:pStyle w:val="Tabellentext"/>
              <w:jc w:val="left"/>
            </w:pPr>
            <w:r>
              <w:t>Kontexte, Schleifen und Last verdrängen lokale Dienste.</w:t>
            </w:r>
          </w:p>
        </w:tc>
        <w:tc>
          <w:tcPr>
            <w:tcW w:type="dxa" w:w="3822"/>
            <w:tcMar>
              <w:top w:w="120" w:type="dxa"/>
              <w:bottom w:w="120" w:type="dxa"/>
              <w:start w:w="150" w:type="dxa"/>
              <w:end w:w="150" w:type="dxa"/>
            </w:tcMar>
            <w:vAlign w:val="center"/>
          </w:tcPr>
          <w:p>
            <w:pPr>
              <w:pStyle w:val="Tabellentext"/>
              <w:jc w:val="left"/>
            </w:pPr>
            <w:r>
              <w:t>Quoten, Timeouts, Queueing, Ressourcenlimits und sichere Beendigung.</w:t>
            </w:r>
          </w:p>
        </w:tc>
      </w:tr>
      <w:tr>
        <w:trPr>
          <w:cantSplit/>
        </w:trPr>
        <w:tc>
          <w:tcPr>
            <w:tcW w:type="dxa" w:w="1900"/>
            <w:tcMar>
              <w:top w:w="120" w:type="dxa"/>
              <w:bottom w:w="120" w:type="dxa"/>
              <w:start w:w="150" w:type="dxa"/>
              <w:end w:w="150" w:type="dxa"/>
            </w:tcMar>
            <w:vAlign w:val="center"/>
          </w:tcPr>
          <w:p>
            <w:pPr>
              <w:pStyle w:val="Tabellentext"/>
              <w:jc w:val="left"/>
            </w:pPr>
            <w:r>
              <w:t>Drift und Regression</w:t>
            </w:r>
          </w:p>
        </w:tc>
        <w:tc>
          <w:tcPr>
            <w:tcW w:type="dxa" w:w="3200"/>
            <w:tcMar>
              <w:top w:w="120" w:type="dxa"/>
              <w:bottom w:w="120" w:type="dxa"/>
              <w:start w:w="150" w:type="dxa"/>
              <w:end w:w="150" w:type="dxa"/>
            </w:tcMar>
            <w:vAlign w:val="center"/>
          </w:tcPr>
          <w:p>
            <w:pPr>
              <w:pStyle w:val="Tabellentext"/>
              <w:jc w:val="left"/>
            </w:pPr>
            <w:r>
              <w:t>Geänderte Kette verschlechtert Sicherheit oder Qualität.</w:t>
            </w:r>
          </w:p>
        </w:tc>
        <w:tc>
          <w:tcPr>
            <w:tcW w:type="dxa" w:w="3822"/>
            <w:tcMar>
              <w:top w:w="120" w:type="dxa"/>
              <w:bottom w:w="120" w:type="dxa"/>
              <w:start w:w="150" w:type="dxa"/>
              <w:end w:w="150" w:type="dxa"/>
            </w:tcMar>
            <w:vAlign w:val="center"/>
          </w:tcPr>
          <w:p>
            <w:pPr>
              <w:pStyle w:val="Tabellentext"/>
              <w:jc w:val="left"/>
            </w:pPr>
            <w:r>
              <w:t>Versionierte Freigabe, Regression, Betriebsmetriken und getesteter Rollback.</w:t>
            </w:r>
          </w:p>
        </w:tc>
      </w:tr>
    </w:tbl>
    <w:p>
      <w:pPr>
        <w:widowControl/>
        <w:spacing w:after="120" w:before="160" w:line="276" w:lineRule="auto"/>
      </w:pPr>
      <w:r>
        <w:t>Bewertungen werden vor Erstnutzung, mindestens jährlich und nach wesentlichen Änderungen wiederholt. Akzeptierte Restrisiken bleiben sichtbar, befristet und einer befugten Rolle zugeordnet.</w:t>
      </w:r>
    </w:p>
    <w:p>
      <w:pPr>
        <w:pStyle w:val="Heading1"/>
        <w:keepNext/>
      </w:pPr>
      <w:r>
        <w:t>9 Sicherheitsmaßnahmen entsprechend dem OSCAL-Katalog</w:t>
      </w:r>
    </w:p>
    <w:p>
      <w:pPr>
        <w:widowControl/>
        <w:spacing w:after="120" w:before="0" w:line="276" w:lineRule="auto"/>
      </w:pPr>
      <w:r>
        <w:t>Die folgenden Kontrollblöcke übernehmen die normative Anforderung unverändert aus dem OSCAL-Katalog und erläutern Begründung, Referenzumsetzung, Prüfziel und Nachweise. Quellen- und Mappingangaben sind nachvollziehbare Zuordnungen; sie stellen keine Zertifizierung oder behördliche Freigabe dar.</w:t>
      </w:r>
    </w:p>
    <w:p>
      <w:pPr>
        <w:pStyle w:val="Heading2"/>
        <w:keepNext/>
      </w:pPr>
      <w:r>
        <w:t>9.1 Geltungsbereich und Abhängigkeit vom Basis-Sicherheitskonzept</w:t>
      </w:r>
    </w:p>
    <w:p>
      <w:pPr>
        <w:pStyle w:val="Heading3"/>
        <w:keepNext/>
      </w:pPr>
      <w:r>
        <w:t>KI-GEL-001 – Abgrenzung zum allgemeinen IT-Sicherheitskonzept</w:t>
      </w:r>
    </w:p>
    <w:p>
      <w:pPr>
        <w:keepLines/>
        <w:widowControl/>
        <w:spacing w:after="140" w:before="0" w:line="276" w:lineRule="auto"/>
        <w:shd w:fill="F5F7FA"/>
      </w:pPr>
      <w:r>
        <w:rPr>
          <w:b/>
          <w:color w:val="1F4D78"/>
        </w:rPr>
        <w:t>Normative Anforderung</w:t>
        <w:br/>
      </w:r>
      <w:r>
        <w:t>Für jede Übernahme dieser Referenz MUSS ein wirksames allgemeines IT-Sicherheitskonzept benannt werden. Die KI-spezifischen Kontrollen dürfen Basismaßnahmen nicht ersetzen; Abhängigkeiten, Verschärfungen und verbleibende Lücken MÜSSEN dokumentiert werden.</w:t>
      </w:r>
    </w:p>
    <w:p>
      <w:pPr>
        <w:widowControl/>
        <w:spacing w:after="140" w:before="0" w:line="276" w:lineRule="auto"/>
      </w:pPr>
      <w:r>
        <w:rPr>
          <w:b/>
          <w:color w:val="1F4D78"/>
        </w:rPr>
        <w:t>Begründung</w:t>
        <w:br/>
      </w:r>
      <w:r>
        <w:t>KI-Komponenten erben Risiken aus Identitätsmanagement, Netzen, Plattformen und Betrieb. Ohne nachweisbare Basis kann die Wirksamkeit der Ergänzungen nicht beurteilt werden.</w:t>
      </w:r>
    </w:p>
    <w:p>
      <w:pPr>
        <w:widowControl/>
        <w:spacing w:after="140" w:before="0" w:line="276" w:lineRule="auto"/>
      </w:pPr>
      <w:r>
        <w:rPr>
          <w:b/>
          <w:color w:val="1F4D78"/>
        </w:rPr>
        <w:t>Umsetzung in der Referenzarchitektur</w:t>
        <w:br/>
      </w:r>
      <w:r>
        <w:t>Eine Anwendbarkeitsmatrix verknüpft jede KI-Komponente mit den einschlägigen Basismaßnahmen und kennzeichnet ausschließlich die KI-spezifische Ergänzung. Fehlende Basiskontrollen werden außerhalb dieses Katalogs behandelt.</w:t>
      </w:r>
    </w:p>
    <w:p>
      <w:pPr>
        <w:widowControl/>
        <w:spacing w:after="140" w:before="0" w:line="276" w:lineRule="auto"/>
      </w:pPr>
      <w:r>
        <w:rPr>
          <w:b/>
          <w:color w:val="1F4D78"/>
        </w:rPr>
        <w:t>Prüfziel</w:t>
        <w:br/>
      </w:r>
      <w:r>
        <w:t>Feststellen, ob Geltungsbereich, referenziertes Basis-Sicherheitskonzept und Abhängigkeiten vollständig und ohne Doppelzählung beschrieben sind.</w:t>
      </w:r>
    </w:p>
    <w:p>
      <w:pPr>
        <w:widowControl/>
        <w:spacing w:after="140" w:before="0" w:line="276" w:lineRule="auto"/>
      </w:pPr>
      <w:r>
        <w:rPr>
          <w:b/>
          <w:color w:val="1F4D78"/>
        </w:rPr>
        <w:t>Erwartete Nachweise</w:t>
        <w:br/>
      </w:r>
      <w:r>
        <w:t>Freigegebenes Basis-Sicherheitskonzept; Anwendbarkeitsmatrix; Systemabgrenzung; dokumentierte Lücken und Verantwortlichkeiten.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Übernahme; Informationssicherheitsbeauftragte; KI-Verantwortliche; Systemverantwortliche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ORP.1; ISO: ISO/IEC 27001:2022 4.3, ISO/IEC 27001:2022 6.1</w:t>
            </w:r>
          </w:p>
        </w:tc>
      </w:tr>
    </w:tbl>
    <w:p>
      <w:pPr>
        <w:widowControl/>
        <w:spacing w:after="200" w:before="120" w:line="276" w:lineRule="auto"/>
        <w:suppressAutoHyphens w:val="true"/>
        <w:pBdr>
          <w:bottom w:val="single" w:sz="8" w:space="6" w:color="2E74B5"/>
        </w:pBdr>
      </w:pPr>
      <w:r>
        <w:rPr>
          <w:b/>
          <w:color w:val="1F4D78"/>
        </w:rPr>
        <w:t>Quellen</w:t>
        <w:br/>
      </w:r>
      <w:r>
        <w:t>[Q-BSI-001] S. 4–5 und S. 11–12; [Q-ISO-27001] öffentliche Metadaten; Zuordnung zu ISMS und Risikomanagement</w:t>
      </w:r>
      <w:r>
        <w:rPr>
          <w:rStyle w:val="FootnoteReference"/>
        </w:rPr>
        <w:footnoteReference w:id="1"/>
      </w:r>
    </w:p>
    <w:p>
      <w:pPr>
        <w:pStyle w:val="Heading3"/>
        <w:keepNext/>
      </w:pPr>
      <w:r>
        <w:t>KI-GEL-002 – Öffentlicher Referenzstatus und kontrollierte Übernahme</w:t>
      </w:r>
    </w:p>
    <w:p>
      <w:pPr>
        <w:keepLines/>
        <w:widowControl/>
        <w:spacing w:after="140" w:before="0" w:line="276" w:lineRule="auto"/>
        <w:shd w:fill="F5F7FA"/>
      </w:pPr>
      <w:r>
        <w:rPr>
          <w:b/>
          <w:color w:val="1F4D78"/>
        </w:rPr>
        <w:t>Normative Anforderung</w:t>
        <w:br/>
      </w:r>
      <w:r>
        <w:t>Das öffentliche Referenzrepository MUSS organisationsneutral bleiben. Vor jeder organisationsspezifischen Anpassung MUSS eine getrennte, angemessen geschützte Offline-Fassung erstellt und der Statusmechanismus auf organisationsspezifisch gesetzt werden; die formale Einstufung MUSS durch befugte Organisationsstellen erfolgen.</w:t>
      </w:r>
    </w:p>
    <w:p>
      <w:pPr>
        <w:widowControl/>
        <w:spacing w:after="140" w:before="0" w:line="276" w:lineRule="auto"/>
      </w:pPr>
      <w:r>
        <w:rPr>
          <w:b/>
          <w:color w:val="1F4D78"/>
        </w:rPr>
        <w:t>Begründung</w:t>
        <w:br/>
      </w:r>
      <w:r>
        <w:t>Architektur-, Schutzbedarfs- und Schwachstellenangaben können den Schutzbedarf unmittelbar erhöhen. Repository-Sichtbarkeit ist keine informationsschutzrechtliche Freigabe.</w:t>
      </w:r>
    </w:p>
    <w:p>
      <w:pPr>
        <w:widowControl/>
        <w:spacing w:after="140" w:before="0" w:line="276" w:lineRule="auto"/>
      </w:pPr>
      <w:r>
        <w:rPr>
          <w:b/>
          <w:color w:val="1F4D78"/>
        </w:rPr>
        <w:t>Umsetzung in der Referenzarchitektur</w:t>
        <w:br/>
      </w:r>
      <w:r>
        <w:t>Der maschinenlesbare Projektstatus steuert Deckblatt, Kopfzeilen und Freigabeprüfungen. Heuristiken suchen ergänzend nach Infrastruktur- und Geheimnismustern, ersetzen aber keine manuelle Prüfung.</w:t>
      </w:r>
    </w:p>
    <w:p>
      <w:pPr>
        <w:widowControl/>
        <w:spacing w:after="140" w:before="0" w:line="276" w:lineRule="auto"/>
      </w:pPr>
      <w:r>
        <w:rPr>
          <w:b/>
          <w:color w:val="1F4D78"/>
        </w:rPr>
        <w:t>Prüfziel</w:t>
        <w:br/>
      </w:r>
      <w:r>
        <w:t>Nachweisen, dass die öffentliche Fassung organisationsneutral ist und der Statuswechsel in einer Prüffassung wirksam ausgelöst wird.</w:t>
      </w:r>
    </w:p>
    <w:p>
      <w:pPr>
        <w:widowControl/>
        <w:spacing w:after="140" w:before="0" w:line="276" w:lineRule="auto"/>
      </w:pPr>
      <w:r>
        <w:rPr>
          <w:b/>
          <w:color w:val="1F4D78"/>
        </w:rPr>
        <w:t>Erwartete Nachweise</w:t>
        <w:br/>
      </w:r>
      <w:r>
        <w:t>Projektstatus; negative Statustests; Freigabeprotokoll; Ergebnis der heuristischen Inhaltsprüfung; dokumentierte Zuständigkeit für Einstufungen.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Übernahme; Freigabe; Änderung; Informationssicherheitsbeauftragte; Geheimschutzbeauftragte; Dokumentenverantwortliche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ORP.1, CON.10; ISO: ISO/IEC 27001:2022 5.2, ISO/IEC 27002:2022 5.12</w:t>
            </w:r>
          </w:p>
        </w:tc>
      </w:tr>
    </w:tbl>
    <w:p>
      <w:pPr>
        <w:widowControl/>
        <w:spacing w:after="200" w:before="120" w:line="276" w:lineRule="auto"/>
        <w:suppressAutoHyphens w:val="true"/>
        <w:pBdr>
          <w:bottom w:val="single" w:sz="8" w:space="6" w:color="2E74B5"/>
        </w:pBdr>
      </w:pPr>
      <w:r>
        <w:rPr>
          <w:b/>
          <w:color w:val="1F4D78"/>
        </w:rPr>
        <w:t>Quellen</w:t>
        <w:br/>
      </w:r>
      <w:r>
        <w:t>[Q-SUEG-001] § 4; [Q-VSA-001] allgemeine Einstufungs- und Handhabungsregeln; [Q-BMI-001] S. 26–27</w:t>
      </w:r>
      <w:r>
        <w:rPr>
          <w:rStyle w:val="FootnoteReference"/>
        </w:rPr>
        <w:footnoteReference w:id="2"/>
      </w:r>
    </w:p>
    <w:p>
      <w:pPr>
        <w:pStyle w:val="Heading2"/>
        <w:keepNext/>
      </w:pPr>
      <w:r>
        <w:t>9.2 KI-Governance, Inventar, Rollen und Nutzungsgenehmigung</w:t>
      </w:r>
    </w:p>
    <w:p>
      <w:pPr>
        <w:pStyle w:val="Heading3"/>
        <w:keepNext/>
      </w:pPr>
      <w:r>
        <w:t>KI-GOV-001 – KI-Inventar und eindeutige Verantwortung</w:t>
      </w:r>
    </w:p>
    <w:p>
      <w:pPr>
        <w:keepLines/>
        <w:widowControl/>
        <w:spacing w:after="140" w:before="0" w:line="276" w:lineRule="auto"/>
        <w:shd w:fill="F5F7FA"/>
      </w:pPr>
      <w:r>
        <w:rPr>
          <w:b/>
          <w:color w:val="1F4D78"/>
        </w:rPr>
        <w:t>Normative Anforderung</w:t>
        <w:br/>
      </w:r>
      <w:r>
        <w:t>KI-Systeme, Modelle, Schnittstellen, RAG-Bestände, agentische Werkzeuge, Anbieterabhängigkeiten und genehmigte Anwendungsfälle MÜSSEN in einem verantworteten Inventar geführt werden. Für jeden Eintrag MÜSSEN fachliche, technische, informationssicherheits- und datenschutzbezogene Rollen benannt sein.</w:t>
      </w:r>
    </w:p>
    <w:p>
      <w:pPr>
        <w:widowControl/>
        <w:spacing w:after="140" w:before="0" w:line="276" w:lineRule="auto"/>
      </w:pPr>
      <w:r>
        <w:rPr>
          <w:b/>
          <w:color w:val="1F4D78"/>
        </w:rPr>
        <w:t>Begründung</w:t>
        <w:br/>
      </w:r>
      <w:r>
        <w:t>Nicht erfasste Modelle oder Integrationen entziehen sich Risiko-, Änderungs- und Außerbetriebnahmesteuerung.</w:t>
      </w:r>
    </w:p>
    <w:p>
      <w:pPr>
        <w:widowControl/>
        <w:spacing w:after="140" w:before="0" w:line="276" w:lineRule="auto"/>
      </w:pPr>
      <w:r>
        <w:rPr>
          <w:b/>
          <w:color w:val="1F4D78"/>
        </w:rPr>
        <w:t>Umsetzung in der Referenzarchitektur</w:t>
        <w:br/>
      </w:r>
      <w:r>
        <w:t>Das Inventar enthält Version, Herkunft, Einsatzzweck, Datenarten, Schutzbedarf, Eigentümer, Freigabestatus, Abhängigkeiten und Ablauf der nächsten Überprüfung.</w:t>
      </w:r>
    </w:p>
    <w:p>
      <w:pPr>
        <w:widowControl/>
        <w:spacing w:after="140" w:before="0" w:line="276" w:lineRule="auto"/>
      </w:pPr>
      <w:r>
        <w:rPr>
          <w:b/>
          <w:color w:val="1F4D78"/>
        </w:rPr>
        <w:t>Prüfziel</w:t>
        <w:br/>
      </w:r>
      <w:r>
        <w:t>Stichprobenartig prüfen, ob bereitgestellte Komponenten und genehmigte Nutzungen vollständig im Inventar abgebildet und Verantwortliche handlungsfähig sind.</w:t>
      </w:r>
    </w:p>
    <w:p>
      <w:pPr>
        <w:widowControl/>
        <w:spacing w:after="140" w:before="0" w:line="276" w:lineRule="auto"/>
      </w:pPr>
      <w:r>
        <w:rPr>
          <w:b/>
          <w:color w:val="1F4D78"/>
        </w:rPr>
        <w:t>Erwartete Nachweise</w:t>
        <w:br/>
      </w:r>
      <w:r>
        <w:t>KI-Inventar; Rollenmatrix; Komponentenabgleich; Reviewprotokolle; Freigabestatus.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Beschaffung; Betrieb; Außerbetriebnahme; Leitung; KI-Verantwortliche; Systemverantwortliche;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ORP.1, OPS.1.1.2; ISO: ISO/IEC 42001:2023 A.3, ISO/IEC 27001:2022 5.3</w:t>
            </w:r>
          </w:p>
        </w:tc>
      </w:tr>
    </w:tbl>
    <w:p>
      <w:pPr>
        <w:widowControl/>
        <w:spacing w:after="200" w:before="120" w:line="276" w:lineRule="auto"/>
        <w:suppressAutoHyphens w:val="true"/>
        <w:pBdr>
          <w:bottom w:val="single" w:sz="8" w:space="6" w:color="2E74B5"/>
        </w:pBdr>
      </w:pPr>
      <w:r>
        <w:rPr>
          <w:b/>
          <w:color w:val="1F4D78"/>
        </w:rPr>
        <w:t>Quellen</w:t>
        <w:br/>
      </w:r>
      <w:r>
        <w:t>[Q-BSI-001] S. 8–10; [Q-BMVG-001] S. 24–28; [Q-EU-001] Art. 9 und 26</w:t>
      </w:r>
      <w:r>
        <w:rPr>
          <w:rStyle w:val="FootnoteReference"/>
        </w:rPr>
        <w:footnoteReference w:id="3"/>
      </w:r>
    </w:p>
    <w:p>
      <w:pPr>
        <w:pStyle w:val="Heading3"/>
        <w:keepNext/>
      </w:pPr>
      <w:r>
        <w:t>KI-GOV-002 – Genehmigte Nutzung und KI-Kompetenz</w:t>
      </w:r>
    </w:p>
    <w:p>
      <w:pPr>
        <w:keepLines/>
        <w:widowControl/>
        <w:spacing w:after="140" w:before="0" w:line="276" w:lineRule="auto"/>
        <w:shd w:fill="F5F7FA"/>
      </w:pPr>
      <w:r>
        <w:rPr>
          <w:b/>
          <w:color w:val="1F4D78"/>
        </w:rPr>
        <w:t>Normative Anforderung</w:t>
        <w:br/>
      </w:r>
      <w:r>
        <w:t>Für jeden Anwendungsfall MÜSSEN Zweck, zulässige Daten, freigegebene Modelle und Werkzeuge, verbotene Handlungen, menschliche Kontrollpflichten und Unterstützungswege festgelegt werden. Nutzende MÜSSEN vor Freischaltung und anschließend risikoorientiert qualifiziert werden.</w:t>
      </w:r>
    </w:p>
    <w:p>
      <w:pPr>
        <w:widowControl/>
        <w:spacing w:after="140" w:before="0" w:line="276" w:lineRule="auto"/>
      </w:pPr>
      <w:r>
        <w:rPr>
          <w:b/>
          <w:color w:val="1F4D78"/>
        </w:rPr>
        <w:t>Begründung</w:t>
        <w:br/>
      </w:r>
      <w:r>
        <w:t>Generative KI kann überzeugend fehlerhafte Ausgaben liefern und Sicherheitsgrenzen über Eingaben oder Werkzeuge umgehen. Wirksame Regeln benötigen anwendungsbezogene Kompetenz.</w:t>
      </w:r>
    </w:p>
    <w:p>
      <w:pPr>
        <w:widowControl/>
        <w:spacing w:after="140" w:before="0" w:line="276" w:lineRule="auto"/>
      </w:pPr>
      <w:r>
        <w:rPr>
          <w:b/>
          <w:color w:val="1F4D78"/>
        </w:rPr>
        <w:t>Umsetzung in der Referenzarchitektur</w:t>
        <w:br/>
      </w:r>
      <w:r>
        <w:t>Nutzungsbedingungen werden am Zugang sichtbar bereitgestellt. Rollenbezogene Schulungen behandeln Datenklassifikation, Prompt Injection, Ergebnisprüfung, Kennzeichnung, Meldewege und Grenzen agentischer Aktionen.</w:t>
      </w:r>
    </w:p>
    <w:p>
      <w:pPr>
        <w:widowControl/>
        <w:spacing w:after="140" w:before="0" w:line="276" w:lineRule="auto"/>
      </w:pPr>
      <w:r>
        <w:rPr>
          <w:b/>
          <w:color w:val="1F4D78"/>
        </w:rPr>
        <w:t>Prüfziel</w:t>
        <w:br/>
      </w:r>
      <w:r>
        <w:t>Prüfen, ob nur genehmigte Anwendungsfälle aktiviert sind und Nutzende die maßgeblichen Grenzen nachweislich verstehen.</w:t>
      </w:r>
    </w:p>
    <w:p>
      <w:pPr>
        <w:widowControl/>
        <w:spacing w:after="140" w:before="0" w:line="276" w:lineRule="auto"/>
      </w:pPr>
      <w:r>
        <w:rPr>
          <w:b/>
          <w:color w:val="1F4D78"/>
        </w:rPr>
        <w:t>Erwartete Nachweise</w:t>
        <w:br/>
      </w:r>
      <w:r>
        <w:t>Nutzungsbedingungen; Schulungsplan; Teilnahme- und Wirksamkeitsnachweise; technische Freigabelisten; Stichproben aus Rollenvergaben.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KI-Verantwortliche; Fachverantwortliche; Personalentwicklung;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ORP.3, ORP.4; ISO: ISO/IEC 42001:2023 A.6, ISO/IEC 27002:2022 6.3</w:t>
            </w:r>
          </w:p>
        </w:tc>
      </w:tr>
    </w:tbl>
    <w:p>
      <w:pPr>
        <w:widowControl/>
        <w:spacing w:after="200" w:before="120" w:line="276" w:lineRule="auto"/>
        <w:suppressAutoHyphens w:val="true"/>
        <w:pBdr>
          <w:bottom w:val="single" w:sz="8" w:space="6" w:color="2E74B5"/>
        </w:pBdr>
      </w:pPr>
      <w:r>
        <w:rPr>
          <w:b/>
          <w:color w:val="1F4D78"/>
        </w:rPr>
        <w:t>Quellen</w:t>
        <w:br/>
      </w:r>
      <w:r>
        <w:t>[Q-BSI-001] S. 8–10 und S. 13; [Q-BMI-001] S. 29–30; [Q-EU-001] Art. 4</w:t>
      </w:r>
      <w:r>
        <w:rPr>
          <w:rStyle w:val="FootnoteReference"/>
        </w:rPr>
        <w:footnoteReference w:id="4"/>
      </w:r>
    </w:p>
    <w:p>
      <w:pPr>
        <w:pStyle w:val="Heading3"/>
        <w:keepNext/>
      </w:pPr>
      <w:r>
        <w:t>KI-GOV-003 – Lebenszyklus-Risikosteuerung, Ausnahmen und Reviews</w:t>
      </w:r>
    </w:p>
    <w:p>
      <w:pPr>
        <w:keepLines/>
        <w:widowControl/>
        <w:spacing w:after="140" w:before="0" w:line="276" w:lineRule="auto"/>
        <w:shd w:fill="F5F7FA"/>
      </w:pPr>
      <w:r>
        <w:rPr>
          <w:b/>
          <w:color w:val="1F4D78"/>
        </w:rPr>
        <w:t>Normative Anforderung</w:t>
        <w:br/>
      </w:r>
      <w:r>
        <w:t>KI-spezifische Risiken MÜSSEN vor Erstnutzung, regelmäßig mindestens jährlich und anlassbezogen nach Modell-, Daten-, Tool-, Schnittstellen- oder Architekturänderungen bewertet werden. Ausnahmen und Restrisiken MÜSSEN befristet, verantwortet und ausdrücklich akzeptiert werden.</w:t>
      </w:r>
    </w:p>
    <w:p>
      <w:pPr>
        <w:widowControl/>
        <w:spacing w:after="140" w:before="0" w:line="276" w:lineRule="auto"/>
      </w:pPr>
      <w:r>
        <w:rPr>
          <w:b/>
          <w:color w:val="1F4D78"/>
        </w:rPr>
        <w:t>Begründung</w:t>
        <w:br/>
      </w:r>
      <w:r>
        <w:t>Modelle und Wissensbestände ändern Verhalten, Bedrohungsfläche und Ergebnisqualität auch ohne klassische Softwareänderung.</w:t>
      </w:r>
    </w:p>
    <w:p>
      <w:pPr>
        <w:widowControl/>
        <w:spacing w:after="140" w:before="0" w:line="276" w:lineRule="auto"/>
      </w:pPr>
      <w:r>
        <w:rPr>
          <w:b/>
          <w:color w:val="1F4D78"/>
        </w:rPr>
        <w:t>Umsetzung in der Referenzarchitektur</w:t>
        <w:br/>
      </w:r>
      <w:r>
        <w:t>Ein Risikozyklus verbindet Inventar, Bedrohungsmodell, Tests, Freigaben, Betriebsbeobachtung, Vorfälle und Außerbetriebnahme. Ereignisauslöser werden technisch oder organisatorisch überwacht.</w:t>
      </w:r>
    </w:p>
    <w:p>
      <w:pPr>
        <w:widowControl/>
        <w:spacing w:after="140" w:before="0" w:line="276" w:lineRule="auto"/>
      </w:pPr>
      <w:r>
        <w:rPr>
          <w:b/>
          <w:color w:val="1F4D78"/>
        </w:rPr>
        <w:t>Prüfziel</w:t>
        <w:br/>
      </w:r>
      <w:r>
        <w:t>Prüfen, ob aktuelle Risikobewertungen alle wesentlichen Änderungen und Ausnahmen abdecken und Akzeptanzen befugt sowie befristet sind.</w:t>
      </w:r>
    </w:p>
    <w:p>
      <w:pPr>
        <w:widowControl/>
        <w:spacing w:after="140" w:before="0" w:line="276" w:lineRule="auto"/>
      </w:pPr>
      <w:r>
        <w:rPr>
          <w:b/>
          <w:color w:val="1F4D78"/>
        </w:rPr>
        <w:t>Erwartete Nachweise</w:t>
        <w:br/>
      </w:r>
      <w:r>
        <w:t>Risikoregister; Änderungsereignisse; Reviewkalender; Ausnahmegenehmigungen; Restrisikoakzeptanzen; Maßnahmenverfolgung.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Risikoverantwortliche; KI-Verantwortliche; Informationssicherheitsbeauftragte; Leitung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OPS.1.1.3; ISO: ISO/IEC 27001:2022 6.1, ISO/IEC 42001:2023 6.1, ISO/IEC 23894:2023</w:t>
            </w:r>
          </w:p>
        </w:tc>
      </w:tr>
    </w:tbl>
    <w:p>
      <w:pPr>
        <w:widowControl/>
        <w:spacing w:after="200" w:before="120" w:line="276" w:lineRule="auto"/>
        <w:suppressAutoHyphens w:val="true"/>
        <w:pBdr>
          <w:bottom w:val="single" w:sz="8" w:space="6" w:color="2E74B5"/>
        </w:pBdr>
      </w:pPr>
      <w:r>
        <w:rPr>
          <w:b/>
          <w:color w:val="1F4D78"/>
        </w:rPr>
        <w:t>Quellen</w:t>
        <w:br/>
      </w:r>
      <w:r>
        <w:t>[Q-BSI-001] S. 8, 10 und 12; [Q-BMVG-001] S. 24–25 und S. 45–47; [Q-NIST-001] Govern-, Map-, Measure- und Manage-Aktionen</w:t>
      </w:r>
      <w:r>
        <w:rPr>
          <w:rStyle w:val="FootnoteReference"/>
        </w:rPr>
        <w:footnoteReference w:id="5"/>
      </w:r>
    </w:p>
    <w:p>
      <w:pPr>
        <w:pStyle w:val="Heading2"/>
        <w:keepNext/>
      </w:pPr>
      <w:r>
        <w:t>9.3 Recht, Datenschutz, Mitbestimmung, Schutzbedarf und Geheimschutzgates</w:t>
      </w:r>
    </w:p>
    <w:p>
      <w:pPr>
        <w:pStyle w:val="Heading3"/>
        <w:keepNext/>
      </w:pPr>
      <w:r>
        <w:t>KI-REC-001 – Rechts- und Datenschutzprüfung je Anwendungsfall</w:t>
      </w:r>
    </w:p>
    <w:p>
      <w:pPr>
        <w:keepLines/>
        <w:widowControl/>
        <w:spacing w:after="140" w:before="0" w:line="276" w:lineRule="auto"/>
        <w:shd w:fill="F5F7FA"/>
      </w:pPr>
      <w:r>
        <w:rPr>
          <w:b/>
          <w:color w:val="1F4D78"/>
        </w:rPr>
        <w:t>Normative Anforderung</w:t>
        <w:br/>
      </w:r>
      <w:r>
        <w:t>Vor Freigabe eines Anwendungsfalls MÜSSEN anwendbare Rechtsgrundlagen, Rollen, Zweckbindung, Datenminimierung, Transparenz, Betroffenenrechte, Löschung, erforderliche Datenschutz-Folgenabschätzung und Beteiligungsrechte dokumentiert und durch zuständige Stellen geprüft werden.</w:t>
      </w:r>
    </w:p>
    <w:p>
      <w:pPr>
        <w:widowControl/>
        <w:spacing w:after="140" w:before="0" w:line="276" w:lineRule="auto"/>
      </w:pPr>
      <w:r>
        <w:rPr>
          <w:b/>
          <w:color w:val="1F4D78"/>
        </w:rPr>
        <w:t>Begründung</w:t>
        <w:br/>
      </w:r>
      <w:r>
        <w:t>Die rechtliche Bewertung hängt von Zweck, Daten, Rolle und Wirkung des konkreten Einsatzes ab und kann nicht aus der lokalen Betriebsform allein abgeleitet werden.</w:t>
      </w:r>
    </w:p>
    <w:p>
      <w:pPr>
        <w:widowControl/>
        <w:spacing w:after="140" w:before="0" w:line="276" w:lineRule="auto"/>
      </w:pPr>
      <w:r>
        <w:rPr>
          <w:b/>
          <w:color w:val="1F4D78"/>
        </w:rPr>
        <w:t>Umsetzung in der Referenzarchitektur</w:t>
        <w:br/>
      </w:r>
      <w:r>
        <w:t>Eine Anwendbarkeitsmatrix führt KI-Verordnung, Datenschutzrecht, Informationssicherheitsrecht, Mitbestimmung und fachgesetzliche Anforderungen zusammen. Ergebnisse werden als Freigabebedingungen technisch umgesetzt.</w:t>
      </w:r>
    </w:p>
    <w:p>
      <w:pPr>
        <w:widowControl/>
        <w:spacing w:after="140" w:before="0" w:line="276" w:lineRule="auto"/>
      </w:pPr>
      <w:r>
        <w:rPr>
          <w:b/>
          <w:color w:val="1F4D78"/>
        </w:rPr>
        <w:t>Prüfziel</w:t>
        <w:br/>
      </w:r>
      <w:r>
        <w:t>Feststellen, ob jeder freigegebene Anwendungsfall eine aktuelle, nachvollziehbare und von zuständigen Rollen bestätigte Prüfung besitzt.</w:t>
      </w:r>
    </w:p>
    <w:p>
      <w:pPr>
        <w:widowControl/>
        <w:spacing w:after="140" w:before="0" w:line="276" w:lineRule="auto"/>
      </w:pPr>
      <w:r>
        <w:rPr>
          <w:b/>
          <w:color w:val="1F4D78"/>
        </w:rPr>
        <w:t>Erwartete Nachweise</w:t>
        <w:br/>
      </w:r>
      <w:r>
        <w:t>Rechts- und Datenschutzmatrix; Verzeichnis von Verarbeitungstätigkeiten; Datenschutz-Folgenabschätzung oder dokumentierte Nicht-Erforderlichkeit; Beteiligungs- und Freigabenachweise.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Freigabe; Änderung; Rechtsstelle; Datenschutzbeauftragte; Personalvertretung; Fachverantwortliche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ORP.5, CON.2; ISO: ISO/IEC 42001:2023 4.2, ISO/IEC 27001:2022 4.2</w:t>
            </w:r>
          </w:p>
        </w:tc>
      </w:tr>
    </w:tbl>
    <w:p>
      <w:pPr>
        <w:widowControl/>
        <w:spacing w:after="200" w:before="120" w:line="276" w:lineRule="auto"/>
        <w:suppressAutoHyphens w:val="true"/>
        <w:pBdr>
          <w:bottom w:val="single" w:sz="8" w:space="6" w:color="2E74B5"/>
        </w:pBdr>
      </w:pPr>
      <w:r>
        <w:rPr>
          <w:b/>
          <w:color w:val="1F4D78"/>
        </w:rPr>
        <w:t>Quellen</w:t>
        <w:br/>
      </w:r>
      <w:r>
        <w:t>[Q-EU-001] Art. 2–4, 26–27; [Q-BFDI-001] Kap. 1–7; [Q-DSK-001] Auswahl bis Beendigung</w:t>
      </w:r>
      <w:r>
        <w:rPr>
          <w:rStyle w:val="FootnoteReference"/>
        </w:rPr>
        <w:footnoteReference w:id="6"/>
      </w:r>
    </w:p>
    <w:p>
      <w:pPr>
        <w:pStyle w:val="Heading3"/>
        <w:keepNext/>
      </w:pPr>
      <w:r>
        <w:t>KI-REC-002 – Schutzbedarf und Geheimschutzgate</w:t>
      </w:r>
    </w:p>
    <w:p>
      <w:pPr>
        <w:keepLines/>
        <w:widowControl/>
        <w:spacing w:after="140" w:before="0" w:line="276" w:lineRule="auto"/>
        <w:shd w:fill="F5F7FA"/>
      </w:pPr>
      <w:r>
        <w:rPr>
          <w:b/>
          <w:color w:val="1F4D78"/>
        </w:rPr>
        <w:t>Normative Anforderung</w:t>
        <w:br/>
      </w:r>
      <w:r>
        <w:t>Daten, Prompts, Ausgaben, Embeddings, Indizes, Protokolle und Modelle MÜSSEN einem Schutzbedarf zugeordnet werden. Für Verschlusssachen oder andere besonders geschützte Inhalte MUSS vor jeder Verarbeitung eine ausdrückliche organisationsspezifische Zulässigkeits- und Systemfreigabe vorliegen; die öffentliche Referenz erteilt keine solche Freigabe.</w:t>
      </w:r>
    </w:p>
    <w:p>
      <w:pPr>
        <w:widowControl/>
        <w:spacing w:after="140" w:before="0" w:line="276" w:lineRule="auto"/>
      </w:pPr>
      <w:r>
        <w:rPr>
          <w:b/>
          <w:color w:val="1F4D78"/>
        </w:rPr>
        <w:t>Begründung</w:t>
        <w:br/>
      </w:r>
      <w:r>
        <w:t>Abgeleitete Repräsentationen können schutzbedürftige Inhalte bewahren oder rekonstruierbar machen. Ein generischer KI-Zugang darf keine Geheimschutzentscheidung treffen.</w:t>
      </w:r>
    </w:p>
    <w:p>
      <w:pPr>
        <w:widowControl/>
        <w:spacing w:after="140" w:before="0" w:line="276" w:lineRule="auto"/>
      </w:pPr>
      <w:r>
        <w:rPr>
          <w:b/>
          <w:color w:val="1F4D78"/>
        </w:rPr>
        <w:t>Umsetzung in der Referenzarchitektur</w:t>
        <w:br/>
      </w:r>
      <w:r>
        <w:t>Schutzbedarf und zulässige Verarbeitung werden als technische Richtlinien am Gateway, im RAG-Index, in Uploadregeln und in Toolberechtigungen durchgesetzt. Nicht eindeutig zulässige Inhalte werden abgewiesen.</w:t>
      </w:r>
    </w:p>
    <w:p>
      <w:pPr>
        <w:widowControl/>
        <w:spacing w:after="140" w:before="0" w:line="276" w:lineRule="auto"/>
      </w:pPr>
      <w:r>
        <w:rPr>
          <w:b/>
          <w:color w:val="1F4D78"/>
        </w:rPr>
        <w:t>Prüfziel</w:t>
        <w:br/>
      </w:r>
      <w:r>
        <w:t>Prüfen, ob alle Datenformen erfasst sind und besonders geschützte Inhalte ohne dokumentierte Freigabe zuverlässig blockiert werden.</w:t>
      </w:r>
    </w:p>
    <w:p>
      <w:pPr>
        <w:widowControl/>
        <w:spacing w:after="140" w:before="0" w:line="276" w:lineRule="auto"/>
      </w:pPr>
      <w:r>
        <w:rPr>
          <w:b/>
          <w:color w:val="1F4D78"/>
        </w:rPr>
        <w:t>Erwartete Nachweise</w:t>
        <w:br/>
      </w:r>
      <w:r>
        <w:t>Schutzbedarfsfeststellung; Datenfluss- und Klassifikationsmatrix; Freigaben; technische Richtlinien; negative Verarbeitungstests.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Nutzung; Änderung; Informationssicherheitsbeauftragte; Geheimschutzbeauftragte; Datenschutzbeauftragte; Datenverantwortliche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CON.10, ORP.4; ISO: ISO/IEC 27002:2022 5.12, ISO/IEC 27002:2022 5.13</w:t>
            </w:r>
          </w:p>
        </w:tc>
      </w:tr>
    </w:tbl>
    <w:p>
      <w:pPr>
        <w:widowControl/>
        <w:spacing w:after="200" w:before="120" w:line="276" w:lineRule="auto"/>
        <w:suppressAutoHyphens w:val="true"/>
        <w:pBdr>
          <w:bottom w:val="single" w:sz="8" w:space="6" w:color="2E74B5"/>
        </w:pBdr>
      </w:pPr>
      <w:r>
        <w:rPr>
          <w:b/>
          <w:color w:val="1F4D78"/>
        </w:rPr>
        <w:t>Quellen</w:t>
        <w:br/>
      </w:r>
      <w:r>
        <w:t>[Q-BMI-001] S. 25–27; [Q-SUEG-001] § 4; [Q-VSA-001] Einstufungs- und Handhabungsregeln; [Q-DSK-003] Kap. 2–5</w:t>
      </w:r>
      <w:r>
        <w:rPr>
          <w:rStyle w:val="FootnoteReference"/>
        </w:rPr>
        <w:footnoteReference w:id="7"/>
      </w:r>
    </w:p>
    <w:p>
      <w:pPr>
        <w:pStyle w:val="Heading2"/>
        <w:keepNext/>
      </w:pPr>
      <w:r>
        <w:t>9.4 Lokale Referenzarchitektur und Vertrauensgrenzen</w:t>
      </w:r>
    </w:p>
    <w:p>
      <w:pPr>
        <w:pStyle w:val="Heading3"/>
        <w:keepNext/>
      </w:pPr>
      <w:r>
        <w:t>KI-ARC-001 – Explizite Zonen und einziger kontrollierter KI-Zugang</w:t>
      </w:r>
    </w:p>
    <w:p>
      <w:pPr>
        <w:keepLines/>
        <w:widowControl/>
        <w:spacing w:after="140" w:before="0" w:line="276" w:lineRule="auto"/>
        <w:shd w:fill="F5F7FA"/>
      </w:pPr>
      <w:r>
        <w:rPr>
          <w:b/>
          <w:color w:val="1F4D78"/>
        </w:rPr>
        <w:t>Normative Anforderung</w:t>
        <w:br/>
      </w:r>
      <w:r>
        <w:t>Clientzone, kontrollierter KI-Zugang, KI-Serverzone, Importweg sowie Betriebs- und Nachweisbereich MÜSSEN als Vertrauenszonen beschrieben und technisch getrennt werden. Aus dem Clientnetz DARF nur der kontrollierte HTTPS-Zugang erreichbar sein.</w:t>
      </w:r>
    </w:p>
    <w:p>
      <w:pPr>
        <w:widowControl/>
        <w:spacing w:after="140" w:before="0" w:line="276" w:lineRule="auto"/>
      </w:pPr>
      <w:r>
        <w:rPr>
          <w:b/>
          <w:color w:val="1F4D78"/>
        </w:rPr>
        <w:t>Begründung</w:t>
        <w:br/>
      </w:r>
      <w:r>
        <w:t>Direkte Rohschnittstellen umgehen zentrale Identitäts-, Richtlinien-, Protokollierungs- und Begrenzungsentscheidungen.</w:t>
      </w:r>
    </w:p>
    <w:p>
      <w:pPr>
        <w:widowControl/>
        <w:spacing w:after="140" w:before="0" w:line="276" w:lineRule="auto"/>
      </w:pPr>
      <w:r>
        <w:rPr>
          <w:b/>
          <w:color w:val="1F4D78"/>
        </w:rPr>
        <w:t>Umsetzung in der Referenzarchitektur</w:t>
        <w:br/>
      </w:r>
      <w:r>
        <w:t>Firewall-, Routing-, Proxy- und Dienstkonfigurationen veröffentlichen nur den Gateway-Endpunkt. Interne Inferenz-, Verwaltungs-, Metrik-, Debug-, Cluster- und Cache-Ports werden nicht in das normale Netz gebunden.</w:t>
      </w:r>
    </w:p>
    <w:p>
      <w:pPr>
        <w:widowControl/>
        <w:spacing w:after="140" w:before="0" w:line="276" w:lineRule="auto"/>
      </w:pPr>
      <w:r>
        <w:rPr>
          <w:b/>
          <w:color w:val="1F4D78"/>
        </w:rPr>
        <w:t>Prüfziel</w:t>
        <w:br/>
      </w:r>
      <w:r>
        <w:t>Durch Netz- und Porttests nachweisen, dass erlaubte Flüsse funktionieren und sämtliche internen Schnittstellen aus Client- und Fernzugriffsnetzen unerreichbar sind.</w:t>
      </w:r>
    </w:p>
    <w:p>
      <w:pPr>
        <w:widowControl/>
        <w:spacing w:after="140" w:before="0" w:line="276" w:lineRule="auto"/>
      </w:pPr>
      <w:r>
        <w:rPr>
          <w:b/>
          <w:color w:val="1F4D78"/>
        </w:rPr>
        <w:t>Erwartete Nachweise</w:t>
        <w:br/>
      </w:r>
      <w:r>
        <w:t>Aktuelles Zonen- und Datenflussmodell; Firewall- und Proxyregeln; Portinventar; positive und negative Netztests; Konfigurationsauszüge.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Einführung; Betrieb; Netzverantwortliche; Systemverantwortliche;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NET.3.2; ISO: ISO/IEC 27002:2022 8.20, ISO/IEC 27002:2022 8.22</w:t>
            </w:r>
          </w:p>
        </w:tc>
      </w:tr>
    </w:tbl>
    <w:p>
      <w:pPr>
        <w:widowControl/>
        <w:spacing w:after="200" w:before="120" w:line="276" w:lineRule="auto"/>
        <w:suppressAutoHyphens w:val="true"/>
        <w:pBdr>
          <w:bottom w:val="single" w:sz="8" w:space="6" w:color="2E74B5"/>
        </w:pBdr>
      </w:pPr>
      <w:r>
        <w:rPr>
          <w:b/>
          <w:color w:val="1F4D78"/>
        </w:rPr>
        <w:t>Quellen</w:t>
        <w:br/>
      </w:r>
      <w:r>
        <w:t>[Q-BSI-001] S. 11–12; [Q-BMVG-001] S. 23–26; [Q-ENISA-001] Multilayer framework</w:t>
      </w:r>
      <w:r>
        <w:rPr>
          <w:rStyle w:val="FootnoteReference"/>
        </w:rPr>
        <w:footnoteReference w:id="8"/>
      </w:r>
    </w:p>
    <w:p>
      <w:pPr>
        <w:pStyle w:val="Heading3"/>
        <w:keepNext/>
      </w:pPr>
      <w:r>
        <w:t>KI-ARC-002 – Vollständig lokale Datenhaltung und unterbundener Internet-Egress</w:t>
      </w:r>
    </w:p>
    <w:p>
      <w:pPr>
        <w:keepLines/>
        <w:widowControl/>
        <w:spacing w:after="140" w:before="0" w:line="276" w:lineRule="auto"/>
        <w:shd w:fill="F5F7FA"/>
      </w:pPr>
      <w:r>
        <w:rPr>
          <w:b/>
          <w:color w:val="1F4D78"/>
        </w:rPr>
        <w:t>Normative Anforderung</w:t>
        <w:br/>
      </w:r>
      <w:r>
        <w:t>Inferenz, Identitäten, Git, Ablagen, Registrierungen, Modelle, RAG-Daten, Embeddings, Chatverläufe, Protokolle, Telemetrie und Sicherungen MÜSSEN lokal betrieben werden. KI-Komponenten DÜRFEN im Standardbetrieb keinen Internet-Egress besitzen.</w:t>
      </w:r>
    </w:p>
    <w:p>
      <w:pPr>
        <w:widowControl/>
        <w:spacing w:after="140" w:before="0" w:line="276" w:lineRule="auto"/>
      </w:pPr>
      <w:r>
        <w:rPr>
          <w:b/>
          <w:color w:val="1F4D78"/>
        </w:rPr>
        <w:t>Begründung</w:t>
        <w:br/>
      </w:r>
      <w:r>
        <w:t>Unkontrollierter Egress ermöglicht Datenabfluss, Telemetrie, Lieferkettenzugriffe und unbeabsichtigte Cloud-Fallbacks außerhalb der festgelegten Systemgrenze.</w:t>
      </w:r>
    </w:p>
    <w:p>
      <w:pPr>
        <w:widowControl/>
        <w:spacing w:after="140" w:before="0" w:line="276" w:lineRule="auto"/>
      </w:pPr>
      <w:r>
        <w:rPr>
          <w:b/>
          <w:color w:val="1F4D78"/>
        </w:rPr>
        <w:t>Umsetzung in der Referenzarchitektur</w:t>
        <w:br/>
      </w:r>
      <w:r>
        <w:t>Egress wird technisch standardmäßig verweigert. Aktualisierungen und Artefakte passieren einen getrennten Import-, Malware-, Signatur-, Hash- und Freigabeprozess mit lokalen Spiegeln.</w:t>
      </w:r>
    </w:p>
    <w:p>
      <w:pPr>
        <w:widowControl/>
        <w:spacing w:after="140" w:before="0" w:line="276" w:lineRule="auto"/>
      </w:pPr>
      <w:r>
        <w:rPr>
          <w:b/>
          <w:color w:val="1F4D78"/>
        </w:rPr>
        <w:t>Prüfziel</w:t>
        <w:br/>
      </w:r>
      <w:r>
        <w:t>Prüfen, ob alle genannten Datenklassen lokale Speicherorte besitzen und unerlaubte externe Verbindungen technisch sowie durch Beobachtung ausgeschlossen sind.</w:t>
      </w:r>
    </w:p>
    <w:p>
      <w:pPr>
        <w:widowControl/>
        <w:spacing w:after="140" w:before="0" w:line="276" w:lineRule="auto"/>
      </w:pPr>
      <w:r>
        <w:rPr>
          <w:b/>
          <w:color w:val="1F4D78"/>
        </w:rPr>
        <w:t>Erwartete Nachweise</w:t>
        <w:br/>
      </w:r>
      <w:r>
        <w:t>Datenhaltungsregister; Egress-Regeln; DNS-/Proxyprotokolle; Telemetrieeinstellungen; Importnachweise; negative Verbindungstests.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Betrieb; Änderung; Netzverantwortliche;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OPS.1.1.10; ISO: ISO/IEC 27002:2022 5.14, ISO/IEC 27002:2022 8.20</w:t>
            </w:r>
          </w:p>
        </w:tc>
      </w:tr>
    </w:tbl>
    <w:p>
      <w:pPr>
        <w:widowControl/>
        <w:spacing w:after="200" w:before="120" w:line="276" w:lineRule="auto"/>
        <w:suppressAutoHyphens w:val="true"/>
        <w:pBdr>
          <w:bottom w:val="single" w:sz="8" w:space="6" w:color="2E74B5"/>
        </w:pBdr>
      </w:pPr>
      <w:r>
        <w:rPr>
          <w:b/>
          <w:color w:val="1F4D78"/>
        </w:rPr>
        <w:t>Quellen</w:t>
        <w:br/>
      </w:r>
      <w:r>
        <w:t>[Q-BSI-001] S. 9–12; [Q-BMI-001] S. 25–28; [Q-NCSC-001] Secure deployment und operation</w:t>
      </w:r>
      <w:r>
        <w:rPr>
          <w:rStyle w:val="FootnoteReference"/>
        </w:rPr>
        <w:footnoteReference w:id="9"/>
      </w:r>
    </w:p>
    <w:p>
      <w:pPr>
        <w:pStyle w:val="Heading2"/>
        <w:keepNext/>
      </w:pPr>
      <w:r>
        <w:t>9.5 Container-, Inferenz- und API-Sicherheit</w:t>
      </w:r>
    </w:p>
    <w:p>
      <w:pPr>
        <w:pStyle w:val="Heading3"/>
        <w:keepNext/>
      </w:pPr>
      <w:r>
        <w:t>KI-CON-001 – Standardmäßig verweigerte Containerkommunikation</w:t>
      </w:r>
    </w:p>
    <w:p>
      <w:pPr>
        <w:keepLines/>
        <w:widowControl/>
        <w:spacing w:after="140" w:before="0" w:line="276" w:lineRule="auto"/>
        <w:shd w:fill="F5F7FA"/>
      </w:pPr>
      <w:r>
        <w:rPr>
          <w:b/>
          <w:color w:val="1F4D78"/>
        </w:rPr>
        <w:t>Normative Anforderung</w:t>
        <w:br/>
      </w:r>
      <w:r>
        <w:t>Container- und Pod-Kommunikation MUSS standardmäßig verweigert und für dokumentierte Dienstbeziehungen ausdrücklich erlaubt werden. Ein gemeinsames internes Netz DARF nicht als alleinige Sicherheitsgrenze bewertet werden.</w:t>
      </w:r>
    </w:p>
    <w:p>
      <w:pPr>
        <w:widowControl/>
        <w:spacing w:after="140" w:before="0" w:line="276" w:lineRule="auto"/>
      </w:pPr>
      <w:r>
        <w:rPr>
          <w:b/>
          <w:color w:val="1F4D78"/>
        </w:rPr>
        <w:t>Begründung</w:t>
        <w:br/>
      </w:r>
      <w:r>
        <w:t>Kompromittierte Parser, UIs oder Agentendienste könnten sich sonst lateral zu Inferenzdiensten, Datenbanken, Verwaltungs- oder Nachweisschnittstellen bewegen.</w:t>
      </w:r>
    </w:p>
    <w:p>
      <w:pPr>
        <w:widowControl/>
        <w:spacing w:after="140" w:before="0" w:line="276" w:lineRule="auto"/>
      </w:pPr>
      <w:r>
        <w:rPr>
          <w:b/>
          <w:color w:val="1F4D78"/>
        </w:rPr>
        <w:t>Umsetzung in der Referenzarchitektur</w:t>
        <w:br/>
      </w:r>
      <w:r>
        <w:t>Kubernetes NetworkPolicies oder funktional gleichwertige Docker-/Podman-Regeln begrenzen Ingress und Egress je Dienstidentität. Plattformgrenzen werden durch Host-Firewalls ergänzt.</w:t>
      </w:r>
    </w:p>
    <w:p>
      <w:pPr>
        <w:widowControl/>
        <w:spacing w:after="140" w:before="0" w:line="276" w:lineRule="auto"/>
      </w:pPr>
      <w:r>
        <w:rPr>
          <w:b/>
          <w:color w:val="1F4D78"/>
        </w:rPr>
        <w:t>Prüfziel</w:t>
        <w:br/>
      </w:r>
      <w:r>
        <w:t>Durch Soll-Ist-Abgleich und negative Verbindungstests nachweisen, dass ausschließlich modellierte Dienstbeziehungen möglich sind.</w:t>
      </w:r>
    </w:p>
    <w:p>
      <w:pPr>
        <w:widowControl/>
        <w:spacing w:after="140" w:before="0" w:line="276" w:lineRule="auto"/>
      </w:pPr>
      <w:r>
        <w:rPr>
          <w:b/>
          <w:color w:val="1F4D78"/>
        </w:rPr>
        <w:t>Erwartete Nachweise</w:t>
        <w:br/>
      </w:r>
      <w:r>
        <w:t>Kommunikationsmatrix; NetworkPolicies beziehungsweise gleichwertige Regeln; Host-Firewallregeln; automatisierte Netztests; Abweichungsliste.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Einführung; Betrieb; Plattformverantwortliche; Netzverantwortliche;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APP.3.4, SYS.1.6; ISO: ISO/IEC 27002:2022 8.20, ISO/IEC 27002:2022 8.22</w:t>
            </w:r>
          </w:p>
        </w:tc>
      </w:tr>
    </w:tbl>
    <w:p>
      <w:pPr>
        <w:widowControl/>
        <w:spacing w:after="200" w:before="120" w:line="276" w:lineRule="auto"/>
        <w:suppressAutoHyphens w:val="true"/>
        <w:pBdr>
          <w:bottom w:val="single" w:sz="8" w:space="6" w:color="2E74B5"/>
        </w:pBdr>
      </w:pPr>
      <w:r>
        <w:rPr>
          <w:b/>
          <w:color w:val="1F4D78"/>
        </w:rPr>
        <w:t>Quellen</w:t>
        <w:br/>
      </w:r>
      <w:r>
        <w:t>[Q-K8S-001] NetworkPolicySpec, ingress und egress; [Q-PODMAN-001] Network management; [Q-BSI-001] S. 11–12</w:t>
      </w:r>
      <w:r>
        <w:rPr>
          <w:rStyle w:val="FootnoteReference"/>
        </w:rPr>
        <w:footnoteReference w:id="10"/>
      </w:r>
    </w:p>
    <w:p>
      <w:pPr>
        <w:pStyle w:val="Heading3"/>
        <w:keepNext/>
      </w:pPr>
      <w:r>
        <w:t>KI-CON-002 – Minimale Containerprivilegien und unveränderbare Laufzeit</w:t>
      </w:r>
    </w:p>
    <w:p>
      <w:pPr>
        <w:keepLines/>
        <w:widowControl/>
        <w:spacing w:after="140" w:before="0" w:line="276" w:lineRule="auto"/>
        <w:shd w:fill="F5F7FA"/>
      </w:pPr>
      <w:r>
        <w:rPr>
          <w:b/>
          <w:color w:val="1F4D78"/>
        </w:rPr>
        <w:t>Normative Anforderung</w:t>
        <w:br/>
      </w:r>
      <w:r>
        <w:t>KI-Workloads MÜSSEN ohne unnötige Privilegien, ohne privilegierten Modus, mit minimalen Linux-Fähigkeiten und nach Möglichkeit rootless betrieben werden. Schreibgeschützte Dateisystemanteile und getrennte, eng begrenzte persistente Volumes MÜSSEN eingesetzt werden, soweit die Funktion dies zulässt.</w:t>
      </w:r>
    </w:p>
    <w:p>
      <w:pPr>
        <w:widowControl/>
        <w:spacing w:after="140" w:before="0" w:line="276" w:lineRule="auto"/>
      </w:pPr>
      <w:r>
        <w:rPr>
          <w:b/>
          <w:color w:val="1F4D78"/>
        </w:rPr>
        <w:t>Begründung</w:t>
        <w:br/>
      </w:r>
      <w:r>
        <w:t>Parser und KI-nahe Dienste verarbeiten potenziell feindliche Inhalte. Übermäßige Rechte erhöhen die Auswirkung einer Kompromittierung auf Host, Modelle und Daten.</w:t>
      </w:r>
    </w:p>
    <w:p>
      <w:pPr>
        <w:widowControl/>
        <w:spacing w:after="140" w:before="0" w:line="276" w:lineRule="auto"/>
      </w:pPr>
      <w:r>
        <w:rPr>
          <w:b/>
          <w:color w:val="1F4D78"/>
        </w:rPr>
        <w:t>Umsetzung in der Referenzarchitektur</w:t>
        <w:br/>
      </w:r>
      <w:r>
        <w:t>Sicherheitskontexte, Nutzerkennungen, Capability-Drops, Seccomp- beziehungsweise gleichwertige Profile, Mounts und Volumes werden als freigegebene Baseline geprüft und gegen Drift überwacht.</w:t>
      </w:r>
    </w:p>
    <w:p>
      <w:pPr>
        <w:widowControl/>
        <w:spacing w:after="140" w:before="0" w:line="276" w:lineRule="auto"/>
      </w:pPr>
      <w:r>
        <w:rPr>
          <w:b/>
          <w:color w:val="1F4D78"/>
        </w:rPr>
        <w:t>Prüfziel</w:t>
        <w:br/>
      </w:r>
      <w:r>
        <w:t>Prüfen, ob kein produktiver Workload unbegründete Host-, Geräte-, Kernel- oder Dateisystemrechte besitzt.</w:t>
      </w:r>
    </w:p>
    <w:p>
      <w:pPr>
        <w:widowControl/>
        <w:spacing w:after="140" w:before="0" w:line="276" w:lineRule="auto"/>
      </w:pPr>
      <w:r>
        <w:rPr>
          <w:b/>
          <w:color w:val="1F4D78"/>
        </w:rPr>
        <w:t>Erwartete Nachweise</w:t>
        <w:br/>
      </w:r>
      <w:r>
        <w:t>Freigegebene Laufzeitbaseline; Deployment-Manifeste; effektive Laufzeitkonfiguration; Abweichungsgenehmigungen; Driftberichte.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Plattformverantwortliche; Systemverantwortliche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SYS.1.6, OPS.1.1.2; ISO: ISO/IEC 27002:2022 8.9, ISO/IEC 27002:2022 8.27</w:t>
            </w:r>
          </w:p>
        </w:tc>
      </w:tr>
    </w:tbl>
    <w:p>
      <w:pPr>
        <w:widowControl/>
        <w:spacing w:after="200" w:before="120" w:line="276" w:lineRule="auto"/>
        <w:suppressAutoHyphens w:val="true"/>
        <w:pBdr>
          <w:bottom w:val="single" w:sz="8" w:space="6" w:color="2E74B5"/>
        </w:pBdr>
      </w:pPr>
      <w:r>
        <w:rPr>
          <w:b/>
          <w:color w:val="1F4D78"/>
        </w:rPr>
        <w:t>Quellen</w:t>
        <w:br/>
      </w:r>
      <w:r>
        <w:t>[Q-DOCKER-001] Rootless mode; [Q-NCSC-001] Secure deployment und operation; [Q-ENISA-001] Infrastruktur- und Komponentenebene</w:t>
      </w:r>
      <w:r>
        <w:rPr>
          <w:rStyle w:val="FootnoteReference"/>
        </w:rPr>
        <w:footnoteReference w:id="11"/>
      </w:r>
    </w:p>
    <w:p>
      <w:pPr>
        <w:pStyle w:val="Heading3"/>
        <w:keepNext/>
      </w:pPr>
      <w:r>
        <w:t>KI-API-001 – Zentrale Authentisierung und Autorisierung am KI-Zugang</w:t>
      </w:r>
    </w:p>
    <w:p>
      <w:pPr>
        <w:keepLines/>
        <w:widowControl/>
        <w:spacing w:after="140" w:before="0" w:line="276" w:lineRule="auto"/>
        <w:shd w:fill="F5F7FA"/>
      </w:pPr>
      <w:r>
        <w:rPr>
          <w:b/>
          <w:color w:val="1F4D78"/>
        </w:rPr>
        <w:t>Normative Anforderung</w:t>
        <w:br/>
      </w:r>
      <w:r>
        <w:t>Jeder Benutzer- und Dienstzugriff auf KI-Funktionen MUSS über HTTPS, eine lokale vertrauenswürdige Identität und serverseitig erzwungene Autorisierung erfolgen. Gemeinsame statische API-Schlüssel DÜRFEN nicht als reguläre Nutzeridentität dienen; Identitäten MÜSSEN einzeln widerrufbar und protokollierbar sein.</w:t>
      </w:r>
    </w:p>
    <w:p>
      <w:pPr>
        <w:widowControl/>
        <w:spacing w:after="140" w:before="0" w:line="276" w:lineRule="auto"/>
      </w:pPr>
      <w:r>
        <w:rPr>
          <w:b/>
          <w:color w:val="1F4D78"/>
        </w:rPr>
        <w:t>Begründung</w:t>
        <w:br/>
      </w:r>
      <w:r>
        <w:t>Einige lokale Inferenzschnittstellen besitzen keine eigene Authentisierung oder schützen mit einem API-Schlüssel nicht sämtliche sensiblen Endpunkte.</w:t>
      </w:r>
    </w:p>
    <w:p>
      <w:pPr>
        <w:widowControl/>
        <w:spacing w:after="140" w:before="0" w:line="276" w:lineRule="auto"/>
      </w:pPr>
      <w:r>
        <w:rPr>
          <w:b/>
          <w:color w:val="1F4D78"/>
        </w:rPr>
        <w:t>Umsetzung in der Referenzarchitektur</w:t>
        <w:br/>
      </w:r>
      <w:r>
        <w:t>Ein lokaler Reverse Proxy oder API-Gateway terminiert TLS, bindet den IdP über OIDC, SAML, LDAP oder gleichwertig an, setzt Rollen und Dienstkonten durch und blockiert direkte Backendzugriffe.</w:t>
      </w:r>
    </w:p>
    <w:p>
      <w:pPr>
        <w:widowControl/>
        <w:spacing w:after="140" w:before="0" w:line="276" w:lineRule="auto"/>
      </w:pPr>
      <w:r>
        <w:rPr>
          <w:b/>
          <w:color w:val="1F4D78"/>
        </w:rPr>
        <w:t>Prüfziel</w:t>
        <w:br/>
      </w:r>
      <w:r>
        <w:t>Mit positiven und negativen Identitäts-, Rollen-, Widerrufs- und Direktzugriffstests nachweisen, dass alle Pfade dieselben Regeln erzwingen.</w:t>
      </w:r>
    </w:p>
    <w:p>
      <w:pPr>
        <w:widowControl/>
        <w:spacing w:after="140" w:before="0" w:line="276" w:lineRule="auto"/>
      </w:pPr>
      <w:r>
        <w:rPr>
          <w:b/>
          <w:color w:val="1F4D78"/>
        </w:rPr>
        <w:t>Erwartete Nachweise</w:t>
        <w:br/>
      </w:r>
      <w:r>
        <w:t>Gateway- und IdP-Konfiguration; Zertifikatsnachweise; Rollenmatrix; Widerrufstest; Zugriffsprotokolle; direkte Backend-Blocktests.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Identitätsverantwortliche; Gateway-Verantwortliche; Plattformverantwortliche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CON.1; ISO: ISO/IEC 27002:2022 5.15, ISO/IEC 27002:2022 5.16, ISO/IEC 27002:2022 8.5</w:t>
            </w:r>
          </w:p>
        </w:tc>
      </w:tr>
    </w:tbl>
    <w:p>
      <w:pPr>
        <w:widowControl/>
        <w:spacing w:after="200" w:before="120" w:line="276" w:lineRule="auto"/>
        <w:suppressAutoHyphens w:val="true"/>
        <w:pBdr>
          <w:bottom w:val="single" w:sz="8" w:space="6" w:color="2E74B5"/>
        </w:pBdr>
      </w:pPr>
      <w:r>
        <w:rPr>
          <w:b/>
          <w:color w:val="1F4D78"/>
        </w:rPr>
        <w:t>Quellen</w:t>
        <w:br/>
      </w:r>
      <w:r>
        <w:t>[Q-OLLAMA-001] Local access; [Q-VLLM-001] Security und API server; [Q-OPENWEBUI-002] Authentication und API endpoints; [Q-BSI-001] S. 12</w:t>
      </w:r>
      <w:r>
        <w:rPr>
          <w:rStyle w:val="FootnoteReference"/>
        </w:rPr>
        <w:footnoteReference w:id="12"/>
      </w:r>
    </w:p>
    <w:p>
      <w:pPr>
        <w:pStyle w:val="Heading3"/>
        <w:keepNext/>
      </w:pPr>
      <w:r>
        <w:t>KI-API-002 – Serverseitige Modell-, Kontext-, Raten- und Toolgrenzen</w:t>
      </w:r>
    </w:p>
    <w:p>
      <w:pPr>
        <w:keepLines/>
        <w:widowControl/>
        <w:spacing w:after="140" w:before="0" w:line="276" w:lineRule="auto"/>
        <w:shd w:fill="F5F7FA"/>
      </w:pPr>
      <w:r>
        <w:rPr>
          <w:b/>
          <w:color w:val="1F4D78"/>
        </w:rPr>
        <w:t>Normative Anforderung</w:t>
        <w:br/>
      </w:r>
      <w:r>
        <w:t>Der kontrollierte KI-Zugang MUSS pro Rolle und Anwendungsfall freigegebene Modelle, maximale Kontext- und Ausgabegrößen, Raten- und Parallelitätsgrenzen sowie zulässige Tool-Fähigkeiten serverseitig erzwingen. Clientseitige Einstellungen allein sind unzureichend.</w:t>
      </w:r>
    </w:p>
    <w:p>
      <w:pPr>
        <w:widowControl/>
        <w:spacing w:after="140" w:before="0" w:line="276" w:lineRule="auto"/>
      </w:pPr>
      <w:r>
        <w:rPr>
          <w:b/>
          <w:color w:val="1F4D78"/>
        </w:rPr>
        <w:t>Begründung</w:t>
        <w:br/>
      </w:r>
      <w:r>
        <w:t>Manipulierte oder fehlerhaft konfigurierte Clients können sonst nicht freigegebene Modelle, übermäßige Ressourcen oder privilegierte Funktionen anfordern.</w:t>
      </w:r>
    </w:p>
    <w:p>
      <w:pPr>
        <w:widowControl/>
        <w:spacing w:after="140" w:before="0" w:line="276" w:lineRule="auto"/>
      </w:pPr>
      <w:r>
        <w:rPr>
          <w:b/>
          <w:color w:val="1F4D78"/>
        </w:rPr>
        <w:t>Umsetzung in der Referenzarchitektur</w:t>
        <w:br/>
      </w:r>
      <w:r>
        <w:t>Richtlinien werden zentral versioniert, getestet und protokolliert. Nicht bekannte Modelle, Parameter, Endpunkte und Fähigkeiten werden abgewiesen.</w:t>
      </w:r>
    </w:p>
    <w:p>
      <w:pPr>
        <w:widowControl/>
        <w:spacing w:after="140" w:before="0" w:line="276" w:lineRule="auto"/>
      </w:pPr>
      <w:r>
        <w:rPr>
          <w:b/>
          <w:color w:val="1F4D78"/>
        </w:rPr>
        <w:t>Prüfziel</w:t>
        <w:br/>
      </w:r>
      <w:r>
        <w:t>Versuchen, Grenzen über alternative Clients, manipulierte Parameter und direkte Endpunkte zu umgehen; jeder Versuch muss verhindert und nachvollziehbar protokolliert werden.</w:t>
      </w:r>
    </w:p>
    <w:p>
      <w:pPr>
        <w:widowControl/>
        <w:spacing w:after="140" w:before="0" w:line="276" w:lineRule="auto"/>
      </w:pPr>
      <w:r>
        <w:rPr>
          <w:b/>
          <w:color w:val="1F4D78"/>
        </w:rPr>
        <w:t>Erwartete Nachweise</w:t>
        <w:br/>
      </w:r>
      <w:r>
        <w:t>Gateway-Richtlinien; Modellfreigabeliste; Grenzwertkatalog; negative Umgehungstests; Ratenbegrenzungs- und Alarmnachweise.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Gateway-Verantwortliche; KI-Verantwortliche; Fachverantwortliche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DER.1; ISO: ISO/IEC 27002:2022 8.26, ISO/IEC 27002:2022 8.28</w:t>
            </w:r>
          </w:p>
        </w:tc>
      </w:tr>
    </w:tbl>
    <w:p>
      <w:pPr>
        <w:widowControl/>
        <w:spacing w:after="200" w:before="120" w:line="276" w:lineRule="auto"/>
        <w:suppressAutoHyphens w:val="true"/>
        <w:pBdr>
          <w:bottom w:val="single" w:sz="8" w:space="6" w:color="2E74B5"/>
        </w:pBdr>
      </w:pPr>
      <w:r>
        <w:rPr>
          <w:b/>
          <w:color w:val="1F4D78"/>
        </w:rPr>
        <w:t>Quellen</w:t>
        <w:br/>
      </w:r>
      <w:r>
        <w:t>[Q-BSI-001] S. 11–16; [Q-VLLM-001] Security und API server; [Q-OWASP-001] übermäßige Handlungsfreiheit und Ressourcenverbrauch</w:t>
      </w:r>
      <w:r>
        <w:rPr>
          <w:rStyle w:val="FootnoteReference"/>
        </w:rPr>
        <w:footnoteReference w:id="13"/>
      </w:r>
    </w:p>
    <w:p>
      <w:pPr>
        <w:pStyle w:val="Heading2"/>
        <w:keepNext/>
      </w:pPr>
      <w:r>
        <w:t>9.6 Modellbeschaffung, Provenienz, Integrität und Austausch</w:t>
      </w:r>
    </w:p>
    <w:p>
      <w:pPr>
        <w:pStyle w:val="Heading3"/>
        <w:keepNext/>
      </w:pPr>
      <w:r>
        <w:t>KI-MOD-001 – Kontrollierter Modellimport und Provenienz</w:t>
      </w:r>
    </w:p>
    <w:p>
      <w:pPr>
        <w:keepLines/>
        <w:widowControl/>
        <w:spacing w:after="140" w:before="0" w:line="276" w:lineRule="auto"/>
        <w:shd w:fill="F5F7FA"/>
      </w:pPr>
      <w:r>
        <w:rPr>
          <w:b/>
          <w:color w:val="1F4D78"/>
        </w:rPr>
        <w:t>Normative Anforderung</w:t>
        <w:br/>
      </w:r>
      <w:r>
        <w:t>Jedes Modell MUSS aus einer freigegebenen Quelle über einen kontrollierten Offline-Import übernommen werden. Herkunft, Lizenz, Modellkarte, Format, Version, kryptografischer Hash, verfügbare Signatur, Scannergebnisse und Freigabeentscheidung MÜSSEN dokumentiert werden; unsichere serialisierte Formate DÜRFEN nicht ungeprüft geladen werden.</w:t>
      </w:r>
    </w:p>
    <w:p>
      <w:pPr>
        <w:widowControl/>
        <w:spacing w:after="140" w:before="0" w:line="276" w:lineRule="auto"/>
      </w:pPr>
      <w:r>
        <w:rPr>
          <w:b/>
          <w:color w:val="1F4D78"/>
        </w:rPr>
        <w:t>Begründung</w:t>
        <w:br/>
      </w:r>
      <w:r>
        <w:t>Modelle sind ausführbare beziehungsweise interpretierte Lieferkettenartefakte. Manipulierte Gewichte oder Formate können Fehlverhalten, Schadcode oder Datenabfluss ermöglichen.</w:t>
      </w:r>
    </w:p>
    <w:p>
      <w:pPr>
        <w:widowControl/>
        <w:spacing w:after="140" w:before="0" w:line="276" w:lineRule="auto"/>
      </w:pPr>
      <w:r>
        <w:rPr>
          <w:b/>
          <w:color w:val="1F4D78"/>
        </w:rPr>
        <w:t>Umsetzung in der Referenzarchitektur</w:t>
        <w:br/>
      </w:r>
      <w:r>
        <w:t>Ein Vier-Augen-Importprozess lädt außerhalb der KI-Zone, prüft Hashes, Signaturen, Dateiformat, Malware und Herkunft und veröffentlicht nur freigegebene, unveränderbare Artefakte in einer lokalen Modellregistrierung.</w:t>
      </w:r>
    </w:p>
    <w:p>
      <w:pPr>
        <w:widowControl/>
        <w:spacing w:after="140" w:before="0" w:line="276" w:lineRule="auto"/>
      </w:pPr>
      <w:r>
        <w:rPr>
          <w:b/>
          <w:color w:val="1F4D78"/>
        </w:rPr>
        <w:t>Prüfziel</w:t>
        <w:br/>
      </w:r>
      <w:r>
        <w:t>Für jedes aktive Modell die vollständige Kette von öffentlicher Herkunft bis zum tatsächlich geladenen Hash nachvollziehen und manipulierte Testartefakte abweisen.</w:t>
      </w:r>
    </w:p>
    <w:p>
      <w:pPr>
        <w:widowControl/>
        <w:spacing w:after="140" w:before="0" w:line="276" w:lineRule="auto"/>
      </w:pPr>
      <w:r>
        <w:rPr>
          <w:b/>
          <w:color w:val="1F4D78"/>
        </w:rPr>
        <w:t>Erwartete Nachweise</w:t>
        <w:br/>
      </w:r>
      <w:r>
        <w:t>Modellakte; Hash- und Signaturnachweise; Lizenzprüfung; Importprotokoll; Scannergebnis; lokale Registrierungsdaten; negativer Manipulationstest.</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Beschaffung; Import; Freigabe; Modellverantwortliche; Informationssicherheitsbeauftragte; Beschaffung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OPS.1.1.10, OPS.1.1.6; ISO: ISO/IEC 27002:2022 5.21, ISO/IEC 27002:2022 8.19</w:t>
            </w:r>
          </w:p>
        </w:tc>
      </w:tr>
    </w:tbl>
    <w:p>
      <w:pPr>
        <w:widowControl/>
        <w:spacing w:after="200" w:before="120" w:line="276" w:lineRule="auto"/>
        <w:suppressAutoHyphens w:val="true"/>
        <w:pBdr>
          <w:bottom w:val="single" w:sz="8" w:space="6" w:color="2E74B5"/>
        </w:pBdr>
      </w:pPr>
      <w:r>
        <w:rPr>
          <w:b/>
          <w:color w:val="1F4D78"/>
        </w:rPr>
        <w:t>Quellen</w:t>
        <w:br/>
      </w:r>
      <w:r>
        <w:t>[Q-BSI-001] S. 9–10; [Q-NCSC-001] Secure development und deployment; [Q-OWASP-001] Lieferkettenrisiken</w:t>
      </w:r>
      <w:r>
        <w:rPr>
          <w:rStyle w:val="FootnoteReference"/>
        </w:rPr>
        <w:footnoteReference w:id="14"/>
      </w:r>
    </w:p>
    <w:p>
      <w:pPr>
        <w:pStyle w:val="Heading3"/>
        <w:keepNext/>
      </w:pPr>
      <w:r>
        <w:t>KI-MOD-002 – Versionierte Modellfreigabe und Rückrollbarkeit</w:t>
      </w:r>
    </w:p>
    <w:p>
      <w:pPr>
        <w:keepLines/>
        <w:widowControl/>
        <w:spacing w:after="140" w:before="0" w:line="276" w:lineRule="auto"/>
        <w:shd w:fill="F5F7FA"/>
      </w:pPr>
      <w:r>
        <w:rPr>
          <w:b/>
          <w:color w:val="1F4D78"/>
        </w:rPr>
        <w:t>Normative Anforderung</w:t>
        <w:br/>
      </w:r>
      <w:r>
        <w:t>Modellfreigaben MÜSSEN einen unveränderbaren Modellhash, Laufzeitversion, Quantisierung, Systemanweisungen, Sicherheitsparameter, Evaluationsstand und genehmigte Anwendungsfälle binden. Austausch, Rücknahme und Rollback MÜSSEN ohne Veränderung von Fachwissen im Modell möglich und erprobt sein.</w:t>
      </w:r>
    </w:p>
    <w:p>
      <w:pPr>
        <w:widowControl/>
        <w:spacing w:after="140" w:before="0" w:line="276" w:lineRule="auto"/>
      </w:pPr>
      <w:r>
        <w:rPr>
          <w:b/>
          <w:color w:val="1F4D78"/>
        </w:rPr>
        <w:t>Begründung</w:t>
        <w:br/>
      </w:r>
      <w:r>
        <w:t>Gleich benannte Modelle oder geänderte Laufzeiten können abweichendes Verhalten zeigen. Die Trennung des Fachwissens über RAG ermöglicht kontrollierten Austausch.</w:t>
      </w:r>
    </w:p>
    <w:p>
      <w:pPr>
        <w:widowControl/>
        <w:spacing w:after="140" w:before="0" w:line="276" w:lineRule="auto"/>
      </w:pPr>
      <w:r>
        <w:rPr>
          <w:b/>
          <w:color w:val="1F4D78"/>
        </w:rPr>
        <w:t>Umsetzung in der Referenzarchitektur</w:t>
        <w:br/>
      </w:r>
      <w:r>
        <w:t>Freigabemanifeste verwenden unveränderbare Kennungen. Vorherige geprüfte Kombinationen bleiben innerhalb der Aufbewahrungsfrist lokal verfügbar; Abhängigkeiten und RAG-Kompatibilität werden geprüft.</w:t>
      </w:r>
    </w:p>
    <w:p>
      <w:pPr>
        <w:widowControl/>
        <w:spacing w:after="140" w:before="0" w:line="276" w:lineRule="auto"/>
      </w:pPr>
      <w:r>
        <w:rPr>
          <w:b/>
          <w:color w:val="1F4D78"/>
        </w:rPr>
        <w:t>Prüfziel</w:t>
        <w:br/>
      </w:r>
      <w:r>
        <w:t>Eine freigegebene Version eindeutig reproduzieren, einen Modellwechsel mit Regression prüfen und auf eine vorherige Kombination zurückrollen.</w:t>
      </w:r>
    </w:p>
    <w:p>
      <w:pPr>
        <w:widowControl/>
        <w:spacing w:after="140" w:before="0" w:line="276" w:lineRule="auto"/>
      </w:pPr>
      <w:r>
        <w:rPr>
          <w:b/>
          <w:color w:val="1F4D78"/>
        </w:rPr>
        <w:t>Erwartete Nachweise</w:t>
        <w:br/>
      </w:r>
      <w:r>
        <w:t>Freigabemanifest; Modell- und Laufzeithashes; Evaluationsbericht; Änderungsfreigabe; dokumentierter Rollbacktest; RAG-Kompatibilitätsnachweis.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Freigabe; Änderung; Betrieb; Modellverantwortliche; Testverantwortliche; Änderungsverantwortliche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OPS.1.1.3, OPS.1.1.6; ISO: ISO/IEC 42001:2023 A.6, ISO/IEC 5338:2023</w:t>
            </w:r>
          </w:p>
        </w:tc>
      </w:tr>
    </w:tbl>
    <w:p>
      <w:pPr>
        <w:widowControl/>
        <w:spacing w:after="200" w:before="120" w:line="276" w:lineRule="auto"/>
        <w:suppressAutoHyphens w:val="true"/>
        <w:pBdr>
          <w:bottom w:val="single" w:sz="8" w:space="6" w:color="2E74B5"/>
        </w:pBdr>
      </w:pPr>
      <w:r>
        <w:rPr>
          <w:b/>
          <w:color w:val="1F4D78"/>
        </w:rPr>
        <w:t>Quellen</w:t>
        <w:br/>
      </w:r>
      <w:r>
        <w:t>[Q-BSI-001] S. 9–12; [Q-BMVG-001] S. 25–32; [Q-ISO-5338] öffentliche Metadaten zum KI-Systemlebenszyklus</w:t>
      </w:r>
      <w:r>
        <w:rPr>
          <w:rStyle w:val="FootnoteReference"/>
        </w:rPr>
        <w:footnoteReference w:id="15"/>
      </w:r>
    </w:p>
    <w:p>
      <w:pPr>
        <w:pStyle w:val="Heading2"/>
        <w:keepNext/>
      </w:pPr>
      <w:r>
        <w:t>9.7 Ausdrückliches Trainings- und Feinabstimmungsverbot</w:t>
      </w:r>
    </w:p>
    <w:p>
      <w:pPr>
        <w:pStyle w:val="Heading3"/>
        <w:keepNext/>
      </w:pPr>
      <w:r>
        <w:t>KI-TRN-001 – Keine Änderung von Modellgewichten</w:t>
      </w:r>
    </w:p>
    <w:p>
      <w:pPr>
        <w:keepLines/>
        <w:widowControl/>
        <w:spacing w:after="140" w:before="0" w:line="276" w:lineRule="auto"/>
        <w:shd w:fill="F5F7FA"/>
      </w:pPr>
      <w:r>
        <w:rPr>
          <w:b/>
          <w:color w:val="1F4D78"/>
        </w:rPr>
        <w:t>Normative Anforderung</w:t>
        <w:br/>
      </w:r>
      <w:r>
        <w:t>Vortraining, Fine-Tuning, LoRA, PEFT, RLHF, kontinuierliches oder selbsttätiges Lernen sowie Training aus Chats, Uploads, RAG-Dokumenten oder Nutzereingaben DÜRFEN innerhalb dieses Geltungsbereichs nicht stattfinden. Produktive Modellgewichte MÜSSEN unveränderbar sein.</w:t>
      </w:r>
    </w:p>
    <w:p>
      <w:pPr>
        <w:widowControl/>
        <w:spacing w:after="140" w:before="0" w:line="276" w:lineRule="auto"/>
      </w:pPr>
      <w:r>
        <w:rPr>
          <w:b/>
          <w:color w:val="1F4D78"/>
        </w:rPr>
        <w:t>Begründung</w:t>
        <w:br/>
      </w:r>
      <w:r>
        <w:t>Training eröffnet eigenständige Risiken für Datenrecht, Datenqualität, Modellintegrität, Reproduzierbarkeit und Freigabe. Die Referenz hält Basismodelle austauschbar und Fachwissen außerhalb der Gewichte.</w:t>
      </w:r>
    </w:p>
    <w:p>
      <w:pPr>
        <w:widowControl/>
        <w:spacing w:after="140" w:before="0" w:line="276" w:lineRule="auto"/>
      </w:pPr>
      <w:r>
        <w:rPr>
          <w:b/>
          <w:color w:val="1F4D78"/>
        </w:rPr>
        <w:t>Umsetzung in der Referenzarchitektur</w:t>
        <w:br/>
      </w:r>
      <w:r>
        <w:t>Trainingsframeworks, Schreibpfade auf Modellgewichte und lernende Rückkopplungen werden nicht bereitgestellt. Embedding-Erzeugung, RAG-Indexierung, Systemanweisungen und temporärer Kontext werden technisch und dokumentarisch klar abgegrenzt.</w:t>
      </w:r>
    </w:p>
    <w:p>
      <w:pPr>
        <w:widowControl/>
        <w:spacing w:after="140" w:before="0" w:line="276" w:lineRule="auto"/>
      </w:pPr>
      <w:r>
        <w:rPr>
          <w:b/>
          <w:color w:val="1F4D78"/>
        </w:rPr>
        <w:t>Prüfziel</w:t>
        <w:br/>
      </w:r>
      <w:r>
        <w:t>Prüfen, dass Architektur, Pakete, Rechte, Jobs und Speicherpfade keine Gewichtsänderung erlauben und Nutzungsdaten nicht als Trainingsdaten exportiert werden.</w:t>
      </w:r>
    </w:p>
    <w:p>
      <w:pPr>
        <w:widowControl/>
        <w:spacing w:after="140" w:before="0" w:line="276" w:lineRule="auto"/>
      </w:pPr>
      <w:r>
        <w:rPr>
          <w:b/>
          <w:color w:val="1F4D78"/>
        </w:rPr>
        <w:t>Erwartete Nachweise</w:t>
        <w:br/>
      </w:r>
      <w:r>
        <w:t>Software- und Jobinventar; schreibgeschützte Modellablage; Dateiintegritätsmessung; Datenflussprüfung; negative Trainingstests; Freigaberegel.</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KI-Verantwortliche; Plattformverantwortliche; Datenverantwortliche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OPS.1.1.3; ISO: ISO/IEC 42001:2023 A.6, ISO/IEC 5338:2023</w:t>
            </w:r>
          </w:p>
        </w:tc>
      </w:tr>
    </w:tbl>
    <w:p>
      <w:pPr>
        <w:widowControl/>
        <w:spacing w:after="200" w:before="120" w:line="276" w:lineRule="auto"/>
        <w:suppressAutoHyphens w:val="true"/>
        <w:pBdr>
          <w:bottom w:val="single" w:sz="8" w:space="6" w:color="2E74B5"/>
        </w:pBdr>
      </w:pPr>
      <w:r>
        <w:rPr>
          <w:b/>
          <w:color w:val="1F4D78"/>
        </w:rPr>
        <w:t>Quellen</w:t>
        <w:br/>
      </w:r>
      <w:r>
        <w:t>[Q-BSI-001] S. 5 zur Abgrenzung von Modellentwicklung und Fine-Tuning; [Q-BMVG-001] S. 25–32 zum kontrollierten Lebenszyklus; [Q-ISO-5338] öffentliche Lebenszyklusmetadaten</w:t>
      </w:r>
      <w:r>
        <w:rPr>
          <w:rStyle w:val="FootnoteReference"/>
        </w:rPr>
        <w:footnoteReference w:id="16"/>
      </w:r>
    </w:p>
    <w:p>
      <w:pPr>
        <w:pStyle w:val="Heading2"/>
        <w:keepNext/>
      </w:pPr>
      <w:r>
        <w:t>9.8 Lokale RAG-, Embedding- und Upload-Sicherheit</w:t>
      </w:r>
    </w:p>
    <w:p>
      <w:pPr>
        <w:pStyle w:val="Heading3"/>
        <w:keepNext/>
      </w:pPr>
      <w:r>
        <w:t>KI-RAG-001 – Kontrollierte Aufnahme und isolierte Dokumentenaufbereitung</w:t>
      </w:r>
    </w:p>
    <w:p>
      <w:pPr>
        <w:keepLines/>
        <w:widowControl/>
        <w:spacing w:after="140" w:before="0" w:line="276" w:lineRule="auto"/>
        <w:shd w:fill="F5F7FA"/>
      </w:pPr>
      <w:r>
        <w:rPr>
          <w:b/>
          <w:color w:val="1F4D78"/>
        </w:rPr>
        <w:t>Normative Anforderung</w:t>
        <w:br/>
      </w:r>
      <w:r>
        <w:t>RAG-Dokumente und Uploads MÜSSEN vor Verarbeitung auf zulässigen Dateityp, Größe, Schadsoftware und aktive Inhalte geprüft werden. Parser, Konverter und Extraktoren MÜSSEN isoliert mit minimalen Rechten, ohne Internet-Egress und mit begrenzten Ressourcen arbeiten.</w:t>
      </w:r>
    </w:p>
    <w:p>
      <w:pPr>
        <w:widowControl/>
        <w:spacing w:after="140" w:before="0" w:line="276" w:lineRule="auto"/>
        <w:suppressAutoHyphens w:val="true"/>
      </w:pPr>
      <w:r>
        <w:rPr>
          <w:b/>
          <w:color w:val="1F4D78"/>
        </w:rPr>
        <w:t>Begründung</w:t>
        <w:br/>
      </w:r>
      <w:r>
        <w:t>Dokumente sind eine untrusted Eingabe und können Parserlücken, aktive Inhalte, Ressourcenangriffe oder indirekte Prompt Injection enthalten.</w:t>
      </w:r>
    </w:p>
    <w:p>
      <w:pPr>
        <w:widowControl/>
        <w:spacing w:after="140" w:before="0" w:line="276" w:lineRule="auto"/>
      </w:pPr>
      <w:r>
        <w:rPr>
          <w:b/>
          <w:color w:val="1F4D78"/>
        </w:rPr>
        <w:t>Umsetzung in der Referenzarchitektur</w:t>
        <w:br/>
      </w:r>
      <w:r>
        <w:t>Eine Quarantäne nimmt Dateien entgegen, validiert Signatur und tatsächlichen Typ, scannt sie und übergibt nur zulässige Inhalte an kurzlebige isolierte Parser. Fehlerhafte oder mehrdeutige Dateien werden abgewiesen.</w:t>
      </w:r>
    </w:p>
    <w:p>
      <w:pPr>
        <w:widowControl/>
        <w:spacing w:after="140" w:before="0" w:line="276" w:lineRule="auto"/>
      </w:pPr>
      <w:r>
        <w:rPr>
          <w:b/>
          <w:color w:val="1F4D78"/>
        </w:rPr>
        <w:t>Prüfziel</w:t>
        <w:br/>
      </w:r>
      <w:r>
        <w:t>Mit präparierten Dateien prüfen, ob Typumgehung, aktive Inhalte, Malware, Parserabstürze und Ressourcenüberschreitungen sicher behandelt werden.</w:t>
      </w:r>
    </w:p>
    <w:p>
      <w:pPr>
        <w:widowControl/>
        <w:spacing w:after="140" w:before="0" w:line="276" w:lineRule="auto"/>
      </w:pPr>
      <w:r>
        <w:rPr>
          <w:b/>
          <w:color w:val="1F4D78"/>
        </w:rPr>
        <w:t>Erwartete Nachweise</w:t>
        <w:br/>
      </w:r>
      <w:r>
        <w:t>Uploadrichtlinie; Parser-Sicherheitsprofil; Malware- und Typprüfprotokolle; Ressourcenlimits; negative Testkorpora; Quarantäne- und Löschprotokolle.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Betrieb; RAG-Verantwortliche;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SYS.1.6; ISO: ISO/IEC 27002:2022 8.7, ISO/IEC 27002:2022 8.26</w:t>
            </w:r>
          </w:p>
        </w:tc>
      </w:tr>
    </w:tbl>
    <w:p>
      <w:pPr>
        <w:widowControl/>
        <w:spacing w:after="200" w:before="120" w:line="276" w:lineRule="auto"/>
        <w:suppressAutoHyphens w:val="true"/>
        <w:pBdr>
          <w:bottom w:val="single" w:sz="8" w:space="6" w:color="2E74B5"/>
        </w:pBdr>
      </w:pPr>
      <w:r>
        <w:rPr>
          <w:b/>
          <w:color w:val="1F4D78"/>
        </w:rPr>
        <w:t>Quellen</w:t>
        <w:br/>
      </w:r>
      <w:r>
        <w:t>[Q-DSK-003] Kap. 2–5; [Q-DSK-002] Kap. 2–6; [Q-OWASP-001] Prompt Injection und Ressourcenverbrauch</w:t>
      </w:r>
      <w:r>
        <w:rPr>
          <w:rStyle w:val="FootnoteReference"/>
        </w:rPr>
        <w:footnoteReference w:id="17"/>
      </w:r>
    </w:p>
    <w:p>
      <w:pPr>
        <w:pStyle w:val="Heading3"/>
        <w:keepNext/>
      </w:pPr>
      <w:r>
        <w:t>KI-RAG-002 – Durchgängige Berechtigungsprüfung und Indextrennung</w:t>
      </w:r>
    </w:p>
    <w:p>
      <w:pPr>
        <w:keepLines/>
        <w:widowControl/>
        <w:spacing w:after="140" w:before="0" w:line="276" w:lineRule="auto"/>
        <w:shd w:fill="F5F7FA"/>
      </w:pPr>
      <w:r>
        <w:rPr>
          <w:b/>
          <w:color w:val="1F4D78"/>
        </w:rPr>
        <w:t>Normative Anforderung</w:t>
        <w:br/>
      </w:r>
      <w:r>
        <w:t>Vor Aufnahme eines Dokuments und bei jeder Abfrage MUSS die Berechtigung anhand einer autoritativen lokalen Quelle geprüft werden. Zugriffsentscheidungen DÜRFEN weder Systemanweisungen noch dem Sprachmodell überlassen werden. Index, Metadaten, Suche, Cache und Ausgabe MÜSSEN dieselbe Berechtigungstrennung wahren.</w:t>
      </w:r>
    </w:p>
    <w:p>
      <w:pPr>
        <w:widowControl/>
        <w:spacing w:after="140" w:before="0" w:line="276" w:lineRule="auto"/>
      </w:pPr>
      <w:r>
        <w:rPr>
          <w:b/>
          <w:color w:val="1F4D78"/>
        </w:rPr>
        <w:t>Begründung</w:t>
        <w:br/>
      </w:r>
      <w:r>
        <w:t>Ein globaler Vektorindex oder nur promptbasierte Filter kann geschützte Textausschnitte über semantische Suche, Cache oder Modellausgabe offenlegen.</w:t>
      </w:r>
    </w:p>
    <w:p>
      <w:pPr>
        <w:widowControl/>
        <w:spacing w:after="140" w:before="0" w:line="276" w:lineRule="auto"/>
      </w:pPr>
      <w:r>
        <w:rPr>
          <w:b/>
          <w:color w:val="1F4D78"/>
        </w:rPr>
        <w:t>Umsetzung in der Referenzarchitektur</w:t>
        <w:br/>
      </w:r>
      <w:r>
        <w:t>Dokumente tragen Herkunft, Eigentümer, Schutzbedarf und ACL-Metadaten. Die Suchschicht filtert vor Retrieval serverseitig mit aktueller Nutzeridentität; Änderungen und Widerrufe werden zeitnah propagiert.</w:t>
      </w:r>
    </w:p>
    <w:p>
      <w:pPr>
        <w:widowControl/>
        <w:spacing w:after="140" w:before="0" w:line="276" w:lineRule="auto"/>
      </w:pPr>
      <w:r>
        <w:rPr>
          <w:b/>
          <w:color w:val="1F4D78"/>
        </w:rPr>
        <w:t>Prüfziel</w:t>
        <w:br/>
      </w:r>
      <w:r>
        <w:t>Mit berechtigten und unberechtigten Testidentitäten belegen, dass Aufnahme, Suche, direkte Objektabfrage, Cache und generierte Antwort keine ACL-Grenze überschreiten.</w:t>
      </w:r>
    </w:p>
    <w:p>
      <w:pPr>
        <w:widowControl/>
        <w:spacing w:after="140" w:before="0" w:line="276" w:lineRule="auto"/>
      </w:pPr>
      <w:r>
        <w:rPr>
          <w:b/>
          <w:color w:val="1F4D78"/>
        </w:rPr>
        <w:t>Erwartete Nachweise</w:t>
        <w:br/>
      </w:r>
      <w:r>
        <w:t>ACL- und Identitätsmapping; Indexschema; Filterkonfiguration; Widerrufslatenz; positive und negative Berechtigungstests; Cachetests.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Abfrage; Änderung; Datenverantwortliche; RAG-Verantwortliche; Identitätsverantwortliche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5.15, ISO/IEC 27002:2022 8.3</w:t>
            </w:r>
          </w:p>
        </w:tc>
      </w:tr>
    </w:tbl>
    <w:p>
      <w:pPr>
        <w:widowControl/>
        <w:spacing w:after="200" w:before="120" w:line="276" w:lineRule="auto"/>
        <w:suppressAutoHyphens w:val="true"/>
        <w:pBdr>
          <w:bottom w:val="single" w:sz="8" w:space="6" w:color="2E74B5"/>
        </w:pBdr>
      </w:pPr>
      <w:r>
        <w:rPr>
          <w:b/>
          <w:color w:val="1F4D78"/>
        </w:rPr>
        <w:t>Quellen</w:t>
        <w:br/>
      </w:r>
      <w:r>
        <w:t>[Q-DSK-003] Kap. 2–5; [Q-BSI-001] S. 11–12; [Q-BFDI-001] Kap. 3–7</w:t>
      </w:r>
      <w:r>
        <w:rPr>
          <w:rStyle w:val="FootnoteReference"/>
        </w:rPr>
        <w:footnoteReference w:id="18"/>
      </w:r>
    </w:p>
    <w:p>
      <w:pPr>
        <w:pStyle w:val="Heading3"/>
        <w:keepNext/>
      </w:pPr>
      <w:r>
        <w:t>KI-RAG-003 – Schutz, Nachvollziehbarkeit und vollständige Löschung abgeleiteter Daten</w:t>
      </w:r>
    </w:p>
    <w:p>
      <w:pPr>
        <w:keepLines/>
        <w:widowControl/>
        <w:spacing w:after="140" w:before="0" w:line="276" w:lineRule="auto"/>
        <w:shd w:fill="F5F7FA"/>
      </w:pPr>
      <w:r>
        <w:rPr>
          <w:b/>
          <w:color w:val="1F4D78"/>
        </w:rPr>
        <w:t>Normative Anforderung</w:t>
        <w:br/>
      </w:r>
      <w:r>
        <w:t>Embeddings, Chunks, Indizes, Reranking-Daten und Caches MÜSSEN mindestens wie die Quelldaten geschützt werden. Herkunft und konkrete Fundstellen MÜSSEN bis zur Ausgabe nachvollziehbar bleiben. Löschung MUSS Quelldatei, Extrakte, Index, Embeddings, Cache und den geregelten Ablauf in Sicherungsketten erfassen.</w:t>
      </w:r>
    </w:p>
    <w:p>
      <w:pPr>
        <w:widowControl/>
        <w:spacing w:after="140" w:before="0" w:line="276" w:lineRule="auto"/>
      </w:pPr>
      <w:r>
        <w:rPr>
          <w:b/>
          <w:color w:val="1F4D78"/>
        </w:rPr>
        <w:t>Begründung</w:t>
        <w:br/>
      </w:r>
      <w:r>
        <w:t>Abgeleitete Repräsentationen können Inhalte, Personenbezug und Schutzbedarf bewahren. Unvollständige Löschung oder fehlende Provenienz verhindert Betroffenenrechte und fachliche Prüfung.</w:t>
      </w:r>
    </w:p>
    <w:p>
      <w:pPr>
        <w:widowControl/>
        <w:spacing w:after="140" w:before="0" w:line="276" w:lineRule="auto"/>
      </w:pPr>
      <w:r>
        <w:rPr>
          <w:b/>
          <w:color w:val="1F4D78"/>
        </w:rPr>
        <w:t>Umsetzung in der Referenzarchitektur</w:t>
        <w:br/>
      </w:r>
      <w:r>
        <w:t>Stabile Dokument- und Chunk-IDs verbinden Quelle, Version, ACL und Aufbewahrung. Ein Löschauftrag erzeugt überprüfbare Tombstones, entfernt Onlinekopien und steuert das Auslaufen aus Sicherungen.</w:t>
      </w:r>
    </w:p>
    <w:p>
      <w:pPr>
        <w:widowControl/>
        <w:spacing w:after="140" w:before="0" w:line="276" w:lineRule="auto"/>
      </w:pPr>
      <w:r>
        <w:rPr>
          <w:b/>
          <w:color w:val="1F4D78"/>
        </w:rPr>
        <w:t>Prüfziel</w:t>
        <w:br/>
      </w:r>
      <w:r>
        <w:t>Für eine Testquelle Herkunft bis zur Antwort nachweisen und anschließend die Nichtauffindbarkeit in sämtlichen Onlineebenen sowie geregelte Sicherungsbehandlung bestätigen.</w:t>
      </w:r>
    </w:p>
    <w:p>
      <w:pPr>
        <w:widowControl/>
        <w:spacing w:after="140" w:before="0" w:line="276" w:lineRule="auto"/>
      </w:pPr>
      <w:r>
        <w:rPr>
          <w:b/>
          <w:color w:val="1F4D78"/>
        </w:rPr>
        <w:t>Erwartete Nachweise</w:t>
        <w:br/>
      </w:r>
      <w:r>
        <w:t>Datenkatalog; Provenienzmetadaten; Quellennachweise in Ausgaben; Aufbewahrungsplan; Löschprotokoll; Such- und Cache-Nachtest; Sicherungskonzept.</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Nutzung; Löschung; Datenverantwortliche; RAG-Verantwortliche; Backup-Verantwortliche;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CON.3; ISO: ISO/IEC 27002:2022 8.10, ISO/IEC 27002:2022 8.13, ISO/IEC 5259-1:2024</w:t>
            </w:r>
          </w:p>
        </w:tc>
      </w:tr>
    </w:tbl>
    <w:p>
      <w:pPr>
        <w:widowControl/>
        <w:spacing w:after="200" w:before="120" w:line="276" w:lineRule="auto"/>
        <w:suppressAutoHyphens w:val="true"/>
        <w:pBdr>
          <w:bottom w:val="single" w:sz="8" w:space="6" w:color="2E74B5"/>
        </w:pBdr>
      </w:pPr>
      <w:r>
        <w:rPr>
          <w:b/>
          <w:color w:val="1F4D78"/>
        </w:rPr>
        <w:t>Quellen</w:t>
        <w:br/>
      </w:r>
      <w:r>
        <w:t>[Q-DSK-003] Kap. 2–5; [Q-DSK-002] Kap. 2–6; [Q-BFDI-001] Kap. 4–7</w:t>
      </w:r>
      <w:r>
        <w:rPr>
          <w:rStyle w:val="FootnoteReference"/>
        </w:rPr>
        <w:footnoteReference w:id="19"/>
      </w:r>
    </w:p>
    <w:p>
      <w:pPr>
        <w:pStyle w:val="Heading3"/>
        <w:keepNext/>
      </w:pPr>
      <w:r>
        <w:t>KI-RAG-004 – Sitzungsbezogene On-Demand-Uploads</w:t>
      </w:r>
    </w:p>
    <w:p>
      <w:pPr>
        <w:keepLines/>
        <w:widowControl/>
        <w:spacing w:after="140" w:before="0" w:line="276" w:lineRule="auto"/>
        <w:shd w:fill="F5F7FA"/>
      </w:pPr>
      <w:r>
        <w:rPr>
          <w:b/>
          <w:color w:val="1F4D78"/>
        </w:rPr>
        <w:t>Normative Anforderung</w:t>
        <w:br/>
      </w:r>
      <w:r>
        <w:t>On-Demand-Uploads MÜSSEN standardmäßig sitzungsbezogen, zweckgebunden und zeitlich begrenzt verarbeitet werden. Eine persistente Ablage oder Aufnahme in einen dauerhaften RAG-Bestand DARF nur nach ausdrücklicher Genehmigung, Metadatenvergabe und Berechtigungsprüfung erfolgen.</w:t>
      </w:r>
    </w:p>
    <w:p>
      <w:pPr>
        <w:widowControl/>
        <w:spacing w:after="140" w:before="0" w:line="276" w:lineRule="auto"/>
      </w:pPr>
      <w:r>
        <w:rPr>
          <w:b/>
          <w:color w:val="1F4D78"/>
        </w:rPr>
        <w:t>Begründung</w:t>
        <w:br/>
      </w:r>
      <w:r>
        <w:t>Beiläufige Uploads können unbemerkt zu dauerhaften Wissens- oder Protokollbeständen werden und Zweckbindung, Löschung sowie Zugriffsschutz unterlaufen.</w:t>
      </w:r>
    </w:p>
    <w:p>
      <w:pPr>
        <w:widowControl/>
        <w:spacing w:after="140" w:before="0" w:line="276" w:lineRule="auto"/>
      </w:pPr>
      <w:r>
        <w:rPr>
          <w:b/>
          <w:color w:val="1F4D78"/>
        </w:rPr>
        <w:t>Umsetzung in der Referenzarchitektur</w:t>
        <w:br/>
      </w:r>
      <w:r>
        <w:t>Temporäre Speicher verwenden eindeutige Sitzungs- und Nutzerbindung, kurze Aufbewahrung, keine globale Suche und einen verifizierten Abschlusslöschlauf. UI und API zeigen die Speicherwirkung vor Upload an.</w:t>
      </w:r>
    </w:p>
    <w:p>
      <w:pPr>
        <w:widowControl/>
        <w:spacing w:after="140" w:before="0" w:line="276" w:lineRule="auto"/>
      </w:pPr>
      <w:r>
        <w:rPr>
          <w:b/>
          <w:color w:val="1F4D78"/>
        </w:rPr>
        <w:t>Prüfziel</w:t>
        <w:br/>
      </w:r>
      <w:r>
        <w:t>Nach Sitzungsende prüfen, dass Upload, Extrakte, Embeddings und Caches nicht mehr zugreifbar sind und keine Aufnahme in dauerhafte Indizes erfolgte.</w:t>
      </w:r>
    </w:p>
    <w:p>
      <w:pPr>
        <w:widowControl/>
        <w:spacing w:after="140" w:before="0" w:line="276" w:lineRule="auto"/>
      </w:pPr>
      <w:r>
        <w:rPr>
          <w:b/>
          <w:color w:val="1F4D78"/>
        </w:rPr>
        <w:t>Erwartete Nachweise</w:t>
        <w:br/>
      </w:r>
      <w:r>
        <w:t>Uploadanzeige; Aufbewahrungskonfiguration; Sitzungsbindung; Löschjobprotokolle; negative Suchtests; Genehmigung für persistente Ausnahmen.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Nutzung; Löschung; Nutzende; RAG-Verantwortliche;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APP.6; ISO: ISO/IEC 27002:2022 8.10, ISO/IEC 27002:2022 8.12</w:t>
            </w:r>
          </w:p>
        </w:tc>
      </w:tr>
    </w:tbl>
    <w:p>
      <w:pPr>
        <w:widowControl/>
        <w:spacing w:after="200" w:before="120" w:line="276" w:lineRule="auto"/>
        <w:suppressAutoHyphens w:val="true"/>
        <w:pBdr>
          <w:bottom w:val="single" w:sz="8" w:space="6" w:color="2E74B5"/>
        </w:pBdr>
      </w:pPr>
      <w:r>
        <w:rPr>
          <w:b/>
          <w:color w:val="1F4D78"/>
        </w:rPr>
        <w:t>Quellen</w:t>
        <w:br/>
      </w:r>
      <w:r>
        <w:t>[Q-DSK-003] Kap. 2–5; [Q-BMI-001] S. 25–29</w:t>
      </w:r>
      <w:r>
        <w:rPr>
          <w:rStyle w:val="FootnoteReference"/>
        </w:rPr>
        <w:footnoteReference w:id="20"/>
      </w:r>
    </w:p>
    <w:p>
      <w:pPr>
        <w:pStyle w:val="Heading2"/>
        <w:keepNext/>
      </w:pPr>
      <w:r>
        <w:t>9.9 Identitäten, Rollen, technische Konten und Geheimnisse</w:t>
      </w:r>
    </w:p>
    <w:p>
      <w:pPr>
        <w:pStyle w:val="Heading3"/>
        <w:keepNext/>
      </w:pPr>
      <w:r>
        <w:t>KI-IAM-001 – Least Privilege und Geheimnisbehandlung für KI-Dienste</w:t>
      </w:r>
    </w:p>
    <w:p>
      <w:pPr>
        <w:keepLines/>
        <w:widowControl/>
        <w:spacing w:after="140" w:before="0" w:line="276" w:lineRule="auto"/>
        <w:shd w:fill="F5F7FA"/>
      </w:pPr>
      <w:r>
        <w:rPr>
          <w:b/>
          <w:color w:val="1F4D78"/>
        </w:rPr>
        <w:t>Normative Anforderung</w:t>
        <w:br/>
      </w:r>
      <w:r>
        <w:t>Nutzer-, Dienst- und Administrationsidentitäten MÜSSEN getrennt, minimal berechtigt, einzeln widerrufbar und einer verantwortlichen Stelle zugeordnet sein. Geheimnisse DÜRFEN nicht in Prompts, Projektdateien, Images, Modellartefakten, Chatverläufen oder Protokollen gespeichert werden.</w:t>
      </w:r>
    </w:p>
    <w:p>
      <w:pPr>
        <w:widowControl/>
        <w:spacing w:after="140" w:before="0" w:line="276" w:lineRule="auto"/>
      </w:pPr>
      <w:r>
        <w:rPr>
          <w:b/>
          <w:color w:val="1F4D78"/>
        </w:rPr>
        <w:t>Begründung</w:t>
        <w:br/>
      </w:r>
      <w:r>
        <w:t>Agentische Werkzeuge und KI-Dienste verbinden Dateisysteme, APIs und Entwicklungswerkzeuge; ein gemeinsames Konto vergrößert Wirkung und erschwert Zurechnung.</w:t>
      </w:r>
    </w:p>
    <w:p>
      <w:pPr>
        <w:widowControl/>
        <w:spacing w:after="140" w:before="0" w:line="276" w:lineRule="auto"/>
      </w:pPr>
      <w:r>
        <w:rPr>
          <w:b/>
          <w:color w:val="1F4D78"/>
        </w:rPr>
        <w:t>Umsetzung in der Referenzarchitektur</w:t>
        <w:br/>
      </w:r>
      <w:r>
        <w:t>Lokaler IdP, kurzlebige Anmeldedaten, verwalteter Secret Store, dienstbezogene Rollen, MFA für privilegierte Zugriffe und regelmäßige Rezertifizierung werden eingesetzt. Protokollfilter maskieren Geheimnismuster.</w:t>
      </w:r>
    </w:p>
    <w:p>
      <w:pPr>
        <w:widowControl/>
        <w:spacing w:after="140" w:before="0" w:line="276" w:lineRule="auto"/>
      </w:pPr>
      <w:r>
        <w:rPr>
          <w:b/>
          <w:color w:val="1F4D78"/>
        </w:rPr>
        <w:t>Prüfziel</w:t>
        <w:br/>
      </w:r>
      <w:r>
        <w:t>Prüfen, ob effektive Rechte dem genehmigten Zweck entsprechen, Widerruf wirksam ist und Geheimnisse weder in typischen Eingabe- noch Ausgabepfaden erscheinen.</w:t>
      </w:r>
    </w:p>
    <w:p>
      <w:pPr>
        <w:widowControl/>
        <w:spacing w:after="140" w:before="0" w:line="276" w:lineRule="auto"/>
      </w:pPr>
      <w:r>
        <w:rPr>
          <w:b/>
          <w:color w:val="1F4D78"/>
        </w:rPr>
        <w:t>Erwartete Nachweise</w:t>
        <w:br/>
      </w:r>
      <w:r>
        <w:t>Rollen- und Kontenregister; Rezertifizierung; Secret-Store-Konfiguration; Widerrufstest; Suchlauf in Repositories und Protokollen; Administrationsnachweise.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Identitätsverantwortliche;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CON.7; ISO: ISO/IEC 27002:2022 5.15, ISO/IEC 27002:2022 5.16, ISO/IEC 27002:2022 8.2</w:t>
            </w:r>
          </w:p>
        </w:tc>
      </w:tr>
    </w:tbl>
    <w:p>
      <w:pPr>
        <w:widowControl/>
        <w:spacing w:after="200" w:before="120" w:line="276" w:lineRule="auto"/>
        <w:suppressAutoHyphens w:val="true"/>
        <w:pBdr>
          <w:bottom w:val="single" w:sz="8" w:space="6" w:color="2E74B5"/>
        </w:pBdr>
      </w:pPr>
      <w:r>
        <w:rPr>
          <w:b/>
          <w:color w:val="1F4D78"/>
        </w:rPr>
        <w:t>Quellen</w:t>
        <w:br/>
      </w:r>
      <w:r>
        <w:t>[Q-BSI-001] S. 8–13; [Q-BMI-001] S. 25–29; [Q-DSK-002] Kap. 2–6</w:t>
      </w:r>
      <w:r>
        <w:rPr>
          <w:rStyle w:val="FootnoteReference"/>
        </w:rPr>
        <w:footnoteReference w:id="21"/>
      </w:r>
    </w:p>
    <w:p>
      <w:pPr>
        <w:pStyle w:val="Heading2"/>
        <w:keepNext/>
      </w:pPr>
      <w:r>
        <w:t>9.10 Chat-Oberflächen und agentische Clientanwendungen</w:t>
      </w:r>
    </w:p>
    <w:p>
      <w:pPr>
        <w:pStyle w:val="Heading3"/>
        <w:keepNext/>
      </w:pPr>
      <w:r>
        <w:t>KI-AGT-001 – Minimale lokale Arbeitsbereichs- und Dateirechte</w:t>
      </w:r>
    </w:p>
    <w:p>
      <w:pPr>
        <w:keepLines/>
        <w:widowControl/>
        <w:spacing w:after="140" w:before="0" w:line="276" w:lineRule="auto"/>
        <w:shd w:fill="F5F7FA"/>
      </w:pPr>
      <w:r>
        <w:rPr>
          <w:b/>
          <w:color w:val="1F4D78"/>
        </w:rPr>
        <w:t>Normative Anforderung</w:t>
        <w:br/>
      </w:r>
      <w:r>
        <w:t>Chat-Oberflächen und agentische Clients MÜSSEN auf genehmigte lokale Arbeitsbereiche und die minimal erforderlichen Lese- beziehungsweise Schreibrechte begrenzt werden. Pauschale Administrator-, Benutzerprofil-, Laufwerks- oder Repository-Rechte DÜRFEN nicht erteilt werden.</w:t>
      </w:r>
    </w:p>
    <w:p>
      <w:pPr>
        <w:widowControl/>
        <w:spacing w:after="140" w:before="0" w:line="276" w:lineRule="auto"/>
      </w:pPr>
      <w:r>
        <w:rPr>
          <w:b/>
          <w:color w:val="1F4D78"/>
        </w:rPr>
        <w:t>Begründung</w:t>
        <w:br/>
      </w:r>
      <w:r>
        <w:t>Agentische Anwendungen können Modellentscheidungen in reale Datei- und Entwicklungsoperationen übersetzen. Breite Rechte verwandeln Fehlanweisungen oder Prompt Injection in unmittelbare Schäden.</w:t>
      </w:r>
    </w:p>
    <w:p>
      <w:pPr>
        <w:widowControl/>
        <w:spacing w:after="140" w:before="0" w:line="276" w:lineRule="auto"/>
      </w:pPr>
      <w:r>
        <w:rPr>
          <w:b/>
          <w:color w:val="1F4D78"/>
        </w:rPr>
        <w:t>Umsetzung in der Referenzarchitektur</w:t>
        <w:br/>
      </w:r>
      <w:r>
        <w:t>Arbeitsbereichsprofile trennen Lesen, Schreiben, Ausführen und Netz. Betriebssystemrechte, Sandbox oder gleichwertige Kontrollen verhindern Zugriffe außerhalb des ausgewählten Projekts.</w:t>
      </w:r>
    </w:p>
    <w:p>
      <w:pPr>
        <w:widowControl/>
        <w:spacing w:after="140" w:before="0" w:line="276" w:lineRule="auto"/>
      </w:pPr>
      <w:r>
        <w:rPr>
          <w:b/>
          <w:color w:val="1F4D78"/>
        </w:rPr>
        <w:t>Prüfziel</w:t>
        <w:br/>
      </w:r>
      <w:r>
        <w:t>Mit Testdateien innerhalb und außerhalb des Arbeitsbereichs nachweisen, dass jede nicht genehmigte Lese-, Schreib- und Ausführungsoperation scheitert.</w:t>
      </w:r>
    </w:p>
    <w:p>
      <w:pPr>
        <w:widowControl/>
        <w:spacing w:after="140" w:before="0" w:line="276" w:lineRule="auto"/>
      </w:pPr>
      <w:r>
        <w:rPr>
          <w:b/>
          <w:color w:val="1F4D78"/>
        </w:rPr>
        <w:t>Erwartete Nachweise</w:t>
        <w:br/>
      </w:r>
      <w:r>
        <w:t>Clientrichtlinie; effektive Dateirechte; Sandboxprofil; Rollenfreigabe; negative Pfad- und Privilegientests.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Nutzung; Clientverantwortliche; Fachverantwortliche;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8.2, ISO/IEC 27002:2022 8.18</w:t>
            </w:r>
          </w:p>
        </w:tc>
      </w:tr>
    </w:tbl>
    <w:p>
      <w:pPr>
        <w:widowControl/>
        <w:spacing w:after="200" w:before="120" w:line="276" w:lineRule="auto"/>
        <w:suppressAutoHyphens w:val="true"/>
        <w:pBdr>
          <w:bottom w:val="single" w:sz="8" w:space="6" w:color="2E74B5"/>
        </w:pBdr>
      </w:pPr>
      <w:r>
        <w:rPr>
          <w:b/>
          <w:color w:val="1F4D78"/>
        </w:rPr>
        <w:t>Quellen</w:t>
        <w:br/>
      </w:r>
      <w:r>
        <w:t>[Q-BSI-001] S. 12–16; [Q-CLINE-001] Provider- und Endpunktkonfiguration; [Q-OPENCODE-001] lokale Modelle und Provider</w:t>
      </w:r>
      <w:r>
        <w:rPr>
          <w:rStyle w:val="FootnoteReference"/>
        </w:rPr>
        <w:footnoteReference w:id="22"/>
      </w:r>
    </w:p>
    <w:p>
      <w:pPr>
        <w:pStyle w:val="Heading3"/>
        <w:keepNext/>
      </w:pPr>
      <w:r>
        <w:t>KI-AGT-002 – Lokale und freigegebene Modellendpunkte</w:t>
      </w:r>
    </w:p>
    <w:p>
      <w:pPr>
        <w:keepLines/>
        <w:widowControl/>
        <w:spacing w:after="140" w:before="0" w:line="276" w:lineRule="auto"/>
        <w:shd w:fill="F5F7FA"/>
      </w:pPr>
      <w:r>
        <w:rPr>
          <w:b/>
          <w:color w:val="1F4D78"/>
        </w:rPr>
        <w:t>Normative Anforderung</w:t>
        <w:br/>
      </w:r>
      <w:r>
        <w:t>Chat- und Agentenclients MÜSSEN ausschließlich auf freigegebene lokale HTTPS-Endpunkte festgelegt werden. Nutzende DÜRFEN keine beliebigen Provider, Basen-URLs oder Modelle hinzufügen; Telemetrie, automatische Anmeldung und Cloud-Fallbacks MÜSSEN deaktiviert sein.</w:t>
      </w:r>
    </w:p>
    <w:p>
      <w:pPr>
        <w:widowControl/>
        <w:spacing w:after="140" w:before="0" w:line="276" w:lineRule="auto"/>
      </w:pPr>
      <w:r>
        <w:rPr>
          <w:b/>
          <w:color w:val="1F4D78"/>
        </w:rPr>
        <w:t>Begründung</w:t>
        <w:br/>
      </w:r>
      <w:r>
        <w:t>Kompatible Endpunktkonfigurationen erleichtern den unbeabsichtigten Wechsel zu externen Diensten und umgehen zentrale Modellfreigaben.</w:t>
      </w:r>
    </w:p>
    <w:p>
      <w:pPr>
        <w:widowControl/>
        <w:spacing w:after="140" w:before="0" w:line="276" w:lineRule="auto"/>
      </w:pPr>
      <w:r>
        <w:rPr>
          <w:b/>
          <w:color w:val="1F4D78"/>
        </w:rPr>
        <w:t>Umsetzung in der Referenzarchitektur</w:t>
        <w:br/>
      </w:r>
      <w:r>
        <w:t>Clientkonfigurationen werden verwaltet, signiert oder gegen eine Baseline geprüft. Namensauflösung und Egress-Regeln bilden eine zweite technische Sperre.</w:t>
      </w:r>
    </w:p>
    <w:p>
      <w:pPr>
        <w:widowControl/>
        <w:spacing w:after="140" w:before="0" w:line="276" w:lineRule="auto"/>
      </w:pPr>
      <w:r>
        <w:rPr>
          <w:b/>
          <w:color w:val="1F4D78"/>
        </w:rPr>
        <w:t>Prüfziel</w:t>
        <w:br/>
      </w:r>
      <w:r>
        <w:t>Manipulierte Clientkonfigurationen und alternative Provider müssen blockiert oder erkannt werden; der wirksame Endpunkt ist serverseitig und im Netzprotokoll nachweisbar.</w:t>
      </w:r>
    </w:p>
    <w:p>
      <w:pPr>
        <w:widowControl/>
        <w:spacing w:after="140" w:before="0" w:line="276" w:lineRule="auto"/>
      </w:pPr>
      <w:r>
        <w:rPr>
          <w:b/>
          <w:color w:val="1F4D78"/>
        </w:rPr>
        <w:t>Erwartete Nachweise</w:t>
        <w:br/>
      </w:r>
      <w:r>
        <w:t>Clientbaseline; Providerfreigabeliste; Konfigurationsschutz; Egress- und DNS-Protokolle; negative Provider- und Fallbacktests.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Clientverantwortliche; Netzverantwortliche; KI-Verantwortliche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NET.1.1; ISO: ISO/IEC 27002:2022 8.19, ISO/IEC 27002:2022 8.20</w:t>
            </w:r>
          </w:p>
        </w:tc>
      </w:tr>
    </w:tbl>
    <w:p>
      <w:pPr>
        <w:widowControl/>
        <w:spacing w:after="200" w:before="120" w:line="276" w:lineRule="auto"/>
        <w:suppressAutoHyphens w:val="true"/>
        <w:pBdr>
          <w:bottom w:val="single" w:sz="8" w:space="6" w:color="2E74B5"/>
        </w:pBdr>
      </w:pPr>
      <w:r>
        <w:rPr>
          <w:b/>
          <w:color w:val="1F4D78"/>
        </w:rPr>
        <w:t>Quellen</w:t>
        <w:br/>
      </w:r>
      <w:r>
        <w:t>[Q-OPENWEBUI-001] OpenAI-kompatible Anbindung; [Q-CLINE-001] OpenAI-Compatible Providers; [Q-OPENCODE-001] Local models; [Q-LLAMACPP-001] llama-server-Verweise</w:t>
      </w:r>
      <w:r>
        <w:rPr>
          <w:rStyle w:val="FootnoteReference"/>
        </w:rPr>
        <w:footnoteReference w:id="23"/>
      </w:r>
    </w:p>
    <w:p>
      <w:pPr>
        <w:pStyle w:val="Heading2"/>
        <w:keepNext/>
      </w:pPr>
      <w:r>
        <w:t>9.11 Prompt Injection, Datenabfluss und unsichere Modellausgaben</w:t>
      </w:r>
    </w:p>
    <w:p>
      <w:pPr>
        <w:pStyle w:val="Heading3"/>
        <w:keepNext/>
        <w:suppressAutoHyphens w:val="true"/>
      </w:pPr>
      <w:r>
        <w:t>KI-PMT-001 – Untrusted Inhalte und indirekte Prompt Injection</w:t>
      </w:r>
    </w:p>
    <w:p>
      <w:pPr>
        <w:keepLines/>
        <w:widowControl/>
        <w:spacing w:after="140" w:before="0" w:line="276" w:lineRule="auto"/>
        <w:suppressAutoHyphens w:val="true"/>
        <w:shd w:fill="F5F7FA"/>
      </w:pPr>
      <w:r>
        <w:rPr>
          <w:b/>
          <w:color w:val="1F4D78"/>
        </w:rPr>
        <w:t>Normative Anforderung</w:t>
        <w:br/>
      </w:r>
      <w:r>
        <w:t>Inhalte aus Dokumenten, Quellcode, Webseiten, Tool-Ausgaben und RAG-Treffern MÜSSEN als untrusted Daten behandelt und von Systemanweisungen getrennt werden. Sie DÜRFEN keine Berechtigungen erweitern, Sicherheitsrichtlinien verändern oder selbstständig Tool-Aktionen auslösen.</w:t>
      </w:r>
    </w:p>
    <w:p>
      <w:pPr>
        <w:widowControl/>
        <w:spacing w:after="140" w:before="0" w:line="276" w:lineRule="auto"/>
      </w:pPr>
      <w:r>
        <w:rPr>
          <w:b/>
          <w:color w:val="1F4D78"/>
        </w:rPr>
        <w:t>Begründung</w:t>
        <w:br/>
      </w:r>
      <w:r>
        <w:t>Sprachmodelle unterscheiden Anweisungen und Daten nicht zuverlässig. Indirekte Prompt Injection kann über vertrauenswürdig erscheinende Quellen Aktionen oder Datenabfluss anstoßen.</w:t>
      </w:r>
    </w:p>
    <w:p>
      <w:pPr>
        <w:widowControl/>
        <w:spacing w:after="140" w:before="0" w:line="276" w:lineRule="auto"/>
      </w:pPr>
      <w:r>
        <w:rPr>
          <w:b/>
          <w:color w:val="1F4D78"/>
        </w:rPr>
        <w:t>Umsetzung in der Referenzarchitektur</w:t>
        <w:br/>
      </w:r>
      <w:r>
        <w:t>Vertrauensmarkierungen, Kontexttrennung, Instruktionshierarchie, Tool-Policy, Ausgabevalidierung und Bestätigungsgates wirken gemeinsam. Quellen mit erkannten Manipulationsmustern werden isoliert oder verworfen.</w:t>
      </w:r>
    </w:p>
    <w:p>
      <w:pPr>
        <w:widowControl/>
        <w:spacing w:after="140" w:before="0" w:line="276" w:lineRule="auto"/>
      </w:pPr>
      <w:r>
        <w:rPr>
          <w:b/>
          <w:color w:val="1F4D78"/>
        </w:rPr>
        <w:t>Prüfziel</w:t>
        <w:br/>
      </w:r>
      <w:r>
        <w:t>Mit dokumentierten direkten und indirekten Angriffsprompts prüfen, dass Richtlinien, Berechtigungen, Geheimnisse und Toolgrenzen nicht umgangen werden.</w:t>
      </w:r>
    </w:p>
    <w:p>
      <w:pPr>
        <w:widowControl/>
        <w:spacing w:after="140" w:before="0" w:line="276" w:lineRule="auto"/>
      </w:pPr>
      <w:r>
        <w:rPr>
          <w:b/>
          <w:color w:val="1F4D78"/>
        </w:rPr>
        <w:t>Erwartete Nachweise</w:t>
        <w:br/>
      </w:r>
      <w:r>
        <w:t>Bedrohungskorpus; Prompt-Injection-Tests; Richtlinienkonfiguration; Angriffsergebnisse; Block- und Alarmprotokolle; akzeptierte Restgrenzen.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Test; Nutzung; Betrieb; KI-Verantwortliche; RAG-Verantwortliche;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DER.1; ISO: ISO/IEC 27002:2022 8.26, ISO/IEC 27002:2022 8.28</w:t>
            </w:r>
          </w:p>
        </w:tc>
      </w:tr>
    </w:tbl>
    <w:p>
      <w:pPr>
        <w:widowControl/>
        <w:spacing w:after="200" w:before="120" w:line="276" w:lineRule="auto"/>
        <w:suppressAutoHyphens w:val="true"/>
        <w:pBdr>
          <w:bottom w:val="single" w:sz="8" w:space="6" w:color="2E74B5"/>
        </w:pBdr>
      </w:pPr>
      <w:r>
        <w:rPr>
          <w:b/>
          <w:color w:val="1F4D78"/>
        </w:rPr>
        <w:t>Quellen</w:t>
        <w:br/>
      </w:r>
      <w:r>
        <w:t>[Q-BSI-001] S. 11–16; [Q-OWASP-001] Prompt Injection; [Q-NIST-002] adversariale Angriffe und Abhilfen</w:t>
      </w:r>
      <w:r>
        <w:rPr>
          <w:rStyle w:val="FootnoteReference"/>
        </w:rPr>
        <w:footnoteReference w:id="24"/>
      </w:r>
    </w:p>
    <w:p>
      <w:pPr>
        <w:pStyle w:val="Heading3"/>
        <w:keepNext/>
      </w:pPr>
      <w:r>
        <w:t>KI-OUT-001 – Validierung, Kennzeichnung und menschliche Prüfung von Ausgaben</w:t>
      </w:r>
    </w:p>
    <w:p>
      <w:pPr>
        <w:keepLines/>
        <w:widowControl/>
        <w:spacing w:after="140" w:before="0" w:line="276" w:lineRule="auto"/>
        <w:suppressAutoHyphens w:val="true"/>
        <w:shd w:fill="F5F7FA"/>
      </w:pPr>
      <w:r>
        <w:rPr>
          <w:b/>
          <w:color w:val="1F4D78"/>
        </w:rPr>
        <w:t>Normative Anforderung</w:t>
        <w:br/>
      </w:r>
      <w:r>
        <w:t>KI-Ausgaben MÜSSEN als potenziell unzutreffend und untrusted behandelt, anwendungsbezogen validiert und vor sicherheitsrelevanter, rechtlicher oder fachlich wesentlicher Wirkung durch eine befugte Person geprüft werden. KI-Nutzung und Quellen MÜSSEN entsprechend Zweck und Rechtslage nachvollziehbar gekennzeichnet werden.</w:t>
      </w:r>
    </w:p>
    <w:p>
      <w:pPr>
        <w:widowControl/>
        <w:spacing w:after="140" w:before="0" w:line="276" w:lineRule="auto"/>
      </w:pPr>
      <w:r>
        <w:rPr>
          <w:b/>
          <w:color w:val="1F4D78"/>
        </w:rPr>
        <w:t>Begründung</w:t>
        <w:br/>
      </w:r>
      <w:r>
        <w:t>Plausibel formulierte Fehlantworten, unsicherer Code oder eingebettete Anweisungen können automatisiert weiterverarbeitet und dadurch wirksam werden.</w:t>
      </w:r>
    </w:p>
    <w:p>
      <w:pPr>
        <w:widowControl/>
        <w:spacing w:after="140" w:before="0" w:line="276" w:lineRule="auto"/>
      </w:pPr>
      <w:r>
        <w:rPr>
          <w:b/>
          <w:color w:val="1F4D78"/>
        </w:rPr>
        <w:t>Umsetzung in der Referenzarchitektur</w:t>
        <w:br/>
      </w:r>
      <w:r>
        <w:t>Struktur-, Typ-, Policy- und Sicherheitsprüfungen begrenzen maschinelle Weiterverarbeitung. Hochwirksame Entscheidungen und Änderungen besitzen ein echtes menschliches Stopprecht und nachvollziehbare Freigabe.</w:t>
      </w:r>
    </w:p>
    <w:p>
      <w:pPr>
        <w:widowControl/>
        <w:spacing w:after="140" w:before="0" w:line="276" w:lineRule="auto"/>
      </w:pPr>
      <w:r>
        <w:rPr>
          <w:b/>
          <w:color w:val="1F4D78"/>
        </w:rPr>
        <w:t>Prüfziel</w:t>
        <w:br/>
      </w:r>
      <w:r>
        <w:t>Fehlerhafte, manipulative und formal ungültige Ausgaben einspeisen und nachweisen, dass keine unkontrollierte Folgewirkung eintritt.</w:t>
      </w:r>
    </w:p>
    <w:p>
      <w:pPr>
        <w:widowControl/>
        <w:spacing w:after="140" w:before="0" w:line="276" w:lineRule="auto"/>
      </w:pPr>
      <w:r>
        <w:rPr>
          <w:b/>
          <w:color w:val="1F4D78"/>
        </w:rPr>
        <w:t>Erwartete Nachweise</w:t>
        <w:br/>
      </w:r>
      <w:r>
        <w:t>Validierungsregeln; Review- und Freigabeprotokolle; Kennzeichnungsvorgaben; Fehlerkorpus; negative Weiterverarbeitungstests.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Nutzung; Freigabe; Betrieb; Nutzende; Fachverantwortliche;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OPS.1.1.6; ISO: ISO/IEC 42001:2023 A.8, ISO/IEC 25059:2023</w:t>
            </w:r>
          </w:p>
        </w:tc>
      </w:tr>
    </w:tbl>
    <w:p>
      <w:pPr>
        <w:widowControl/>
        <w:spacing w:after="200" w:before="120" w:line="276" w:lineRule="auto"/>
        <w:suppressAutoHyphens w:val="true"/>
        <w:pBdr>
          <w:bottom w:val="single" w:sz="8" w:space="6" w:color="2E74B5"/>
        </w:pBdr>
      </w:pPr>
      <w:r>
        <w:rPr>
          <w:b/>
          <w:color w:val="1F4D78"/>
        </w:rPr>
        <w:t>Quellen</w:t>
        <w:br/>
      </w:r>
      <w:r>
        <w:t>[Q-BMI-001] S. 29–30; [Q-BSI-001] S. 9 und S. 12–16; [Q-BMVG-001] S. 29–32</w:t>
      </w:r>
      <w:r>
        <w:rPr>
          <w:rStyle w:val="FootnoteReference"/>
        </w:rPr>
        <w:footnoteReference w:id="25"/>
      </w:r>
    </w:p>
    <w:p>
      <w:pPr>
        <w:pStyle w:val="Heading2"/>
        <w:keepNext/>
      </w:pPr>
      <w:r>
        <w:t>9.12 Tool-Nutzung, Dateizugriff und Befehlsausführung</w:t>
      </w:r>
    </w:p>
    <w:p>
      <w:pPr>
        <w:pStyle w:val="Heading3"/>
        <w:keepNext/>
      </w:pPr>
      <w:r>
        <w:t>KI-TOL-001 – Getrennte Tool-Fähigkeiten und Bestätigung kritischer Aktionen</w:t>
      </w:r>
    </w:p>
    <w:p>
      <w:pPr>
        <w:keepLines/>
        <w:widowControl/>
        <w:spacing w:after="140" w:before="0" w:line="276" w:lineRule="auto"/>
        <w:shd w:fill="F5F7FA"/>
      </w:pPr>
      <w:r>
        <w:rPr>
          <w:b/>
          <w:color w:val="1F4D78"/>
        </w:rPr>
        <w:t>Normative Anforderung</w:t>
        <w:br/>
      </w:r>
      <w:r>
        <w:t>Lesen, Schreiben, Befehlsausführung und Netzwerkzugriff MÜSSEN als getrennte, standardmäßig deaktivierte Fähigkeiten freigegeben werden. Sicherheitskritische, destruktive, privilegierte oder externe Aktionen MÜSSEN vor Ausführung eine verständliche, konkrete Bestätigung einer befugten Person erfordern.</w:t>
      </w:r>
    </w:p>
    <w:p>
      <w:pPr>
        <w:widowControl/>
        <w:spacing w:after="140" w:before="0" w:line="276" w:lineRule="auto"/>
      </w:pPr>
      <w:r>
        <w:rPr>
          <w:b/>
          <w:color w:val="1F4D78"/>
        </w:rPr>
        <w:t>Begründung</w:t>
        <w:br/>
      </w:r>
      <w:r>
        <w:t>Eine pauschale Agentenfreigabe kann Modellfehler oder manipulierte Inhalte unmittelbar in irreversible Systemänderungen übersetzen.</w:t>
      </w:r>
    </w:p>
    <w:p>
      <w:pPr>
        <w:widowControl/>
        <w:spacing w:after="140" w:before="0" w:line="276" w:lineRule="auto"/>
      </w:pPr>
      <w:r>
        <w:rPr>
          <w:b/>
          <w:color w:val="1F4D78"/>
        </w:rPr>
        <w:t>Umsetzung in der Referenzarchitektur</w:t>
        <w:br/>
      </w:r>
      <w:r>
        <w:t>Eine server- oder clientseitig erzwungene Tool-Policy bindet Fähigkeiten an Rolle, Arbeitsbereich und Anwendungsfall. Bestätigungsdialoge zeigen exakten Befehl, Ziel, Auswirkung und Datenziel; Sammelfreigaben sind unzulässig.</w:t>
      </w:r>
    </w:p>
    <w:p>
      <w:pPr>
        <w:widowControl/>
        <w:spacing w:after="140" w:before="0" w:line="276" w:lineRule="auto"/>
      </w:pPr>
      <w:r>
        <w:rPr>
          <w:b/>
          <w:color w:val="1F4D78"/>
        </w:rPr>
        <w:t>Prüfziel</w:t>
        <w:br/>
      </w:r>
      <w:r>
        <w:t>Prüfen, ob jede Fähigkeitsgrenze unabhängig wirkt und kritische Testaktionen ohne konkrete Bestätigung nicht ausgeführt werden.</w:t>
      </w:r>
    </w:p>
    <w:p>
      <w:pPr>
        <w:widowControl/>
        <w:spacing w:after="140" w:before="0" w:line="276" w:lineRule="auto"/>
      </w:pPr>
      <w:r>
        <w:rPr>
          <w:b/>
          <w:color w:val="1F4D78"/>
        </w:rPr>
        <w:t>Erwartete Nachweise</w:t>
        <w:br/>
      </w:r>
      <w:r>
        <w:t>Tool-Policy; Rollenmatrix; Bestätigungsprotokolle; Testbefehle; negative Rechte- und Umgehungstests.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Einführung; Nutzung; Tool-Verantwortliche; Clientverantwortliche;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8.2, ISO/IEC 27002:2022 8.18</w:t>
            </w:r>
          </w:p>
        </w:tc>
      </w:tr>
    </w:tbl>
    <w:p>
      <w:pPr>
        <w:widowControl/>
        <w:spacing w:after="200" w:before="120" w:line="276" w:lineRule="auto"/>
        <w:suppressAutoHyphens w:val="true"/>
        <w:pBdr>
          <w:bottom w:val="single" w:sz="8" w:space="6" w:color="2E74B5"/>
        </w:pBdr>
      </w:pPr>
      <w:r>
        <w:rPr>
          <w:b/>
          <w:color w:val="1F4D78"/>
        </w:rPr>
        <w:t>Quellen</w:t>
        <w:br/>
      </w:r>
      <w:r>
        <w:t>[Q-BSI-001] S. 12–16; [Q-OWASP-001] übermäßige Handlungsfreiheit und unsichere Ausgabe; [Q-NIST-001] Manage- und Measure-Aktionen</w:t>
      </w:r>
      <w:r>
        <w:rPr>
          <w:rStyle w:val="FootnoteReference"/>
        </w:rPr>
        <w:footnoteReference w:id="26"/>
      </w:r>
    </w:p>
    <w:p>
      <w:pPr>
        <w:pStyle w:val="Heading3"/>
        <w:keepNext/>
      </w:pPr>
      <w:r>
        <w:t>KI-TOL-002 – Kontrollierte Erweiterungen, MCP-Server und Tool-Protokollierung</w:t>
      </w:r>
    </w:p>
    <w:p>
      <w:pPr>
        <w:keepLines/>
        <w:widowControl/>
        <w:spacing w:after="140" w:before="0" w:line="276" w:lineRule="auto"/>
        <w:shd w:fill="F5F7FA"/>
      </w:pPr>
      <w:r>
        <w:rPr>
          <w:b/>
          <w:color w:val="1F4D78"/>
        </w:rPr>
        <w:t>Normative Anforderung</w:t>
        <w:br/>
      </w:r>
      <w:r>
        <w:t>Plug-ins, Erweiterungen, MCP-Server, Tools und Paketquellen MÜSSEN inventarisiert, lokal bezogen, versionsfixiert, geprüft und ausdrücklich freigegeben werden. Tool-Aufrufe MÜSSEN mit Identität, Zweck, Parametern, Ziel, Ergebnisstatus und Bestätigungsentscheidung lokal nachvollziehbar protokolliert werden, ohne unnötige Inhalts- oder Geheimnisdaten zu speichern.</w:t>
      </w:r>
    </w:p>
    <w:p>
      <w:pPr>
        <w:widowControl/>
        <w:spacing w:after="140" w:before="0" w:line="276" w:lineRule="auto"/>
      </w:pPr>
      <w:r>
        <w:rPr>
          <w:b/>
          <w:color w:val="1F4D78"/>
        </w:rPr>
        <w:t>Begründung</w:t>
        <w:br/>
      </w:r>
      <w:r>
        <w:t>Erweiterungen bilden eine dynamische Lieferkette und können zusätzliche Rechte oder Egresspfade einführen. Ohne Aufrufprotokolle bleiben reale Agentenwirkungen unklar.</w:t>
      </w:r>
    </w:p>
    <w:p>
      <w:pPr>
        <w:widowControl/>
        <w:spacing w:after="140" w:before="0" w:line="276" w:lineRule="auto"/>
      </w:pPr>
      <w:r>
        <w:rPr>
          <w:b/>
          <w:color w:val="1F4D78"/>
        </w:rPr>
        <w:t>Umsetzung in der Referenzarchitektur</w:t>
        <w:br/>
      </w:r>
      <w:r>
        <w:t>Zulässigkeitslisten, lokale Registrierungen, Hashes und Signaturen begrenzen die Lieferkette. Die Protokollierung trennt technische Metadaten von schutzbedürftigen Inhalten und schützt vor nachträglicher Veränderung.</w:t>
      </w:r>
    </w:p>
    <w:p>
      <w:pPr>
        <w:widowControl/>
        <w:spacing w:after="140" w:before="0" w:line="276" w:lineRule="auto"/>
      </w:pPr>
      <w:r>
        <w:rPr>
          <w:b/>
          <w:color w:val="1F4D78"/>
        </w:rPr>
        <w:t>Prüfziel</w:t>
        <w:br/>
      </w:r>
      <w:r>
        <w:t>Unfreigegebene Erweiterungen und Versionen müssen blockiert werden; für genehmigte Testaufrufe muss eine vollständige, datensparsame Nachweiskette entstehen.</w:t>
      </w:r>
    </w:p>
    <w:p>
      <w:pPr>
        <w:widowControl/>
        <w:spacing w:after="140" w:before="0" w:line="276" w:lineRule="auto"/>
      </w:pPr>
      <w:r>
        <w:rPr>
          <w:b/>
          <w:color w:val="1F4D78"/>
        </w:rPr>
        <w:t>Erwartete Nachweise</w:t>
        <w:br/>
      </w:r>
      <w:r>
        <w:t>Erweiterungsinventar; Freigabe- und Importnachweise; Hashes; lokale Registrierungen; Tool-Auditprotokolle; Manipulationsschutz; negative Installationstests.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Beschaffung; Einführung; Nutzung; Betrieb; Tool-Verantwortliche; Informationssicherheitsbeauftragte; Protokollierungsverantwortliche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OPS.1.1.10, OPS.1.1.5; ISO: ISO/IEC 27002:2022 5.21, ISO/IEC 27002:2022 8.15</w:t>
            </w:r>
          </w:p>
        </w:tc>
      </w:tr>
    </w:tbl>
    <w:p>
      <w:pPr>
        <w:widowControl/>
        <w:spacing w:after="200" w:before="120" w:line="276" w:lineRule="auto"/>
        <w:suppressAutoHyphens w:val="true"/>
        <w:pBdr>
          <w:bottom w:val="single" w:sz="8" w:space="6" w:color="2E74B5"/>
        </w:pBdr>
      </w:pPr>
      <w:r>
        <w:rPr>
          <w:b/>
          <w:color w:val="1F4D78"/>
        </w:rPr>
        <w:t>Quellen</w:t>
        <w:br/>
      </w:r>
      <w:r>
        <w:t>[Q-BSI-001] S. 10–13; [Q-NCSC-001] Secure development, deployment und operation; [Q-OWASP-001] Lieferkettenrisiken</w:t>
      </w:r>
      <w:r>
        <w:rPr>
          <w:rStyle w:val="FootnoteReference"/>
        </w:rPr>
        <w:footnoteReference w:id="27"/>
      </w:r>
    </w:p>
    <w:p>
      <w:pPr>
        <w:pStyle w:val="Heading2"/>
        <w:keepNext/>
      </w:pPr>
      <w:r>
        <w:t>9.13 Adversariale Angriffe, Modellmissbrauch und Ressourcenerschöpfung</w:t>
      </w:r>
    </w:p>
    <w:p>
      <w:pPr>
        <w:pStyle w:val="Heading3"/>
        <w:keepNext/>
      </w:pPr>
      <w:r>
        <w:t>KI-THR-001 – KI-spezifisches Bedrohungsmodell</w:t>
      </w:r>
    </w:p>
    <w:p>
      <w:pPr>
        <w:keepLines/>
        <w:widowControl/>
        <w:spacing w:after="140" w:before="0" w:line="276" w:lineRule="auto"/>
        <w:shd w:fill="F5F7FA"/>
      </w:pPr>
      <w:r>
        <w:rPr>
          <w:b/>
          <w:color w:val="1F4D78"/>
        </w:rPr>
        <w:t>Normative Anforderung</w:t>
        <w:br/>
      </w:r>
      <w:r>
        <w:t>Für jeden Anwendungsfall MUSS ein aktuelles Bedrohungsmodell Eingabe-, Modell-, Daten-, RAG-, Tool-, Client-, Schnittstellen- und Lieferkettenpfade betrachten. Mindestens Prompt Injection, Poisoning, Evasion, Datenrekonstruktion, Modellmissbrauch, unsichere Ausgaben, Privilegienausweitung und Datenabfluss MÜSSEN bewertet werden.</w:t>
      </w:r>
    </w:p>
    <w:p>
      <w:pPr>
        <w:widowControl/>
        <w:spacing w:after="140" w:before="0" w:line="276" w:lineRule="auto"/>
        <w:suppressAutoHyphens w:val="true"/>
      </w:pPr>
      <w:r>
        <w:rPr>
          <w:b/>
          <w:color w:val="1F4D78"/>
        </w:rPr>
        <w:t>Begründung</w:t>
        <w:br/>
      </w:r>
      <w:r>
        <w:t>Klassische Systemmodelle erfassen die probabilistische Verarbeitung untrusted Inhalte und die Handlungsketten agentischer Systeme nicht vollständig.</w:t>
      </w:r>
    </w:p>
    <w:p>
      <w:pPr>
        <w:widowControl/>
        <w:spacing w:after="140" w:before="0" w:line="276" w:lineRule="auto"/>
      </w:pPr>
      <w:r>
        <w:rPr>
          <w:b/>
          <w:color w:val="1F4D78"/>
        </w:rPr>
        <w:t>Umsetzung in der Referenzarchitektur</w:t>
        <w:br/>
      </w:r>
      <w:r>
        <w:t>Datenflussdiagramme markieren Vertrauensgrenzen, Autoren, Veränderungsmöglichkeiten, Aktionen und schutzbedürftige Werte. Angriffstechniken werden mit vorbeugenden, erkennenden und reaktiven Kontrollen verknüpft.</w:t>
      </w:r>
    </w:p>
    <w:p>
      <w:pPr>
        <w:widowControl/>
        <w:spacing w:after="140" w:before="0" w:line="276" w:lineRule="auto"/>
      </w:pPr>
      <w:r>
        <w:rPr>
          <w:b/>
          <w:color w:val="1F4D78"/>
        </w:rPr>
        <w:t>Prüfziel</w:t>
        <w:br/>
      </w:r>
      <w:r>
        <w:t>Prüfen, ob jeder real mögliche Daten- und Aktionspfad modelliert, mit Szenarien getestet und einer verantworteten Behandlung zugeordnet ist.</w:t>
      </w:r>
    </w:p>
    <w:p>
      <w:pPr>
        <w:widowControl/>
        <w:spacing w:after="140" w:before="0" w:line="276" w:lineRule="auto"/>
      </w:pPr>
      <w:r>
        <w:rPr>
          <w:b/>
          <w:color w:val="1F4D78"/>
        </w:rPr>
        <w:t>Erwartete Nachweise</w:t>
        <w:br/>
      </w:r>
      <w:r>
        <w:t>Bedrohungsmodell; Datenflussdiagramm; Angriffsszenarien; Kontrollzuordnung; Testergebnisse; akzeptierte Restrisiken.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Test; Änderung; Betrieb; Informationssicherheitsbeauftragte; KI-Verantwortliche;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DER.1, APP.6; ISO: ISO/IEC 27001:2022 6.1, ISO/IEC 23894:2023</w:t>
            </w:r>
          </w:p>
        </w:tc>
      </w:tr>
    </w:tbl>
    <w:p>
      <w:pPr>
        <w:widowControl/>
        <w:spacing w:after="200" w:before="120" w:line="276" w:lineRule="auto"/>
        <w:suppressAutoHyphens w:val="true"/>
        <w:pBdr>
          <w:bottom w:val="single" w:sz="8" w:space="6" w:color="2E74B5"/>
        </w:pBdr>
      </w:pPr>
      <w:r>
        <w:rPr>
          <w:b/>
          <w:color w:val="1F4D78"/>
        </w:rPr>
        <w:t>Quellen</w:t>
        <w:br/>
      </w:r>
      <w:r>
        <w:t>[Q-BSI-001] S. 12–16; [Q-NIST-002] Taxonomie der Angriffe und Abhilfen; [Q-MITRE-001] Tactics and techniques; [Q-OWASP-001] LLM Top 10 2025</w:t>
      </w:r>
      <w:r>
        <w:rPr>
          <w:rStyle w:val="FootnoteReference"/>
        </w:rPr>
        <w:footnoteReference w:id="28"/>
      </w:r>
    </w:p>
    <w:p>
      <w:pPr>
        <w:pStyle w:val="Heading3"/>
        <w:keepNext/>
      </w:pPr>
      <w:r>
        <w:t>KI-THR-002 – Ressourcen-, Missbrauchs- und Verfügbarkeitsgrenzen</w:t>
      </w:r>
    </w:p>
    <w:p>
      <w:pPr>
        <w:keepLines/>
        <w:widowControl/>
        <w:spacing w:after="140" w:before="0" w:line="276" w:lineRule="auto"/>
        <w:shd w:fill="F5F7FA"/>
      </w:pPr>
      <w:r>
        <w:rPr>
          <w:b/>
          <w:color w:val="1F4D78"/>
        </w:rPr>
        <w:t>Normative Anforderung</w:t>
        <w:br/>
      </w:r>
      <w:r>
        <w:t>Token, Kontext, Ausgabe, Datei- und Batchgröße, Parallelität, Laufzeit, Speicher, Beschleuniger, Retrieval-Treffer und Tool-Aufrufe MÜSSEN je Identität und Dienst begrenzt werden. Missbrauch und Ressourcenerschöpfung MÜSSEN erkannt, gedrosselt und kontrolliert beendet werden.</w:t>
      </w:r>
    </w:p>
    <w:p>
      <w:pPr>
        <w:widowControl/>
        <w:spacing w:after="140" w:before="0" w:line="276" w:lineRule="auto"/>
      </w:pPr>
      <w:r>
        <w:rPr>
          <w:b/>
          <w:color w:val="1F4D78"/>
        </w:rPr>
        <w:t>Begründung</w:t>
        <w:br/>
      </w:r>
      <w:r>
        <w:t>Lange Kontexte, rekursive Agentenschleifen und aufwendige Anfragen können lokale Kapazität erschöpfen und andere Dienste verdrängen.</w:t>
      </w:r>
    </w:p>
    <w:p>
      <w:pPr>
        <w:widowControl/>
        <w:spacing w:after="140" w:before="0" w:line="276" w:lineRule="auto"/>
      </w:pPr>
      <w:r>
        <w:rPr>
          <w:b/>
          <w:color w:val="1F4D78"/>
        </w:rPr>
        <w:t>Umsetzung in der Referenzarchitektur</w:t>
        <w:br/>
      </w:r>
      <w:r>
        <w:t>Quoten, Timeouts, Queueing, Circuit Breaker, Prioritäten und Kapazitätsreserven werden zentral konfiguriert. Kritische Basisdienste bleiben von KI-Ressourcen entkoppelt.</w:t>
      </w:r>
    </w:p>
    <w:p>
      <w:pPr>
        <w:widowControl/>
        <w:spacing w:after="140" w:before="0" w:line="276" w:lineRule="auto"/>
      </w:pPr>
      <w:r>
        <w:rPr>
          <w:b/>
          <w:color w:val="1F4D78"/>
        </w:rPr>
        <w:t>Prüfziel</w:t>
        <w:br/>
      </w:r>
      <w:r>
        <w:t>Last-, Grenzwert- und Missbrauchstests müssen faire Begrenzung, sichere Beendigung, Alarmierung und Wiederherstellung ohne Datenkorruption belegen.</w:t>
      </w:r>
    </w:p>
    <w:p>
      <w:pPr>
        <w:widowControl/>
        <w:spacing w:after="140" w:before="0" w:line="276" w:lineRule="auto"/>
      </w:pPr>
      <w:r>
        <w:rPr>
          <w:b/>
          <w:color w:val="1F4D78"/>
        </w:rPr>
        <w:t>Erwartete Nachweise</w:t>
        <w:br/>
      </w:r>
      <w:r>
        <w:t>Kapazitätsmodell; Grenzwertkonfiguration; Lasttests; Alarmregeln; Drosselungsprotokolle; Wiederherstellungsnachweis.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Test; Betrieb; Kapazitätsverantwortliche; Plattformverantwortliche; Betriebsverantwortliche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 DER.1; ISO: ISO/IEC 27002:2022 8.6, ISO/IEC 27002:2022 8.16</w:t>
            </w:r>
          </w:p>
        </w:tc>
      </w:tr>
    </w:tbl>
    <w:p>
      <w:pPr>
        <w:widowControl/>
        <w:spacing w:after="200" w:before="120" w:line="276" w:lineRule="auto"/>
        <w:suppressAutoHyphens w:val="true"/>
        <w:pBdr>
          <w:bottom w:val="single" w:sz="8" w:space="6" w:color="2E74B5"/>
        </w:pBdr>
      </w:pPr>
      <w:r>
        <w:rPr>
          <w:b/>
          <w:color w:val="1F4D78"/>
        </w:rPr>
        <w:t>Quellen</w:t>
        <w:br/>
      </w:r>
      <w:r>
        <w:t>[Q-BSI-001] S. 14–16; [Q-OWASP-001] Ressourcenverbrauch; [Q-NIST-001] Measure- und Manage-Aktionen</w:t>
      </w:r>
      <w:r>
        <w:rPr>
          <w:rStyle w:val="FootnoteReference"/>
        </w:rPr>
        <w:footnoteReference w:id="29"/>
      </w:r>
    </w:p>
    <w:p>
      <w:pPr>
        <w:pStyle w:val="Heading2"/>
        <w:keepNext/>
      </w:pPr>
      <w:r>
        <w:t>9.14 Evaluierung, Freigabe, Regression und Rollback</w:t>
      </w:r>
    </w:p>
    <w:p>
      <w:pPr>
        <w:pStyle w:val="Heading3"/>
        <w:keepNext/>
      </w:pPr>
      <w:r>
        <w:t>KI-VAL-001 – Reproduzierbare Qualitäts- und Sicherheitsevaluierung</w:t>
      </w:r>
    </w:p>
    <w:p>
      <w:pPr>
        <w:keepLines/>
        <w:widowControl/>
        <w:spacing w:after="140" w:before="0" w:line="276" w:lineRule="auto"/>
        <w:shd w:fill="F5F7FA"/>
      </w:pPr>
      <w:r>
        <w:rPr>
          <w:b/>
          <w:color w:val="1F4D78"/>
        </w:rPr>
        <w:t>Normative Anforderung</w:t>
        <w:br/>
      </w:r>
      <w:r>
        <w:t>Vor Erstfreigabe MUSS jede Modell-Laufzeit-Anwendungsfall-Kombination anhand repräsentativer, getrennt verwalteter Testfälle auf fachliche Qualität, Robustheit, Datenschutz und Sicherheit evaluiert werden. Schwellenwerte, Metriken, Datensätze, Zufallsparameter, Umgebung und Ergebnisse MÜSSEN dokumentiert und reproduzierbar sein.</w:t>
      </w:r>
    </w:p>
    <w:p>
      <w:pPr>
        <w:widowControl/>
        <w:spacing w:after="140" w:before="0" w:line="276" w:lineRule="auto"/>
      </w:pPr>
      <w:r>
        <w:rPr>
          <w:b/>
          <w:color w:val="1F4D78"/>
        </w:rPr>
        <w:t>Begründung</w:t>
        <w:br/>
      </w:r>
      <w:r>
        <w:t>Allgemeine Benchmarks belegen weder Eignung noch Sicherheit im lokalen Anwendungsfall. Modellantworten sind variabel und benötigen wiederholbare Messung.</w:t>
      </w:r>
    </w:p>
    <w:p>
      <w:pPr>
        <w:widowControl/>
        <w:spacing w:after="140" w:before="0" w:line="276" w:lineRule="auto"/>
      </w:pPr>
      <w:r>
        <w:rPr>
          <w:b/>
          <w:color w:val="1F4D78"/>
        </w:rPr>
        <w:t>Umsetzung in der Referenzarchitektur</w:t>
        <w:br/>
      </w:r>
      <w:r>
        <w:t>Ein fachliches Testset, Missbrauchs- und Red-Team-Fälle sowie klare Abnahmeschwellen werden vor dem Test festgelegt. Unabhängige qualifizierte Personen prüfen wesentliche Ergebnisse.</w:t>
      </w:r>
    </w:p>
    <w:p>
      <w:pPr>
        <w:widowControl/>
        <w:spacing w:after="140" w:before="0" w:line="276" w:lineRule="auto"/>
      </w:pPr>
      <w:r>
        <w:rPr>
          <w:b/>
          <w:color w:val="1F4D78"/>
        </w:rPr>
        <w:t>Prüfziel</w:t>
        <w:br/>
      </w:r>
      <w:r>
        <w:t>Eine Stichprobe muss mit derselben Konfiguration reproduzierbar sein; unterschrittene Schwellenwerte müssen die Freigabe blockieren.</w:t>
      </w:r>
    </w:p>
    <w:p>
      <w:pPr>
        <w:widowControl/>
        <w:spacing w:after="140" w:before="0" w:line="276" w:lineRule="auto"/>
      </w:pPr>
      <w:r>
        <w:rPr>
          <w:b/>
          <w:color w:val="1F4D78"/>
        </w:rPr>
        <w:t>Erwartete Nachweise</w:t>
        <w:br/>
      </w:r>
      <w:r>
        <w:t>Testplan; versionierte Testdaten; Metrikdefinitionen; Laufzeit- und Parameterstand; Roh- und Ergebnisdaten; unabhängiges Review; Freigabeentscheidung.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Test; Freigabe; Testverantwortliche; Fachverantwortliche;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OPS.1.1.6, APP.6; ISO: ISO/IEC 42001:2023 A.7, ISO/IEC 25059:2023</w:t>
            </w:r>
          </w:p>
        </w:tc>
      </w:tr>
    </w:tbl>
    <w:p>
      <w:pPr>
        <w:widowControl/>
        <w:spacing w:after="200" w:before="120" w:line="276" w:lineRule="auto"/>
        <w:suppressAutoHyphens w:val="true"/>
        <w:pBdr>
          <w:bottom w:val="single" w:sz="8" w:space="6" w:color="2E74B5"/>
        </w:pBdr>
      </w:pPr>
      <w:r>
        <w:rPr>
          <w:b/>
          <w:color w:val="1F4D78"/>
        </w:rPr>
        <w:t>Quellen</w:t>
        <w:br/>
      </w:r>
      <w:r>
        <w:t>[Q-BSI-001] S. 9–12; [Q-BMVG-001] S. 29–32; [Q-NIST-001] Measure-Aktionen; [Q-ISO-25059] öffentliche Metadaten zum KI-Qualitätsmodell</w:t>
      </w:r>
      <w:r>
        <w:rPr>
          <w:rStyle w:val="FootnoteReference"/>
        </w:rPr>
        <w:footnoteReference w:id="30"/>
      </w:r>
    </w:p>
    <w:p>
      <w:pPr>
        <w:pStyle w:val="Heading3"/>
        <w:keepNext/>
      </w:pPr>
      <w:r>
        <w:t>KI-VAL-002 – Änderungsabhängige Regression, Wiederfreigabe und Rollback</w:t>
      </w:r>
    </w:p>
    <w:p>
      <w:pPr>
        <w:keepLines/>
        <w:widowControl/>
        <w:spacing w:after="140" w:before="0" w:line="276" w:lineRule="auto"/>
        <w:shd w:fill="F5F7FA"/>
      </w:pPr>
      <w:r>
        <w:rPr>
          <w:b/>
          <w:color w:val="1F4D78"/>
        </w:rPr>
        <w:t>Normative Anforderung</w:t>
        <w:br/>
      </w:r>
      <w:r>
        <w:t>Änderungen an Modell, Quantisierung, Laufzeit, Systemanweisung, RAG-Daten oder -Logik, Embeddings, Reranker, Gateway, Tooling und Sicherheitsparametern MÜSSEN risikobasiert Regressionstests und eine Wiederfreigabe auslösen. Bei Abweichungen MUSS ein getesteter Rollback verfügbar sein.</w:t>
      </w:r>
    </w:p>
    <w:p>
      <w:pPr>
        <w:widowControl/>
        <w:spacing w:after="140" w:before="0" w:line="276" w:lineRule="auto"/>
      </w:pPr>
      <w:r>
        <w:rPr>
          <w:b/>
          <w:color w:val="1F4D78"/>
        </w:rPr>
        <w:t>Begründung</w:t>
        <w:br/>
      </w:r>
      <w:r>
        <w:t>KI-Verhalten entsteht aus der gesamten Kette. Eine scheinbar kleine Komponentenänderung kann Qualität, Sicherheit oder Berechtigungswirkung verschieben.</w:t>
      </w:r>
    </w:p>
    <w:p>
      <w:pPr>
        <w:widowControl/>
        <w:spacing w:after="140" w:before="0" w:line="276" w:lineRule="auto"/>
      </w:pPr>
      <w:r>
        <w:rPr>
          <w:b/>
          <w:color w:val="1F4D78"/>
        </w:rPr>
        <w:t>Umsetzung in der Referenzarchitektur</w:t>
        <w:br/>
      </w:r>
      <w:r>
        <w:t>Eine Änderungsmatrix ordnet Komponenten konkrete Tests zu. Automatisierte Vergleiche erkennen Sicherheits- und Qualitätsregressionen; Freigabemanifeste erlauben atomaren Wechsel und Rückkehr.</w:t>
      </w:r>
    </w:p>
    <w:p>
      <w:pPr>
        <w:widowControl/>
        <w:spacing w:after="140" w:before="0" w:line="276" w:lineRule="auto"/>
      </w:pPr>
      <w:r>
        <w:rPr>
          <w:b/>
          <w:color w:val="1F4D78"/>
        </w:rPr>
        <w:t>Prüfziel</w:t>
        <w:br/>
      </w:r>
      <w:r>
        <w:t>Für jede Änderung die ausgelösten Tests, Entscheidung und erfolgreiche Rückkehr zur vorherigen freigegebenen Kombination nachweisen.</w:t>
      </w:r>
    </w:p>
    <w:p>
      <w:pPr>
        <w:widowControl/>
        <w:spacing w:after="140" w:before="0" w:line="276" w:lineRule="auto"/>
      </w:pPr>
      <w:r>
        <w:rPr>
          <w:b/>
          <w:color w:val="1F4D78"/>
        </w:rPr>
        <w:t>Erwartete Nachweise</w:t>
        <w:br/>
      </w:r>
      <w:r>
        <w:t>Änderungsantrag; Auswirkungsanalyse; Regressionsergebnisse; neues Freigabemanifest; Rollbackplan und -test; Kommunikationsnachweis.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Änderung; Test; Freigabe; Änderungsverantwortliche; Testverantwortliche; Betriebsverantwortliche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OPS.1.1.3, OPS.1.1.6; ISO: ISO/IEC 27002:2022 8.32, ISO/IEC 5338:2023</w:t>
            </w:r>
          </w:p>
        </w:tc>
      </w:tr>
    </w:tbl>
    <w:p>
      <w:pPr>
        <w:widowControl/>
        <w:spacing w:after="200" w:before="120" w:line="276" w:lineRule="auto"/>
        <w:suppressAutoHyphens w:val="true"/>
        <w:pBdr>
          <w:bottom w:val="single" w:sz="8" w:space="6" w:color="2E74B5"/>
        </w:pBdr>
      </w:pPr>
      <w:r>
        <w:rPr>
          <w:b/>
          <w:color w:val="1F4D78"/>
        </w:rPr>
        <w:t>Quellen</w:t>
        <w:br/>
      </w:r>
      <w:r>
        <w:t>[Q-BSI-001] S. 8 und S. 11–12; [Q-BMVG-001] S. 29–32 und S. 45–47; [Q-ISO-5338] öffentliche Lebenszyklusmetadaten</w:t>
      </w:r>
      <w:r>
        <w:rPr>
          <w:rStyle w:val="FootnoteReference"/>
        </w:rPr>
        <w:footnoteReference w:id="31"/>
      </w:r>
    </w:p>
    <w:p>
      <w:pPr>
        <w:pStyle w:val="Heading2"/>
        <w:keepNext/>
      </w:pPr>
      <w:r>
        <w:t>9.15 Protokollierung, Monitoring, Drift, Vorfälle und Wiederanlauf</w:t>
      </w:r>
    </w:p>
    <w:p>
      <w:pPr>
        <w:pStyle w:val="Heading3"/>
        <w:keepNext/>
      </w:pPr>
      <w:r>
        <w:t>KI-OPS-001 – Datensparsame und manipulationsgeschützte KI-Protokollierung</w:t>
      </w:r>
    </w:p>
    <w:p>
      <w:pPr>
        <w:keepLines/>
        <w:widowControl/>
        <w:spacing w:after="140" w:before="0" w:line="276" w:lineRule="auto"/>
        <w:shd w:fill="F5F7FA"/>
      </w:pPr>
      <w:r>
        <w:rPr>
          <w:b/>
          <w:color w:val="1F4D78"/>
        </w:rPr>
        <w:t>Normative Anforderung</w:t>
        <w:br/>
      </w:r>
      <w:r>
        <w:t>Sicherheitsrelevante KI-Ereignisse MÜSSEN lokal, zeitlich synchronisiert, identitätsbezogen und manipulationsgeschützt protokolliert werden. Erforderlich sind mindestens Modell- und Richtlinienversion, Zugriff, Tool-Aufruf, Freigabe, Blockierung, Grenzwertverletzung, Administrationsänderung und Vorfallbezug; Inhaltsdaten DÜRFEN nur zweckgebunden und minimiert gespeichert werden.</w:t>
      </w:r>
    </w:p>
    <w:p>
      <w:pPr>
        <w:widowControl/>
        <w:spacing w:after="140" w:before="0" w:line="276" w:lineRule="auto"/>
      </w:pPr>
      <w:r>
        <w:rPr>
          <w:b/>
          <w:color w:val="1F4D78"/>
        </w:rPr>
        <w:t>Begründung</w:t>
        <w:br/>
      </w:r>
      <w:r>
        <w:t>Ohne technische Kontextdaten lassen sich Modellverhalten und Agentenwirkungen nicht untersuchen; vollständige Prompts können zugleich sensible Inhalte und Geheimnisse vervielfachen.</w:t>
      </w:r>
    </w:p>
    <w:p>
      <w:pPr>
        <w:widowControl/>
        <w:spacing w:after="140" w:before="0" w:line="276" w:lineRule="auto"/>
      </w:pPr>
      <w:r>
        <w:rPr>
          <w:b/>
          <w:color w:val="1F4D78"/>
        </w:rPr>
        <w:t>Umsetzung in der Referenzarchitektur</w:t>
        <w:br/>
      </w:r>
      <w:r>
        <w:t>Ein Protokollierungskonzept trennt Sicherheitsmetadaten, optionale Inhaltsprotokolle und Auditdaten, definiert Zugriff, Aufbewahrung, Integrität, Löschung und lokale SIEM-Korrelation.</w:t>
      </w:r>
    </w:p>
    <w:p>
      <w:pPr>
        <w:widowControl/>
        <w:spacing w:after="140" w:before="0" w:line="276" w:lineRule="auto"/>
      </w:pPr>
      <w:r>
        <w:rPr>
          <w:b/>
          <w:color w:val="1F4D78"/>
        </w:rPr>
        <w:t>Prüfziel</w:t>
        <w:br/>
      </w:r>
      <w:r>
        <w:t>Aus einem Testvorfall die verantwortliche Identität, wirksame Modell- und Richtlinienversion sowie Toolkette rekonstruieren, ohne unnötige Inhaltsdaten offenzulegen.</w:t>
      </w:r>
    </w:p>
    <w:p>
      <w:pPr>
        <w:widowControl/>
        <w:spacing w:after="140" w:before="0" w:line="276" w:lineRule="auto"/>
      </w:pPr>
      <w:r>
        <w:rPr>
          <w:b/>
          <w:color w:val="1F4D78"/>
        </w:rPr>
        <w:t>Erwartete Nachweise</w:t>
        <w:br/>
      </w:r>
      <w:r>
        <w:t>Protokollierungskonzept; Beispieldatensätze; Zeit- und Integritätsnachweis; SIEM-Regeln; Zugriffs- und Löschprüfung; Rekonstruktionsübung.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Vorfall; Prüfung; Protokollierungsverantwortliche; Datenschutzbeauftragte;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OPS.1.1.5, DER.1; ISO: ISO/IEC 27002:2022 8.15, ISO/IEC 27002:2022 8.17</w:t>
            </w:r>
          </w:p>
        </w:tc>
      </w:tr>
    </w:tbl>
    <w:p>
      <w:pPr>
        <w:widowControl/>
        <w:spacing w:after="200" w:before="120" w:line="276" w:lineRule="auto"/>
        <w:suppressAutoHyphens w:val="true"/>
        <w:pBdr>
          <w:bottom w:val="single" w:sz="8" w:space="6" w:color="2E74B5"/>
        </w:pBdr>
      </w:pPr>
      <w:r>
        <w:rPr>
          <w:b/>
          <w:color w:val="1F4D78"/>
        </w:rPr>
        <w:t>Quellen</w:t>
        <w:br/>
      </w:r>
      <w:r>
        <w:t>[Q-BSI-001] S. 12–13; [Q-BMVG-001] S. 23–26 und S. 45–47; [Q-DSK-002] Kap. 2–6</w:t>
      </w:r>
      <w:r>
        <w:rPr>
          <w:rStyle w:val="FootnoteReference"/>
        </w:rPr>
        <w:footnoteReference w:id="32"/>
      </w:r>
    </w:p>
    <w:p>
      <w:pPr>
        <w:pStyle w:val="Heading3"/>
        <w:keepNext/>
      </w:pPr>
      <w:r>
        <w:t>KI-OPS-002 – Monitoring, Drift und KI-Vorfallbehandlung</w:t>
      </w:r>
    </w:p>
    <w:p>
      <w:pPr>
        <w:keepLines/>
        <w:widowControl/>
        <w:spacing w:after="140" w:before="0" w:line="276" w:lineRule="auto"/>
        <w:shd w:fill="F5F7FA"/>
      </w:pPr>
      <w:r>
        <w:rPr>
          <w:b/>
          <w:color w:val="1F4D78"/>
        </w:rPr>
        <w:t>Normative Anforderung</w:t>
        <w:br/>
      </w:r>
      <w:r>
        <w:t>Qualität, Fehlerraten, Ablehnungen, Ressourcenverbrauch, Policy-Verstöße, Prompt-Injection-Indikatoren, RAG-Auffälligkeiten und Modell- beziehungsweise Konfigurationsdrift MÜSSEN risikoorientiert überwacht werden. KI-spezifische Vorfälle MÜSSEN in den allgemeinen Vorfallprozess integriert und mit Abschalt- und Rückrollmöglichkeiten behandelt werden.</w:t>
      </w:r>
    </w:p>
    <w:p>
      <w:pPr>
        <w:widowControl/>
        <w:spacing w:after="140" w:before="0" w:line="276" w:lineRule="auto"/>
      </w:pPr>
      <w:r>
        <w:rPr>
          <w:b/>
          <w:color w:val="1F4D78"/>
        </w:rPr>
        <w:t>Begründung</w:t>
        <w:br/>
      </w:r>
      <w:r>
        <w:t>Verschlechterungen und Angriffe zeigen sich häufig zuerst in Ausgabe- oder Nutzungsmetriken und nicht in klassischen Hostalarmen.</w:t>
      </w:r>
    </w:p>
    <w:p>
      <w:pPr>
        <w:widowControl/>
        <w:spacing w:after="140" w:before="0" w:line="276" w:lineRule="auto"/>
      </w:pPr>
      <w:r>
        <w:rPr>
          <w:b/>
          <w:color w:val="1F4D78"/>
        </w:rPr>
        <w:t>Umsetzung in der Referenzarchitektur</w:t>
        <w:br/>
      </w:r>
      <w:r>
        <w:t>Baseline, Schwellenwerte, Alarmwege, Triageleitfäden und sichere Degradationsmodi werden festgelegt. Vorfallsübungen umfassen Datenabfluss, vergiftete RAG-Quelle, kompromittiertes Modell und Agentenfehlaktion.</w:t>
      </w:r>
    </w:p>
    <w:p>
      <w:pPr>
        <w:widowControl/>
        <w:spacing w:after="140" w:before="0" w:line="276" w:lineRule="auto"/>
      </w:pPr>
      <w:r>
        <w:rPr>
          <w:b/>
          <w:color w:val="1F4D78"/>
        </w:rPr>
        <w:t>Prüfziel</w:t>
        <w:br/>
      </w:r>
      <w:r>
        <w:t>Künstliche Abweichungen müssen erkannt, richtig priorisiert und bis zu Eindämmung, Beweissicherung, Wiederherstellung und Nachbereitung bearbeitet werden.</w:t>
      </w:r>
    </w:p>
    <w:p>
      <w:pPr>
        <w:widowControl/>
        <w:spacing w:after="140" w:before="0" w:line="276" w:lineRule="auto"/>
      </w:pPr>
      <w:r>
        <w:rPr>
          <w:b/>
          <w:color w:val="1F4D78"/>
        </w:rPr>
        <w:t>Erwartete Nachweise</w:t>
        <w:br/>
      </w:r>
      <w:r>
        <w:t>Monitoringkonzept; Dashboards; Alarmregeln; Driftbericht; Vorfallleitfäden; Übungsprotokolle; Korrektur- und Rückrollnachweise.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Vorfall; Änderung; Betriebsverantwortliche; Informationssicherheitsbeauftragte; Vorfallverantwortliche; Modellverantwortliche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DER.1, DER.2.1; ISO: ISO/IEC 27002:2022 8.16, ISO/IEC 27002:2022 5.24</w:t>
            </w:r>
          </w:p>
        </w:tc>
      </w:tr>
    </w:tbl>
    <w:p>
      <w:pPr>
        <w:widowControl/>
        <w:spacing w:after="200" w:before="120" w:line="276" w:lineRule="auto"/>
        <w:suppressAutoHyphens w:val="true"/>
        <w:pBdr>
          <w:bottom w:val="single" w:sz="8" w:space="6" w:color="2E74B5"/>
        </w:pBdr>
      </w:pPr>
      <w:r>
        <w:rPr>
          <w:b/>
          <w:color w:val="1F4D78"/>
        </w:rPr>
        <w:t>Quellen</w:t>
        <w:br/>
      </w:r>
      <w:r>
        <w:t>[Q-BMVG-001] S. 31–32 und S. 45–47; [Q-BSI-001] S. 8 und S. 12–16; [Q-NIST-001] Measure- und Manage-Aktionen</w:t>
      </w:r>
      <w:r>
        <w:rPr>
          <w:rStyle w:val="FootnoteReference"/>
        </w:rPr>
        <w:footnoteReference w:id="33"/>
      </w:r>
    </w:p>
    <w:p>
      <w:pPr>
        <w:pStyle w:val="Heading3"/>
        <w:keepNext/>
      </w:pPr>
      <w:r>
        <w:t>KI-OPS-003 – Wiederanlauf und konsistente Sicherungen</w:t>
      </w:r>
    </w:p>
    <w:p>
      <w:pPr>
        <w:keepLines/>
        <w:widowControl/>
        <w:spacing w:after="140" w:before="0" w:line="276" w:lineRule="auto"/>
        <w:shd w:fill="F5F7FA"/>
      </w:pPr>
      <w:r>
        <w:rPr>
          <w:b/>
          <w:color w:val="1F4D78"/>
        </w:rPr>
        <w:t>Normative Anforderung</w:t>
        <w:br/>
      </w:r>
      <w:r>
        <w:t>Wiederanlauf- und Sicherungsverfahren MÜSSEN die konsistente Kombination aus Modell, Laufzeit, Gatewayrichtlinien, Systemanweisungen, RAG-Quellen, Index, ACL-Metadaten, Konfiguration und Nachweisen berücksichtigen. Wiederherstellungen MÜSSEN regelmäßig ohne Internetzugang erprobt werden.</w:t>
      </w:r>
    </w:p>
    <w:p>
      <w:pPr>
        <w:widowControl/>
        <w:spacing w:after="140" w:before="0" w:line="276" w:lineRule="auto"/>
      </w:pPr>
      <w:r>
        <w:rPr>
          <w:b/>
          <w:color w:val="1F4D78"/>
        </w:rPr>
        <w:t>Begründung</w:t>
        <w:br/>
      </w:r>
      <w:r>
        <w:t>Ein technisch gestarteter Dienst ist nicht betriebsfähig, wenn Modell, Index, Berechtigungen oder Freigabestand auseinanderfallen.</w:t>
      </w:r>
    </w:p>
    <w:p>
      <w:pPr>
        <w:widowControl/>
        <w:spacing w:after="140" w:before="0" w:line="276" w:lineRule="auto"/>
      </w:pPr>
      <w:r>
        <w:rPr>
          <w:b/>
          <w:color w:val="1F4D78"/>
        </w:rPr>
        <w:t>Umsetzung in der Referenzarchitektur</w:t>
        <w:br/>
      </w:r>
      <w:r>
        <w:t>Versionierte Sicherungssätze und Wiederanlaufreihenfolge stellen Identitäten und Richtlinien vor Daten- und KI-Funktionen bereit. Nach Wiederherstellung erfolgen Integritäts-, Berechtigungs- und Regressionstests.</w:t>
      </w:r>
    </w:p>
    <w:p>
      <w:pPr>
        <w:widowControl/>
        <w:spacing w:after="140" w:before="0" w:line="276" w:lineRule="auto"/>
      </w:pPr>
      <w:r>
        <w:rPr>
          <w:b/>
          <w:color w:val="1F4D78"/>
        </w:rPr>
        <w:t>Prüfziel</w:t>
        <w:br/>
      </w:r>
      <w:r>
        <w:t>Aus freigegebenen Sicherungen eine konsistente Umgebung wiederherstellen und Hashes, ACLs, Kernfunktionen sowie fehlenden Internetbedarf nachweisen.</w:t>
      </w:r>
    </w:p>
    <w:p>
      <w:pPr>
        <w:widowControl/>
        <w:spacing w:after="140" w:before="0" w:line="276" w:lineRule="auto"/>
      </w:pPr>
      <w:r>
        <w:rPr>
          <w:b/>
          <w:color w:val="1F4D78"/>
        </w:rPr>
        <w:t>Erwartete Nachweise</w:t>
        <w:br/>
      </w:r>
      <w:r>
        <w:t>Sicherungsmatrix; Wiederanlaufplan; Offline-Wiederherstellungstest; Integritäts- und ACL-Prüfung; Wiederanlaufzeiten; Abweichungsbehandlung.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Notfall; Wiederanlauf; Backup-Verantwortliche; Betriebsverantwortliche;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CON.3, DER.4; ISO: ISO/IEC 27002:2022 8.13, ISO/IEC 27002:2022 5.30</w:t>
            </w:r>
          </w:p>
        </w:tc>
      </w:tr>
    </w:tbl>
    <w:p>
      <w:pPr>
        <w:widowControl/>
        <w:spacing w:after="200" w:before="120" w:line="276" w:lineRule="auto"/>
        <w:suppressAutoHyphens w:val="true"/>
        <w:pBdr>
          <w:bottom w:val="single" w:sz="8" w:space="6" w:color="2E74B5"/>
        </w:pBdr>
      </w:pPr>
      <w:r>
        <w:rPr>
          <w:b/>
          <w:color w:val="1F4D78"/>
        </w:rPr>
        <w:t>Quellen</w:t>
        <w:br/>
      </w:r>
      <w:r>
        <w:t>[Q-BSI-001] S. 11–13; [Q-NCSC-001] Secure operation and maintenance; [Q-BMVG-001] S. 45–47</w:t>
      </w:r>
      <w:r>
        <w:rPr>
          <w:rStyle w:val="FootnoteReference"/>
        </w:rPr>
        <w:footnoteReference w:id="34"/>
      </w:r>
    </w:p>
    <w:p>
      <w:pPr>
        <w:pStyle w:val="Heading2"/>
        <w:keepNext/>
      </w:pPr>
      <w:r>
        <w:t>9.16 Außerbetriebnahme und nachweisbare Löschung</w:t>
      </w:r>
    </w:p>
    <w:p>
      <w:pPr>
        <w:pStyle w:val="Heading3"/>
        <w:keepNext/>
      </w:pPr>
      <w:r>
        <w:t>KI-DEC-001 – Kontrollierte Außerbetriebnahme</w:t>
      </w:r>
    </w:p>
    <w:p>
      <w:pPr>
        <w:keepLines/>
        <w:widowControl/>
        <w:spacing w:after="140" w:before="0" w:line="276" w:lineRule="auto"/>
        <w:shd w:fill="F5F7FA"/>
      </w:pPr>
      <w:r>
        <w:rPr>
          <w:b/>
          <w:color w:val="1F4D78"/>
        </w:rPr>
        <w:t>Normative Anforderung</w:t>
        <w:br/>
      </w:r>
      <w:r>
        <w:t>Bei Außerbetriebnahme eines Modells, Dienstes, RAG-Bestands, Tools oder Anwendungsfalls MÜSSEN Zugänge widerrufen, Endpunkte entfernt, Aufgaben beendet, Modelle und Daten nach Aufbewahrungsregeln gelöscht, lokale Registrierungen bereinigt und Nachweise revisionsgeeignet abgeschlossen werden.</w:t>
      </w:r>
    </w:p>
    <w:p>
      <w:pPr>
        <w:widowControl/>
        <w:spacing w:after="140" w:before="0" w:line="276" w:lineRule="auto"/>
      </w:pPr>
      <w:r>
        <w:rPr>
          <w:b/>
          <w:color w:val="1F4D78"/>
        </w:rPr>
        <w:t>Begründung</w:t>
        <w:br/>
      </w:r>
      <w:r>
        <w:t>Verwaiste Endpunkte, Konten, Indizes, Caches oder Modellkopien bleiben sonst erreichbar und entziehen sich Patch-, Rechte- und Löschprozessen.</w:t>
      </w:r>
    </w:p>
    <w:p>
      <w:pPr>
        <w:widowControl/>
        <w:spacing w:after="140" w:before="0" w:line="276" w:lineRule="auto"/>
      </w:pPr>
      <w:r>
        <w:rPr>
          <w:b/>
          <w:color w:val="1F4D78"/>
        </w:rPr>
        <w:t>Umsetzung in der Referenzarchitektur</w:t>
        <w:br/>
      </w:r>
      <w:r>
        <w:t>Eine objektbezogene Checkliste umfasst Identitäten, Zertifikate, Geheimnisse, Netze, Jobs, Speicher, Sicherungen, Protokolle, Lizenzen und abhängige Anwendungsfälle. Fachwissen bleibt in kontrollierten Quellen und wird nicht aus Modellgewichten migriert.</w:t>
      </w:r>
    </w:p>
    <w:p>
      <w:pPr>
        <w:widowControl/>
        <w:spacing w:after="140" w:before="0" w:line="276" w:lineRule="auto"/>
      </w:pPr>
      <w:r>
        <w:rPr>
          <w:b/>
          <w:color w:val="1F4D78"/>
        </w:rPr>
        <w:t>Prüfziel</w:t>
        <w:br/>
      </w:r>
      <w:r>
        <w:t>Für eine Testaußerbetriebnahme nachweisen, dass keine aktive Erreichbarkeit oder unzulässige Datenkopie verbleibt und erforderliche Nachweise erhalten sind.</w:t>
      </w:r>
    </w:p>
    <w:p>
      <w:pPr>
        <w:widowControl/>
        <w:spacing w:after="140" w:before="0" w:line="276" w:lineRule="auto"/>
      </w:pPr>
      <w:r>
        <w:rPr>
          <w:b/>
          <w:color w:val="1F4D78"/>
        </w:rPr>
        <w:t>Erwartete Nachweise</w:t>
        <w:br/>
      </w:r>
      <w:r>
        <w:t>Außerbetriebnahmeauftrag; Widerrufs- und Netztest; Löschprotokolle; Registerabgleich; Sicherungsbehandlung; Abschlussfreigabe.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Außerbetriebnahme; Löschung; Systemverantwortliche; Datenverantwortliche; Identitätsverantwortliche;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OPS.1.1.2; ISO: ISO/IEC 27002:2022 8.10, ISO/IEC 27002:2022 5.11</w:t>
            </w:r>
          </w:p>
        </w:tc>
      </w:tr>
    </w:tbl>
    <w:p>
      <w:pPr>
        <w:widowControl/>
        <w:spacing w:after="200" w:before="120" w:line="276" w:lineRule="auto"/>
        <w:suppressAutoHyphens w:val="true"/>
        <w:pBdr>
          <w:bottom w:val="single" w:sz="8" w:space="6" w:color="2E74B5"/>
        </w:pBdr>
      </w:pPr>
      <w:r>
        <w:rPr>
          <w:b/>
          <w:color w:val="1F4D78"/>
        </w:rPr>
        <w:t>Quellen</w:t>
        <w:br/>
      </w:r>
      <w:r>
        <w:t>[Q-BSI-001] S. 13; [Q-DSK-001] Beendigung; [Q-BMVG-001] S. 45–47</w:t>
      </w:r>
      <w:r>
        <w:rPr>
          <w:rStyle w:val="FootnoteReference"/>
        </w:rPr>
        <w:footnoteReference w:id="35"/>
      </w:r>
    </w:p>
    <w:p>
      <w:pPr>
        <w:pStyle w:val="Heading2"/>
        <w:keepNext/>
      </w:pPr>
      <w:r>
        <w:t>9.17 Bedingte Anforderungen für externe Inferenz</w:t>
      </w:r>
    </w:p>
    <w:p>
      <w:pPr>
        <w:pStyle w:val="Heading3"/>
        <w:keepNext/>
      </w:pPr>
      <w:r>
        <w:t>KI-EXT-001 – Neue Bewertung vor externer Inferenz</w:t>
      </w:r>
    </w:p>
    <w:p>
      <w:pPr>
        <w:keepLines/>
        <w:widowControl/>
        <w:spacing w:after="140" w:before="0" w:line="276" w:lineRule="auto"/>
        <w:shd w:fill="F5F7FA"/>
      </w:pPr>
      <w:r>
        <w:rPr>
          <w:b/>
          <w:color w:val="1F4D78"/>
        </w:rPr>
        <w:t>Normative Anforderung</w:t>
        <w:br/>
      </w:r>
      <w:r>
        <w:t>Wenn externe Inferenz aktiviert werden soll, MUSS vor jeder Datenübertragung eine neue organisationsspezifische Bewertung und Freigabe mindestens Datenschutz, Klassifikation, Verträge, Auftragsverarbeitung, Drittlandbezug, Anbieter und Lieferkette, Protokollierung, Löschung, Aufbewahrung, Verschlüsselung, Schlüsselverwaltung, Verfügbarkeit, Vorfälle und Ausstieg abdecken. Ohne abgeschlossene Freigabe DARF keine externe Inferenz erfolgen.</w:t>
      </w:r>
    </w:p>
    <w:p>
      <w:pPr>
        <w:widowControl/>
        <w:spacing w:after="140" w:before="0" w:line="276" w:lineRule="auto"/>
      </w:pPr>
      <w:r>
        <w:rPr>
          <w:b/>
          <w:color w:val="1F4D78"/>
        </w:rPr>
        <w:t>Begründung</w:t>
        <w:br/>
      </w:r>
      <w:r>
        <w:t>Prompts, Systemanweisungen, Kontexte, RAG-Ausschnitte, Uploads, Metadaten und Ausgaben werden beim externen Betreiber verarbeitet; TLS beseitigt diese Verarbeitung nicht.</w:t>
      </w:r>
    </w:p>
    <w:p>
      <w:pPr>
        <w:widowControl/>
        <w:spacing w:after="140" w:before="0" w:line="276" w:lineRule="auto"/>
      </w:pPr>
      <w:r>
        <w:rPr>
          <w:b/>
          <w:color w:val="1F4D78"/>
        </w:rPr>
        <w:t>Umsetzung in der Referenzarchitektur</w:t>
        <w:br/>
      </w:r>
      <w:r>
        <w:t>Die Aktivierung setzt den Projektstatus auf organisationsspezifisch, erweitert Systemgrenze und Datenflussmodell und aktiviert einen gesonderten Kontroll- und Vertragsnachweis. Zulässige Daten und Endpunkte werden technisch aufgelistet.</w:t>
      </w:r>
    </w:p>
    <w:p>
      <w:pPr>
        <w:widowControl/>
        <w:spacing w:after="140" w:before="0" w:line="276" w:lineRule="auto"/>
      </w:pPr>
      <w:r>
        <w:rPr>
          <w:b/>
          <w:color w:val="1F4D78"/>
        </w:rPr>
        <w:t>Prüfziel</w:t>
        <w:br/>
      </w:r>
      <w:r>
        <w:t>Vor einer kontrollierten Testanfrage prüfen, ob sämtliche Gates erfüllt sind und nicht freigegebene Daten beziehungsweise Endpunkte blockiert werden.</w:t>
      </w:r>
    </w:p>
    <w:p>
      <w:pPr>
        <w:widowControl/>
        <w:spacing w:after="140" w:before="0" w:line="276" w:lineRule="auto"/>
      </w:pPr>
      <w:r>
        <w:rPr>
          <w:b/>
          <w:color w:val="1F4D78"/>
        </w:rPr>
        <w:t>Erwartete Nachweise</w:t>
        <w:br/>
      </w:r>
      <w:r>
        <w:t>Neue Risiko- und Datenschutzbewertung; Datenflussmodell; Verträge; Anbieterprüfung; Schlüssel- und Löschkonzept; Freigabe; negative Datentests.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bedingt-externe-inferenz</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Beschaffung; Freigabe; Betrieb; Leitung; Datenschutzbeauftragte; Informationssicherheitsbeauftragte; Rechtsstelle; Beschaffung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OPS.2.2, CON.2; ISO: ISO/IEC 27002:2022 5.19, ISO/IEC 27002:2022 5.20, ISO/IEC 42001:2023 A.10</w:t>
            </w:r>
          </w:p>
        </w:tc>
      </w:tr>
    </w:tbl>
    <w:p>
      <w:pPr>
        <w:widowControl/>
        <w:spacing w:after="200" w:before="120" w:line="276" w:lineRule="auto"/>
        <w:suppressAutoHyphens w:val="true"/>
        <w:pBdr>
          <w:bottom w:val="single" w:sz="8" w:space="6" w:color="2E74B5"/>
        </w:pBdr>
      </w:pPr>
      <w:r>
        <w:rPr>
          <w:b/>
          <w:color w:val="1F4D78"/>
        </w:rPr>
        <w:t>Quellen</w:t>
        <w:br/>
      </w:r>
      <w:r>
        <w:t>[Q-BMI-001] S. 25–29; [Q-BSI-001] S. 4–5 und S. 9–12; [Q-BFDI-001] Kap. 1–7; [Q-EU-001] Art. 26–27</w:t>
      </w:r>
      <w:r>
        <w:rPr>
          <w:rStyle w:val="FootnoteReference"/>
        </w:rPr>
        <w:footnoteReference w:id="36"/>
      </w:r>
    </w:p>
    <w:p>
      <w:pPr>
        <w:pStyle w:val="Heading3"/>
        <w:keepNext/>
      </w:pPr>
      <w:r>
        <w:t>KI-EXT-002 – Kein automatischer externer Fallback</w:t>
      </w:r>
    </w:p>
    <w:p>
      <w:pPr>
        <w:keepLines/>
        <w:widowControl/>
        <w:spacing w:after="140" w:before="0" w:line="276" w:lineRule="auto"/>
        <w:shd w:fill="F5F7FA"/>
      </w:pPr>
      <w:r>
        <w:rPr>
          <w:b/>
          <w:color w:val="1F4D78"/>
        </w:rPr>
        <w:t>Normative Anforderung</w:t>
        <w:br/>
      </w:r>
      <w:r>
        <w:t>Cloud-Modelle, automatische Provider-Erkennung, externe Telemetrie und Fallbacks auf externe Endpunkte MÜSSEN standardmäßig deaktiviert sein. Eine aktivierte externe Variante MUSS jeden zulässigen Betreiber, Endpunkt, Modell- und Datenumfang ausdrücklich festlegen; nicht bekannte Ziele MÜSSEN technisch blockiert werden.</w:t>
      </w:r>
    </w:p>
    <w:p>
      <w:pPr>
        <w:widowControl/>
        <w:spacing w:after="140" w:before="0" w:line="276" w:lineRule="auto"/>
      </w:pPr>
      <w:r>
        <w:rPr>
          <w:b/>
          <w:color w:val="1F4D78"/>
        </w:rPr>
        <w:t>Begründung</w:t>
        <w:br/>
      </w:r>
      <w:r>
        <w:t>Automatische Fallbacks können bei Fehlern oder Kapazitätsengpässen gerade dann Daten extern übertragen, wenn reguläre Kontrollen nicht aufmerksam beobachtet werden.</w:t>
      </w:r>
    </w:p>
    <w:p>
      <w:pPr>
        <w:widowControl/>
        <w:spacing w:after="140" w:before="0" w:line="276" w:lineRule="auto"/>
      </w:pPr>
      <w:r>
        <w:rPr>
          <w:b/>
          <w:color w:val="1F4D78"/>
        </w:rPr>
        <w:t>Umsetzung in der Referenzarchitektur</w:t>
        <w:br/>
      </w:r>
      <w:r>
        <w:t>Client- und Gatewaykonfiguration, DNS, Proxy und Firewall verwenden positive Zulässigkeitslisten. Tests erzwingen Ausfall lokaler Modelle und bestätigen, dass keine externe Ersatzverbindung entsteht.</w:t>
      </w:r>
    </w:p>
    <w:p>
      <w:pPr>
        <w:widowControl/>
        <w:spacing w:after="140" w:before="0" w:line="276" w:lineRule="auto"/>
      </w:pPr>
      <w:r>
        <w:rPr>
          <w:b/>
          <w:color w:val="1F4D78"/>
        </w:rPr>
        <w:t>Prüfziel</w:t>
        <w:br/>
      </w:r>
      <w:r>
        <w:t>Bei Ausfall, Fehlkonfiguration und manipulierten Providerangaben darf kein nicht freigegebener externer Datenfluss entstehen.</w:t>
      </w:r>
    </w:p>
    <w:p>
      <w:pPr>
        <w:widowControl/>
        <w:spacing w:after="140" w:before="0" w:line="276" w:lineRule="auto"/>
      </w:pPr>
      <w:r>
        <w:rPr>
          <w:b/>
          <w:color w:val="1F4D78"/>
        </w:rPr>
        <w:t>Erwartete Nachweise</w:t>
        <w:br/>
      </w:r>
      <w:r>
        <w:t>Provider- und Endpunktliste; Egress-Regeln; Clientbaseline; Ausfall- und Fallbacktests; DNS-/Proxyprotokolle; Alarmnachweis.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bedingt-externe-inferenz</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Test; Betrieb; Clientverantwortliche; Gateway-Verantwortliche; Netzverantwortliche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APP.6; ISO: ISO/IEC 27002:2022 8.20, ISO/IEC 27002:2022 8.26</w:t>
            </w:r>
          </w:p>
        </w:tc>
      </w:tr>
    </w:tbl>
    <w:p>
      <w:pPr>
        <w:widowControl/>
        <w:spacing w:after="200" w:before="120" w:line="276" w:lineRule="auto"/>
        <w:suppressAutoHyphens w:val="true"/>
        <w:pBdr>
          <w:bottom w:val="single" w:sz="8" w:space="6" w:color="2E74B5"/>
        </w:pBdr>
      </w:pPr>
      <w:r>
        <w:rPr>
          <w:b/>
          <w:color w:val="1F4D78"/>
        </w:rPr>
        <w:t>Quellen</w:t>
        <w:br/>
      </w:r>
      <w:r>
        <w:t>[Q-CLINE-001] Providerkonfiguration; [Q-OPENCODE-001] Provider und lokale Modelle; [Q-BSI-001] S. 9–12</w:t>
      </w:r>
      <w:r>
        <w:rPr>
          <w:rStyle w:val="FootnoteReference"/>
        </w:rPr>
        <w:footnoteReference w:id="37"/>
      </w:r>
    </w:p>
    <w:p>
      <w:pPr>
        <w:pStyle w:val="Heading2"/>
        <w:keepNext/>
      </w:pPr>
      <w:r>
        <w:t>9.18 Evidenz, Ausnahmen und akzeptierte Restrisiken</w:t>
      </w:r>
    </w:p>
    <w:p>
      <w:pPr>
        <w:pStyle w:val="Heading3"/>
        <w:keepNext/>
      </w:pPr>
      <w:r>
        <w:t>KI-ASS-001 – Prüfbare Nachweiskette und befristete Abweichungen</w:t>
      </w:r>
    </w:p>
    <w:p>
      <w:pPr>
        <w:keepLines/>
        <w:widowControl/>
        <w:spacing w:after="140" w:before="0" w:line="276" w:lineRule="auto"/>
        <w:shd w:fill="F5F7FA"/>
      </w:pPr>
      <w:r>
        <w:rPr>
          <w:b/>
          <w:color w:val="1F4D78"/>
        </w:rPr>
        <w:t>Normative Anforderung</w:t>
        <w:br/>
      </w:r>
      <w:r>
        <w:t>Für jede anwendbare Kontrolle MÜSSEN verantwortliche Rolle, Umsetzungsstatus, prüfbarer Nachweis, Prüfdatum, Ergebnis und nächste Prüfung geführt werden. Abweichungen MÜSSEN Risiko, kompensierende Maßnahmen, Befristung, Genehmigende und Ausstiegskriterium enthalten; akzeptierte Restrisiken DÜRFEN nicht als erfüllte Kontrolle dargestellt werden.</w:t>
      </w:r>
    </w:p>
    <w:p>
      <w:pPr>
        <w:widowControl/>
        <w:spacing w:after="140" w:before="0" w:line="276" w:lineRule="auto"/>
      </w:pPr>
      <w:r>
        <w:rPr>
          <w:b/>
          <w:color w:val="1F4D78"/>
        </w:rPr>
        <w:t>Begründung</w:t>
        <w:br/>
      </w:r>
      <w:r>
        <w:t>Eine dokumentierte Anforderung ist ohne aktuellen Wirksamkeitsnachweis nicht auditierbar. Unklare Ausnahmen können dauerhaft und unsichtbar werden.</w:t>
      </w:r>
    </w:p>
    <w:p>
      <w:pPr>
        <w:widowControl/>
        <w:spacing w:after="140" w:before="0" w:line="276" w:lineRule="auto"/>
      </w:pPr>
      <w:r>
        <w:rPr>
          <w:b/>
          <w:color w:val="1F4D78"/>
        </w:rPr>
        <w:t>Umsetzung in der Referenzarchitektur</w:t>
        <w:br/>
      </w:r>
      <w:r>
        <w:t>Ein kontrolliertes Nachweisregister referenziert unveränderbare Artefakte und trennt Entwurf, umgesetzt, geprüft, abweichend und nicht anwendbar. Zugriff und Aufbewahrung richten sich nach dem Nachweisschutzbedarf.</w:t>
      </w:r>
    </w:p>
    <w:p>
      <w:pPr>
        <w:widowControl/>
        <w:spacing w:after="140" w:before="0" w:line="276" w:lineRule="auto"/>
      </w:pPr>
      <w:r>
        <w:rPr>
          <w:b/>
          <w:color w:val="1F4D78"/>
        </w:rPr>
        <w:t>Prüfziel</w:t>
        <w:br/>
      </w:r>
      <w:r>
        <w:t>Für eine Stichprobe die lückenlose Kette von Kontroll-ID über Umsetzung und Prüfung bis zu Abweichung oder Freigabe nachvollziehen.</w:t>
      </w:r>
    </w:p>
    <w:p>
      <w:pPr>
        <w:widowControl/>
        <w:spacing w:after="140" w:before="0" w:line="276" w:lineRule="auto"/>
      </w:pPr>
      <w:r>
        <w:rPr>
          <w:b/>
          <w:color w:val="1F4D78"/>
        </w:rPr>
        <w:t>Erwartete Nachweise</w:t>
        <w:br/>
      </w:r>
      <w:r>
        <w:t>Nachweisregister; Prüfprotokolle; Artefakthashes; Ausnahme- und Restrisikoregister; Genehmigungen; Wiedervorlagen; Abschlusskriterien.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Kontrollverantwortliche; Prüfende; Risikoverantwortliche; Leitung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DER.3.1; ISO: ISO/IEC 27001:2022 7.5, ISO/IEC 27001:2022 9.1, ISO/IEC 42001:2023 9.1</w:t>
            </w:r>
          </w:p>
        </w:tc>
      </w:tr>
    </w:tbl>
    <w:p>
      <w:pPr>
        <w:widowControl/>
        <w:spacing w:after="200" w:before="120" w:line="276" w:lineRule="auto"/>
        <w:suppressAutoHyphens w:val="true"/>
        <w:pBdr>
          <w:bottom w:val="single" w:sz="8" w:space="6" w:color="2E74B5"/>
        </w:pBdr>
      </w:pPr>
      <w:r>
        <w:rPr>
          <w:b/>
          <w:color w:val="1F4D78"/>
        </w:rPr>
        <w:t>Quellen</w:t>
        <w:br/>
      </w:r>
      <w:r>
        <w:t>[Q-BSI-001] S. 8–13; [Q-BMVG-001] S. 25–32 und S. 45–47; [Q-NIST-001] Govern-, Measure- und Manage-Aktionen</w:t>
      </w:r>
      <w:r>
        <w:rPr>
          <w:rStyle w:val="FootnoteReference"/>
        </w:rPr>
        <w:footnoteReference w:id="38"/>
      </w:r>
    </w:p>
    <w:p>
      <w:pPr>
        <w:pStyle w:val="Heading1"/>
        <w:keepNext/>
      </w:pPr>
      <w:r>
        <w:t>10 RAG-, Upload- und Datenkonzept</w:t>
      </w:r>
    </w:p>
    <w:p>
      <w:pPr>
        <w:widowControl/>
        <w:spacing w:after="120" w:before="0" w:line="276" w:lineRule="auto"/>
      </w:pPr>
      <w:r>
        <w:t>Domänenwissen verbleibt außerhalb der Modellgewichte. Lokale RAG-Bestände und lokale On-Demand-Uploads bilden die einzigen vorgesehenen Zuführungswege. KI-RAG-001 bis KI-RAG-004 fordern eine Quarantäne und isolierte Parser, Herkunfts- und Klassifikationsmetadaten, Berechtigungsprüfung vor Aufnahme und erneut bei jeder Abfrage, durchgängige ACL-Trennung sowie vollständige Aufbewahrungs- und Löschsteuerung.</w:t>
      </w:r>
    </w:p>
    <w:p>
      <w:pPr>
        <w:pStyle w:val="ListBullet"/>
        <w:widowControl/>
        <w:spacing w:after="100" w:line="276" w:lineRule="auto"/>
        <w:ind w:left="720" w:hanging="360"/>
      </w:pPr>
      <w:r>
        <w:t>Embeddings, Chunks, Indizes, Caches und Reranking-Daten erhalten mindestens den Schutzbedarf der Quelldaten.</w:t>
      </w:r>
    </w:p>
    <w:p>
      <w:pPr>
        <w:pStyle w:val="ListBullet"/>
        <w:widowControl/>
        <w:spacing w:after="100" w:line="276" w:lineRule="auto"/>
        <w:ind w:left="720" w:hanging="360"/>
      </w:pPr>
      <w:r>
        <w:t>Das Sprachmodell und Systemanweisungen treffen keine Zugriffsentscheidung.</w:t>
      </w:r>
    </w:p>
    <w:p>
      <w:pPr>
        <w:pStyle w:val="ListBullet"/>
        <w:widowControl/>
        <w:spacing w:after="100" w:line="276" w:lineRule="auto"/>
        <w:ind w:left="720" w:hanging="360"/>
      </w:pPr>
      <w:r>
        <w:t>On-Demand-Uploads bleiben ohne ausdrückliche persistente Freigabe sitzungsbezogen.</w:t>
      </w:r>
    </w:p>
    <w:p>
      <w:pPr>
        <w:pStyle w:val="ListBullet"/>
        <w:widowControl/>
        <w:spacing w:after="100" w:line="276" w:lineRule="auto"/>
        <w:ind w:left="720" w:hanging="360"/>
      </w:pPr>
      <w:r>
        <w:t>Ausgaben weisen verwendete Quellen und konkrete Fundstellen nachvollziehbar aus.</w:t>
      </w:r>
    </w:p>
    <w:p>
      <w:pPr>
        <w:pStyle w:val="ListBullet"/>
        <w:widowControl/>
        <w:spacing w:after="100" w:line="276" w:lineRule="auto"/>
        <w:ind w:left="720" w:hanging="360"/>
      </w:pPr>
      <w:r>
        <w:t>Löschung umfasst Onlinekopien, Ableitungen, Caches und den geregelten Ablauf in Sicherungsketten.</w:t>
      </w:r>
    </w:p>
    <w:p>
      <w:pPr>
        <w:widowControl/>
        <w:spacing w:after="120" w:before="0" w:line="276" w:lineRule="auto"/>
      </w:pPr>
      <w:r>
        <w:t>KI-TRN-001 stellt klar, dass Indexierung und Embedding-Erzeugung keine Freigabe für Training, Feinabstimmung oder Änderungen von Modellgewichten sind.</w:t>
      </w:r>
    </w:p>
    <w:p>
      <w:pPr>
        <w:pStyle w:val="Heading1"/>
        <w:keepNext/>
      </w:pPr>
      <w:r>
        <w:t>11 Agentische Anwendungen und lokale Entwicklungsumgebungen</w:t>
      </w:r>
    </w:p>
    <w:p>
      <w:pPr>
        <w:widowControl/>
        <w:spacing w:after="120" w:before="0" w:line="276" w:lineRule="auto"/>
      </w:pPr>
      <w:r>
        <w:t>Agentische Clients wie Cline- oder OpenCode-artige Werkzeuge sind Produktbeispiele. Sie greifen ausschließlich über den lokalen HTTPS-Zugang auf freigegebene Modelle zu. Lokale Git-, Paket- und Entwicklungsdienste bleiben in der Organisationsumgebung.</w:t>
      </w:r>
    </w:p>
    <w:p>
      <w:pPr>
        <w:pStyle w:val="ListBullet"/>
        <w:widowControl/>
        <w:spacing w:after="100" w:line="276" w:lineRule="auto"/>
        <w:ind w:left="720" w:hanging="360"/>
      </w:pPr>
      <w:r>
        <w:t>Arbeitsbereichs- und Dateirechte sind minimal und überschreiten weder Projekt noch genehmigten Zweck.</w:t>
      </w:r>
    </w:p>
    <w:p>
      <w:pPr>
        <w:pStyle w:val="ListBullet"/>
        <w:widowControl/>
        <w:spacing w:after="100" w:line="276" w:lineRule="auto"/>
        <w:ind w:left="720" w:hanging="360"/>
      </w:pPr>
      <w:r>
        <w:t>Lesen, Schreiben, Befehlsausführung und Netzwerkzugriff sind getrennte Fähigkeiten.</w:t>
      </w:r>
    </w:p>
    <w:p>
      <w:pPr>
        <w:pStyle w:val="ListBullet"/>
        <w:widowControl/>
        <w:spacing w:after="100" w:line="276" w:lineRule="auto"/>
        <w:ind w:left="720" w:hanging="360"/>
      </w:pPr>
      <w:r>
        <w:t>Kritische, destruktive, privilegierte oder externe Aktionen benötigen eine konkrete menschliche Bestätigung.</w:t>
      </w:r>
    </w:p>
    <w:p>
      <w:pPr>
        <w:pStyle w:val="ListBullet"/>
        <w:widowControl/>
        <w:spacing w:after="100" w:line="276" w:lineRule="auto"/>
        <w:ind w:left="720" w:hanging="360"/>
      </w:pPr>
      <w:r>
        <w:t>Indirekte Prompt Injection aus Quellcode, Dokumenten, Webseiten und Tool-Ausgaben darf keine Rechte erweitern.</w:t>
      </w:r>
    </w:p>
    <w:p>
      <w:pPr>
        <w:pStyle w:val="ListBullet"/>
        <w:widowControl/>
        <w:spacing w:after="100" w:line="276" w:lineRule="auto"/>
        <w:ind w:left="720" w:hanging="360"/>
      </w:pPr>
      <w:r>
        <w:t>Plug-ins, MCP-Server, Erweiterungen und Pakete stammen aus kontrollierten lokalen Quellen und sind versionsfixiert.</w:t>
      </w:r>
    </w:p>
    <w:p>
      <w:pPr>
        <w:pStyle w:val="ListBullet"/>
        <w:widowControl/>
        <w:spacing w:after="100" w:line="276" w:lineRule="auto"/>
        <w:ind w:left="720" w:hanging="360"/>
      </w:pPr>
      <w:r>
        <w:t>Tool-Aufrufe werden identitätsbezogen, nachvollziehbar und datensparsam lokal protokolliert.</w:t>
      </w:r>
    </w:p>
    <w:p>
      <w:pPr>
        <w:pStyle w:val="Heading1"/>
        <w:keepNext/>
      </w:pPr>
      <w:r>
        <w:t>12 Betrieb, Änderung, Modellwechsel, Vorfälle und Außerbetriebnahme</w:t>
      </w:r>
    </w:p>
    <w:p>
      <w:pPr>
        <w:widowControl/>
        <w:spacing w:after="120" w:before="0" w:line="276" w:lineRule="auto"/>
      </w:pPr>
      <w:r>
        <w:t>Der Betrieb verbindet Freigabemanifest, lokale Protokollierung, SIEM-Auswertung, Qualitäts- und Sicherheitsmetriken, Driftbeobachtung, Kapazitätsgrenzen und den allgemeinen Vorfallprozess. Eine laufende Komponente allein belegt weder Berechtigung, Qualität, Datenlöschung noch Wiederherstellbarkeit.</w:t>
      </w:r>
    </w:p>
    <w:p>
      <w:pPr>
        <w:widowControl/>
        <w:spacing w:after="120" w:before="0" w:line="276" w:lineRule="auto"/>
      </w:pPr>
      <w:r>
        <w:t>Jede Änderung an Modell, Quantisierung, Laufzeit, Systemanweisung, RAG, Embedding, Reranker, Gateway, Tool oder Sicherheitsparameter löst eine risikobasierte Regression und Wiederfreigabe aus. Vorherige geprüfte Kombinationen bleiben kontrolliert rückrollbar. Wiederanlaufprüfungen erfolgen ohne Internetzugang und umfassen Hashes, Richtlinien, ACLs und Kernevaluation.</w:t>
      </w:r>
    </w:p>
    <w:p>
      <w:pPr>
        <w:widowControl/>
        <w:spacing w:after="120" w:before="0" w:line="276" w:lineRule="auto"/>
      </w:pPr>
      <w:r>
        <w:t>Bei Außerbetriebnahme werden Identitäten, Zertifikate, Geheimnisse, Endpunkte, Jobs, Modelle, Daten, Indizes und Caches behandelt. Erforderliche Auditnachweise bleiben entsprechend Aufbewahrung erhalten; unzulässige Restkopien und Erreichbarkeit müssen durch Nachtests ausgeschlossen werden.</w:t>
      </w:r>
    </w:p>
    <w:p>
      <w:pPr>
        <w:pStyle w:val="Heading1"/>
        <w:keepNext/>
      </w:pPr>
      <w:r>
        <w:t>13 Nachweis-, Prüf- und Mappingübersicht</w:t>
      </w:r>
    </w:p>
    <w:p>
      <w:pPr>
        <w:widowControl/>
        <w:spacing w:after="120" w:before="0" w:line="276" w:lineRule="auto"/>
      </w:pPr>
      <w:r>
        <w:t>Die Übersicht dient der Prüfplanung. Der vollständige Wortlaut, die Quellenlinks und sämtliche Eigenschaften verbleiben im OSCAL-Katalog.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100"/>
        <w:gridCol w:w="2650"/>
        <w:gridCol w:w="1350"/>
        <w:gridCol w:w="1700"/>
        <w:gridCol w:w="2122"/>
      </w:tblGrid>
      <w:tr>
        <w:trPr>
          <w:cantSplit/>
          <w:tblHeader w:val="1"/>
        </w:trPr>
        <w:tc>
          <w:tcPr>
            <w:tcW w:type="dxa" w:w="1100"/>
            <w:tcMar>
              <w:top w:w="120" w:type="dxa"/>
              <w:bottom w:w="120" w:type="dxa"/>
              <w:start w:w="150" w:type="dxa"/>
              <w:end w:w="150" w:type="dxa"/>
            </w:tcMar>
            <w:vAlign w:val="center"/>
            <w:shd w:fill="E8EEF5"/>
          </w:tcPr>
          <w:p>
            <w:pPr>
              <w:pStyle w:val="Tabellenkopf"/>
              <w:jc w:val="center"/>
            </w:pPr>
            <w:r>
              <w:t>Kontrolle</w:t>
            </w:r>
          </w:p>
        </w:tc>
        <w:tc>
          <w:tcPr>
            <w:tcW w:type="dxa" w:w="2650"/>
            <w:tcMar>
              <w:top w:w="120" w:type="dxa"/>
              <w:bottom w:w="120" w:type="dxa"/>
              <w:start w:w="150" w:type="dxa"/>
              <w:end w:w="150" w:type="dxa"/>
            </w:tcMar>
            <w:vAlign w:val="center"/>
            <w:shd w:fill="E8EEF5"/>
          </w:tcPr>
          <w:p>
            <w:pPr>
              <w:pStyle w:val="Tabellenkopf"/>
              <w:jc w:val="center"/>
            </w:pPr>
            <w:r>
              <w:t>Titel</w:t>
            </w:r>
          </w:p>
        </w:tc>
        <w:tc>
          <w:tcPr>
            <w:tcW w:type="dxa" w:w="1350"/>
            <w:tcMar>
              <w:top w:w="120" w:type="dxa"/>
              <w:bottom w:w="120" w:type="dxa"/>
              <w:start w:w="150" w:type="dxa"/>
              <w:end w:w="150" w:type="dxa"/>
            </w:tcMar>
            <w:vAlign w:val="center"/>
            <w:shd w:fill="E8EEF5"/>
          </w:tcPr>
          <w:p>
            <w:pPr>
              <w:pStyle w:val="Tabellenkopf"/>
              <w:jc w:val="center"/>
            </w:pPr>
            <w:r>
              <w:t>Anwendbarkeit</w:t>
            </w:r>
          </w:p>
        </w:tc>
        <w:tc>
          <w:tcPr>
            <w:tcW w:type="dxa" w:w="1700"/>
            <w:tcMar>
              <w:top w:w="120" w:type="dxa"/>
              <w:bottom w:w="120" w:type="dxa"/>
              <w:start w:w="150" w:type="dxa"/>
              <w:end w:w="150" w:type="dxa"/>
            </w:tcMar>
            <w:vAlign w:val="center"/>
            <w:shd w:fill="E8EEF5"/>
          </w:tcPr>
          <w:p>
            <w:pPr>
              <w:pStyle w:val="Tabellenkopf"/>
              <w:jc w:val="center"/>
            </w:pPr>
            <w:r>
              <w:t>BSI/IT-Grundschutz</w:t>
            </w:r>
          </w:p>
        </w:tc>
        <w:tc>
          <w:tcPr>
            <w:tcW w:type="dxa" w:w="2122"/>
            <w:tcMar>
              <w:top w:w="120" w:type="dxa"/>
              <w:bottom w:w="120" w:type="dxa"/>
              <w:start w:w="150" w:type="dxa"/>
              <w:end w:w="150" w:type="dxa"/>
            </w:tcMar>
            <w:vAlign w:val="center"/>
            <w:shd w:fill="E8EEF5"/>
          </w:tcPr>
          <w:p>
            <w:pPr>
              <w:pStyle w:val="Tabellenkopf"/>
              <w:jc w:val="center"/>
            </w:pPr>
            <w:r>
              <w:t>ISO-Kennungen</w:t>
            </w:r>
          </w:p>
        </w:tc>
      </w:tr>
      <w:tr>
        <w:trPr>
          <w:cantSplit/>
        </w:trPr>
        <w:tc>
          <w:tcPr>
            <w:tcW w:type="dxa" w:w="1100"/>
            <w:tcMar>
              <w:top w:w="120" w:type="dxa"/>
              <w:bottom w:w="120" w:type="dxa"/>
              <w:start w:w="150" w:type="dxa"/>
              <w:end w:w="150" w:type="dxa"/>
            </w:tcMar>
            <w:vAlign w:val="center"/>
          </w:tcPr>
          <w:p>
            <w:pPr>
              <w:pStyle w:val="Tabellentext"/>
              <w:jc w:val="center"/>
            </w:pPr>
            <w:r>
              <w:t>KI-GEL-001</w:t>
            </w:r>
          </w:p>
        </w:tc>
        <w:tc>
          <w:tcPr>
            <w:tcW w:type="dxa" w:w="2650"/>
            <w:tcMar>
              <w:top w:w="120" w:type="dxa"/>
              <w:bottom w:w="120" w:type="dxa"/>
              <w:start w:w="150" w:type="dxa"/>
              <w:end w:w="150" w:type="dxa"/>
            </w:tcMar>
            <w:vAlign w:val="center"/>
          </w:tcPr>
          <w:p>
            <w:pPr>
              <w:pStyle w:val="Tabellentext"/>
              <w:jc w:val="left"/>
            </w:pPr>
            <w:r>
              <w:t>Abgrenzung zum allgemeinen IT-Sicherheitskonzept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ORP.1</w:t>
            </w:r>
          </w:p>
        </w:tc>
        <w:tc>
          <w:tcPr>
            <w:tcW w:type="dxa" w:w="2122"/>
            <w:tcMar>
              <w:top w:w="120" w:type="dxa"/>
              <w:bottom w:w="120" w:type="dxa"/>
              <w:start w:w="150" w:type="dxa"/>
              <w:end w:w="150" w:type="dxa"/>
            </w:tcMar>
            <w:vAlign w:val="center"/>
          </w:tcPr>
          <w:p>
            <w:pPr>
              <w:pStyle w:val="Tabellentext"/>
              <w:jc w:val="left"/>
            </w:pPr>
            <w:r>
              <w:t>ISO/IEC 27001:2022 4.3, ISO/IEC 27001:2022 6.1</w:t>
            </w:r>
          </w:p>
        </w:tc>
      </w:tr>
      <w:tr>
        <w:trPr>
          <w:cantSplit/>
        </w:trPr>
        <w:tc>
          <w:tcPr>
            <w:tcW w:type="dxa" w:w="1100"/>
            <w:tcMar>
              <w:top w:w="120" w:type="dxa"/>
              <w:bottom w:w="120" w:type="dxa"/>
              <w:start w:w="150" w:type="dxa"/>
              <w:end w:w="150" w:type="dxa"/>
            </w:tcMar>
            <w:vAlign w:val="center"/>
          </w:tcPr>
          <w:p>
            <w:pPr>
              <w:pStyle w:val="Tabellentext"/>
              <w:jc w:val="center"/>
            </w:pPr>
            <w:r>
              <w:t>KI-GEL-002</w:t>
            </w:r>
          </w:p>
        </w:tc>
        <w:tc>
          <w:tcPr>
            <w:tcW w:type="dxa" w:w="2650"/>
            <w:tcMar>
              <w:top w:w="120" w:type="dxa"/>
              <w:bottom w:w="120" w:type="dxa"/>
              <w:start w:w="150" w:type="dxa"/>
              <w:end w:w="150" w:type="dxa"/>
            </w:tcMar>
            <w:vAlign w:val="center"/>
          </w:tcPr>
          <w:p>
            <w:pPr>
              <w:pStyle w:val="Tabellentext"/>
              <w:jc w:val="left"/>
            </w:pPr>
            <w:r>
              <w:t>Öffentlicher Referenzstatus und kontrollierte Übernahme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ORP.1, CON.10</w:t>
            </w:r>
          </w:p>
        </w:tc>
        <w:tc>
          <w:tcPr>
            <w:tcW w:type="dxa" w:w="2122"/>
            <w:tcMar>
              <w:top w:w="120" w:type="dxa"/>
              <w:bottom w:w="120" w:type="dxa"/>
              <w:start w:w="150" w:type="dxa"/>
              <w:end w:w="150" w:type="dxa"/>
            </w:tcMar>
            <w:vAlign w:val="center"/>
          </w:tcPr>
          <w:p>
            <w:pPr>
              <w:pStyle w:val="Tabellentext"/>
              <w:jc w:val="left"/>
            </w:pPr>
            <w:r>
              <w:t>ISO/IEC 27001:2022 5.2, ISO/IEC 27002:2022 5.12</w:t>
            </w:r>
          </w:p>
        </w:tc>
      </w:tr>
      <w:tr>
        <w:trPr>
          <w:cantSplit/>
        </w:trPr>
        <w:tc>
          <w:tcPr>
            <w:tcW w:type="dxa" w:w="1100"/>
            <w:tcMar>
              <w:top w:w="120" w:type="dxa"/>
              <w:bottom w:w="120" w:type="dxa"/>
              <w:start w:w="150" w:type="dxa"/>
              <w:end w:w="150" w:type="dxa"/>
            </w:tcMar>
            <w:vAlign w:val="center"/>
          </w:tcPr>
          <w:p>
            <w:pPr>
              <w:pStyle w:val="Tabellentext"/>
              <w:jc w:val="center"/>
            </w:pPr>
            <w:r>
              <w:t>KI-GOV-001</w:t>
            </w:r>
          </w:p>
        </w:tc>
        <w:tc>
          <w:tcPr>
            <w:tcW w:type="dxa" w:w="2650"/>
            <w:tcMar>
              <w:top w:w="120" w:type="dxa"/>
              <w:bottom w:w="120" w:type="dxa"/>
              <w:start w:w="150" w:type="dxa"/>
              <w:end w:w="150" w:type="dxa"/>
            </w:tcMar>
            <w:vAlign w:val="center"/>
          </w:tcPr>
          <w:p>
            <w:pPr>
              <w:pStyle w:val="Tabellentext"/>
              <w:jc w:val="left"/>
            </w:pPr>
            <w:r>
              <w:t>KI-Inventar und eindeutige Verantwortung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ORP.1, OPS.1.1.2</w:t>
            </w:r>
          </w:p>
        </w:tc>
        <w:tc>
          <w:tcPr>
            <w:tcW w:type="dxa" w:w="2122"/>
            <w:tcMar>
              <w:top w:w="120" w:type="dxa"/>
              <w:bottom w:w="120" w:type="dxa"/>
              <w:start w:w="150" w:type="dxa"/>
              <w:end w:w="150" w:type="dxa"/>
            </w:tcMar>
            <w:vAlign w:val="center"/>
          </w:tcPr>
          <w:p>
            <w:pPr>
              <w:pStyle w:val="Tabellentext"/>
              <w:jc w:val="left"/>
            </w:pPr>
            <w:r>
              <w:t>ISO/IEC 42001:2023 A.3, ISO/IEC 27001:2022 5.3</w:t>
            </w:r>
          </w:p>
        </w:tc>
      </w:tr>
      <w:tr>
        <w:trPr>
          <w:cantSplit/>
        </w:trPr>
        <w:tc>
          <w:tcPr>
            <w:tcW w:type="dxa" w:w="1100"/>
            <w:tcMar>
              <w:top w:w="120" w:type="dxa"/>
              <w:bottom w:w="120" w:type="dxa"/>
              <w:start w:w="150" w:type="dxa"/>
              <w:end w:w="150" w:type="dxa"/>
            </w:tcMar>
            <w:vAlign w:val="center"/>
          </w:tcPr>
          <w:p>
            <w:pPr>
              <w:pStyle w:val="Tabellentext"/>
              <w:jc w:val="center"/>
            </w:pPr>
            <w:r>
              <w:t>KI-GOV-002</w:t>
            </w:r>
          </w:p>
        </w:tc>
        <w:tc>
          <w:tcPr>
            <w:tcW w:type="dxa" w:w="2650"/>
            <w:tcMar>
              <w:top w:w="120" w:type="dxa"/>
              <w:bottom w:w="120" w:type="dxa"/>
              <w:start w:w="150" w:type="dxa"/>
              <w:end w:w="150" w:type="dxa"/>
            </w:tcMar>
            <w:vAlign w:val="center"/>
          </w:tcPr>
          <w:p>
            <w:pPr>
              <w:pStyle w:val="Tabellentext"/>
              <w:jc w:val="left"/>
            </w:pPr>
            <w:r>
              <w:t>Genehmigte Nutzung und KI-Kompetenz</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ORP.3, ORP.4</w:t>
            </w:r>
          </w:p>
        </w:tc>
        <w:tc>
          <w:tcPr>
            <w:tcW w:type="dxa" w:w="2122"/>
            <w:tcMar>
              <w:top w:w="120" w:type="dxa"/>
              <w:bottom w:w="120" w:type="dxa"/>
              <w:start w:w="150" w:type="dxa"/>
              <w:end w:w="150" w:type="dxa"/>
            </w:tcMar>
            <w:vAlign w:val="center"/>
          </w:tcPr>
          <w:p>
            <w:pPr>
              <w:pStyle w:val="Tabellentext"/>
              <w:jc w:val="left"/>
            </w:pPr>
            <w:r>
              <w:t>ISO/IEC 42001:2023 A.6, ISO/IEC 27002:2022 6.3</w:t>
            </w:r>
          </w:p>
        </w:tc>
      </w:tr>
      <w:tr>
        <w:trPr>
          <w:cantSplit/>
        </w:trPr>
        <w:tc>
          <w:tcPr>
            <w:tcW w:type="dxa" w:w="1100"/>
            <w:tcMar>
              <w:top w:w="120" w:type="dxa"/>
              <w:bottom w:w="120" w:type="dxa"/>
              <w:start w:w="150" w:type="dxa"/>
              <w:end w:w="150" w:type="dxa"/>
            </w:tcMar>
            <w:vAlign w:val="center"/>
          </w:tcPr>
          <w:p>
            <w:pPr>
              <w:pStyle w:val="Tabellentext"/>
              <w:jc w:val="center"/>
            </w:pPr>
            <w:r>
              <w:t>KI-GOV-003</w:t>
            </w:r>
          </w:p>
        </w:tc>
        <w:tc>
          <w:tcPr>
            <w:tcW w:type="dxa" w:w="2650"/>
            <w:tcMar>
              <w:top w:w="120" w:type="dxa"/>
              <w:bottom w:w="120" w:type="dxa"/>
              <w:start w:w="150" w:type="dxa"/>
              <w:end w:w="150" w:type="dxa"/>
            </w:tcMar>
            <w:vAlign w:val="center"/>
          </w:tcPr>
          <w:p>
            <w:pPr>
              <w:pStyle w:val="Tabellentext"/>
              <w:jc w:val="left"/>
            </w:pPr>
            <w:r>
              <w:t>Lebenszyklus-Risikosteuerung, Ausnahmen und Reviews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OPS.1.1.3</w:t>
            </w:r>
          </w:p>
        </w:tc>
        <w:tc>
          <w:tcPr>
            <w:tcW w:type="dxa" w:w="2122"/>
            <w:tcMar>
              <w:top w:w="120" w:type="dxa"/>
              <w:bottom w:w="120" w:type="dxa"/>
              <w:start w:w="150" w:type="dxa"/>
              <w:end w:w="150" w:type="dxa"/>
            </w:tcMar>
            <w:vAlign w:val="center"/>
          </w:tcPr>
          <w:p>
            <w:pPr>
              <w:pStyle w:val="Tabellentext"/>
              <w:jc w:val="left"/>
            </w:pPr>
            <w:r>
              <w:t>ISO/IEC 27001:2022 6.1, ISO/IEC 42001:2023 6.1, ISO/IEC 23894:2023</w:t>
            </w:r>
          </w:p>
        </w:tc>
      </w:tr>
      <w:tr>
        <w:trPr>
          <w:cantSplit/>
        </w:trPr>
        <w:tc>
          <w:tcPr>
            <w:tcW w:type="dxa" w:w="1100"/>
            <w:tcMar>
              <w:top w:w="120" w:type="dxa"/>
              <w:bottom w:w="120" w:type="dxa"/>
              <w:start w:w="150" w:type="dxa"/>
              <w:end w:w="150" w:type="dxa"/>
            </w:tcMar>
            <w:vAlign w:val="center"/>
          </w:tcPr>
          <w:p>
            <w:pPr>
              <w:pStyle w:val="Tabellentext"/>
              <w:jc w:val="center"/>
            </w:pPr>
            <w:r>
              <w:t>KI-REC-001</w:t>
            </w:r>
          </w:p>
        </w:tc>
        <w:tc>
          <w:tcPr>
            <w:tcW w:type="dxa" w:w="2650"/>
            <w:tcMar>
              <w:top w:w="120" w:type="dxa"/>
              <w:bottom w:w="120" w:type="dxa"/>
              <w:start w:w="150" w:type="dxa"/>
              <w:end w:w="150" w:type="dxa"/>
            </w:tcMar>
            <w:vAlign w:val="center"/>
          </w:tcPr>
          <w:p>
            <w:pPr>
              <w:pStyle w:val="Tabellentext"/>
              <w:jc w:val="left"/>
            </w:pPr>
            <w:r>
              <w:t>Rechts- und Datenschutzprüfung je Anwendungsfall</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ORP.5, CON.2</w:t>
            </w:r>
          </w:p>
        </w:tc>
        <w:tc>
          <w:tcPr>
            <w:tcW w:type="dxa" w:w="2122"/>
            <w:tcMar>
              <w:top w:w="120" w:type="dxa"/>
              <w:bottom w:w="120" w:type="dxa"/>
              <w:start w:w="150" w:type="dxa"/>
              <w:end w:w="150" w:type="dxa"/>
            </w:tcMar>
            <w:vAlign w:val="center"/>
          </w:tcPr>
          <w:p>
            <w:pPr>
              <w:pStyle w:val="Tabellentext"/>
              <w:jc w:val="left"/>
            </w:pPr>
            <w:r>
              <w:t>ISO/IEC 42001:2023 4.2, ISO/IEC 27001:2022 4.2</w:t>
            </w:r>
          </w:p>
        </w:tc>
      </w:tr>
      <w:tr>
        <w:trPr>
          <w:cantSplit/>
        </w:trPr>
        <w:tc>
          <w:tcPr>
            <w:tcW w:type="dxa" w:w="1100"/>
            <w:tcMar>
              <w:top w:w="120" w:type="dxa"/>
              <w:bottom w:w="120" w:type="dxa"/>
              <w:start w:w="150" w:type="dxa"/>
              <w:end w:w="150" w:type="dxa"/>
            </w:tcMar>
            <w:vAlign w:val="center"/>
          </w:tcPr>
          <w:p>
            <w:pPr>
              <w:pStyle w:val="Tabellentext"/>
              <w:jc w:val="center"/>
            </w:pPr>
            <w:r>
              <w:t>KI-REC-002</w:t>
            </w:r>
          </w:p>
        </w:tc>
        <w:tc>
          <w:tcPr>
            <w:tcW w:type="dxa" w:w="2650"/>
            <w:tcMar>
              <w:top w:w="120" w:type="dxa"/>
              <w:bottom w:w="120" w:type="dxa"/>
              <w:start w:w="150" w:type="dxa"/>
              <w:end w:w="150" w:type="dxa"/>
            </w:tcMar>
            <w:vAlign w:val="center"/>
          </w:tcPr>
          <w:p>
            <w:pPr>
              <w:pStyle w:val="Tabellentext"/>
              <w:jc w:val="left"/>
            </w:pPr>
            <w:r>
              <w:t>Schutzbedarf und Geheimschutzgate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CON.10, ORP.4</w:t>
            </w:r>
          </w:p>
        </w:tc>
        <w:tc>
          <w:tcPr>
            <w:tcW w:type="dxa" w:w="2122"/>
            <w:tcMar>
              <w:top w:w="120" w:type="dxa"/>
              <w:bottom w:w="120" w:type="dxa"/>
              <w:start w:w="150" w:type="dxa"/>
              <w:end w:w="150" w:type="dxa"/>
            </w:tcMar>
            <w:vAlign w:val="center"/>
          </w:tcPr>
          <w:p>
            <w:pPr>
              <w:pStyle w:val="Tabellentext"/>
              <w:jc w:val="left"/>
            </w:pPr>
            <w:r>
              <w:t>ISO/IEC 27002:2022 5.12, ISO/IEC 27002:2022 5.13</w:t>
            </w:r>
          </w:p>
        </w:tc>
      </w:tr>
      <w:tr>
        <w:trPr>
          <w:cantSplit/>
        </w:trPr>
        <w:tc>
          <w:tcPr>
            <w:tcW w:type="dxa" w:w="1100"/>
            <w:tcMar>
              <w:top w:w="120" w:type="dxa"/>
              <w:bottom w:w="120" w:type="dxa"/>
              <w:start w:w="150" w:type="dxa"/>
              <w:end w:w="150" w:type="dxa"/>
            </w:tcMar>
            <w:vAlign w:val="center"/>
          </w:tcPr>
          <w:p>
            <w:pPr>
              <w:pStyle w:val="Tabellentext"/>
              <w:jc w:val="center"/>
            </w:pPr>
            <w:r>
              <w:t>KI-ARC-001</w:t>
            </w:r>
          </w:p>
        </w:tc>
        <w:tc>
          <w:tcPr>
            <w:tcW w:type="dxa" w:w="2650"/>
            <w:tcMar>
              <w:top w:w="120" w:type="dxa"/>
              <w:bottom w:w="120" w:type="dxa"/>
              <w:start w:w="150" w:type="dxa"/>
              <w:end w:w="150" w:type="dxa"/>
            </w:tcMar>
            <w:vAlign w:val="center"/>
          </w:tcPr>
          <w:p>
            <w:pPr>
              <w:pStyle w:val="Tabellentext"/>
              <w:jc w:val="left"/>
            </w:pPr>
            <w:r>
              <w:t>Explizite Zonen und einziger kontrollierter KI-Zugang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NET.1.1, NET.3.2</w:t>
            </w:r>
          </w:p>
        </w:tc>
        <w:tc>
          <w:tcPr>
            <w:tcW w:type="dxa" w:w="2122"/>
            <w:tcMar>
              <w:top w:w="120" w:type="dxa"/>
              <w:bottom w:w="120" w:type="dxa"/>
              <w:start w:w="150" w:type="dxa"/>
              <w:end w:w="150" w:type="dxa"/>
            </w:tcMar>
            <w:vAlign w:val="center"/>
          </w:tcPr>
          <w:p>
            <w:pPr>
              <w:pStyle w:val="Tabellentext"/>
              <w:jc w:val="left"/>
            </w:pPr>
            <w:r>
              <w:t>ISO/IEC 27002:2022 8.20, ISO/IEC 27002:2022 8.22</w:t>
            </w:r>
          </w:p>
        </w:tc>
      </w:tr>
      <w:tr>
        <w:trPr>
          <w:cantSplit/>
        </w:trPr>
        <w:tc>
          <w:tcPr>
            <w:tcW w:type="dxa" w:w="1100"/>
            <w:tcMar>
              <w:top w:w="120" w:type="dxa"/>
              <w:bottom w:w="120" w:type="dxa"/>
              <w:start w:w="150" w:type="dxa"/>
              <w:end w:w="150" w:type="dxa"/>
            </w:tcMar>
            <w:vAlign w:val="center"/>
          </w:tcPr>
          <w:p>
            <w:pPr>
              <w:pStyle w:val="Tabellentext"/>
              <w:jc w:val="center"/>
            </w:pPr>
            <w:r>
              <w:t>KI-ARC-002</w:t>
            </w:r>
          </w:p>
        </w:tc>
        <w:tc>
          <w:tcPr>
            <w:tcW w:type="dxa" w:w="2650"/>
            <w:tcMar>
              <w:top w:w="120" w:type="dxa"/>
              <w:bottom w:w="120" w:type="dxa"/>
              <w:start w:w="150" w:type="dxa"/>
              <w:end w:w="150" w:type="dxa"/>
            </w:tcMar>
            <w:vAlign w:val="center"/>
          </w:tcPr>
          <w:p>
            <w:pPr>
              <w:pStyle w:val="Tabellentext"/>
              <w:jc w:val="left"/>
            </w:pPr>
            <w:r>
              <w:t>Vollständig lokale Datenhaltung und unterbundener Internet-Egress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NET.1.1, OPS.1.1.10</w:t>
            </w:r>
          </w:p>
        </w:tc>
        <w:tc>
          <w:tcPr>
            <w:tcW w:type="dxa" w:w="2122"/>
            <w:tcMar>
              <w:top w:w="120" w:type="dxa"/>
              <w:bottom w:w="120" w:type="dxa"/>
              <w:start w:w="150" w:type="dxa"/>
              <w:end w:w="150" w:type="dxa"/>
            </w:tcMar>
            <w:vAlign w:val="center"/>
          </w:tcPr>
          <w:p>
            <w:pPr>
              <w:pStyle w:val="Tabellentext"/>
              <w:jc w:val="left"/>
            </w:pPr>
            <w:r>
              <w:t>ISO/IEC 27002:2022 5.14, ISO/IEC 27002:2022 8.20</w:t>
            </w:r>
          </w:p>
        </w:tc>
      </w:tr>
      <w:tr>
        <w:trPr>
          <w:cantSplit/>
        </w:trPr>
        <w:tc>
          <w:tcPr>
            <w:tcW w:type="dxa" w:w="1100"/>
            <w:tcMar>
              <w:top w:w="120" w:type="dxa"/>
              <w:bottom w:w="120" w:type="dxa"/>
              <w:start w:w="150" w:type="dxa"/>
              <w:end w:w="150" w:type="dxa"/>
            </w:tcMar>
            <w:vAlign w:val="center"/>
          </w:tcPr>
          <w:p>
            <w:pPr>
              <w:pStyle w:val="Tabellentext"/>
              <w:jc w:val="center"/>
            </w:pPr>
            <w:r>
              <w:t>KI-CON-001</w:t>
            </w:r>
          </w:p>
        </w:tc>
        <w:tc>
          <w:tcPr>
            <w:tcW w:type="dxa" w:w="2650"/>
            <w:tcMar>
              <w:top w:w="120" w:type="dxa"/>
              <w:bottom w:w="120" w:type="dxa"/>
              <w:start w:w="150" w:type="dxa"/>
              <w:end w:w="150" w:type="dxa"/>
            </w:tcMar>
            <w:vAlign w:val="center"/>
          </w:tcPr>
          <w:p>
            <w:pPr>
              <w:pStyle w:val="Tabellentext"/>
              <w:jc w:val="left"/>
            </w:pPr>
            <w:r>
              <w:t>Standardmäßig verweigerte Containerkommunikation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APP.3.4, SYS.1.6</w:t>
            </w:r>
          </w:p>
        </w:tc>
        <w:tc>
          <w:tcPr>
            <w:tcW w:type="dxa" w:w="2122"/>
            <w:tcMar>
              <w:top w:w="120" w:type="dxa"/>
              <w:bottom w:w="120" w:type="dxa"/>
              <w:start w:w="150" w:type="dxa"/>
              <w:end w:w="150" w:type="dxa"/>
            </w:tcMar>
            <w:vAlign w:val="center"/>
          </w:tcPr>
          <w:p>
            <w:pPr>
              <w:pStyle w:val="Tabellentext"/>
              <w:jc w:val="left"/>
            </w:pPr>
            <w:r>
              <w:t>ISO/IEC 27002:2022 8.20, ISO/IEC 27002:2022 8.22</w:t>
            </w:r>
          </w:p>
        </w:tc>
      </w:tr>
      <w:tr>
        <w:trPr>
          <w:cantSplit/>
        </w:trPr>
        <w:tc>
          <w:tcPr>
            <w:tcW w:type="dxa" w:w="1100"/>
            <w:tcMar>
              <w:top w:w="120" w:type="dxa"/>
              <w:bottom w:w="120" w:type="dxa"/>
              <w:start w:w="150" w:type="dxa"/>
              <w:end w:w="150" w:type="dxa"/>
            </w:tcMar>
            <w:vAlign w:val="center"/>
          </w:tcPr>
          <w:p>
            <w:pPr>
              <w:pStyle w:val="Tabellentext"/>
              <w:jc w:val="center"/>
            </w:pPr>
            <w:r>
              <w:t>KI-CON-002</w:t>
            </w:r>
          </w:p>
        </w:tc>
        <w:tc>
          <w:tcPr>
            <w:tcW w:type="dxa" w:w="2650"/>
            <w:tcMar>
              <w:top w:w="120" w:type="dxa"/>
              <w:bottom w:w="120" w:type="dxa"/>
              <w:start w:w="150" w:type="dxa"/>
              <w:end w:w="150" w:type="dxa"/>
            </w:tcMar>
            <w:vAlign w:val="center"/>
          </w:tcPr>
          <w:p>
            <w:pPr>
              <w:pStyle w:val="Tabellentext"/>
              <w:jc w:val="left"/>
            </w:pPr>
            <w:r>
              <w:t>Minimale Containerprivilegien und unveränderbare Laufzeit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SYS.1.6, OPS.1.1.2</w:t>
            </w:r>
          </w:p>
        </w:tc>
        <w:tc>
          <w:tcPr>
            <w:tcW w:type="dxa" w:w="2122"/>
            <w:tcMar>
              <w:top w:w="120" w:type="dxa"/>
              <w:bottom w:w="120" w:type="dxa"/>
              <w:start w:w="150" w:type="dxa"/>
              <w:end w:w="150" w:type="dxa"/>
            </w:tcMar>
            <w:vAlign w:val="center"/>
          </w:tcPr>
          <w:p>
            <w:pPr>
              <w:pStyle w:val="Tabellentext"/>
              <w:jc w:val="left"/>
            </w:pPr>
            <w:r>
              <w:t>ISO/IEC 27002:2022 8.9, ISO/IEC 27002:2022 8.27</w:t>
            </w:r>
          </w:p>
        </w:tc>
      </w:tr>
      <w:tr>
        <w:trPr>
          <w:cantSplit/>
        </w:trPr>
        <w:tc>
          <w:tcPr>
            <w:tcW w:type="dxa" w:w="1100"/>
            <w:tcMar>
              <w:top w:w="120" w:type="dxa"/>
              <w:bottom w:w="120" w:type="dxa"/>
              <w:start w:w="150" w:type="dxa"/>
              <w:end w:w="150" w:type="dxa"/>
            </w:tcMar>
            <w:vAlign w:val="center"/>
          </w:tcPr>
          <w:p>
            <w:pPr>
              <w:pStyle w:val="Tabellentext"/>
              <w:jc w:val="center"/>
            </w:pPr>
            <w:r>
              <w:t>KI-API-001</w:t>
            </w:r>
          </w:p>
        </w:tc>
        <w:tc>
          <w:tcPr>
            <w:tcW w:type="dxa" w:w="2650"/>
            <w:tcMar>
              <w:top w:w="120" w:type="dxa"/>
              <w:bottom w:w="120" w:type="dxa"/>
              <w:start w:w="150" w:type="dxa"/>
              <w:end w:w="150" w:type="dxa"/>
            </w:tcMar>
            <w:vAlign w:val="center"/>
          </w:tcPr>
          <w:p>
            <w:pPr>
              <w:pStyle w:val="Tabellentext"/>
              <w:jc w:val="left"/>
            </w:pPr>
            <w:r>
              <w:t>Zentrale Authentisierung und Autorisierung am KI-Zugang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 CON.1</w:t>
            </w:r>
          </w:p>
        </w:tc>
        <w:tc>
          <w:tcPr>
            <w:tcW w:type="dxa" w:w="2122"/>
            <w:tcMar>
              <w:top w:w="120" w:type="dxa"/>
              <w:bottom w:w="120" w:type="dxa"/>
              <w:start w:w="150" w:type="dxa"/>
              <w:end w:w="150" w:type="dxa"/>
            </w:tcMar>
            <w:vAlign w:val="center"/>
          </w:tcPr>
          <w:p>
            <w:pPr>
              <w:pStyle w:val="Tabellentext"/>
              <w:jc w:val="left"/>
            </w:pPr>
            <w:r>
              <w:t>ISO/IEC 27002:2022 5.15, ISO/IEC 27002:2022 5.16, ISO/IEC 27002:2022 8.5</w:t>
            </w:r>
          </w:p>
        </w:tc>
      </w:tr>
      <w:tr>
        <w:trPr>
          <w:cantSplit/>
        </w:trPr>
        <w:tc>
          <w:tcPr>
            <w:tcW w:type="dxa" w:w="1100"/>
            <w:tcMar>
              <w:top w:w="120" w:type="dxa"/>
              <w:bottom w:w="120" w:type="dxa"/>
              <w:start w:w="150" w:type="dxa"/>
              <w:end w:w="150" w:type="dxa"/>
            </w:tcMar>
            <w:vAlign w:val="center"/>
          </w:tcPr>
          <w:p>
            <w:pPr>
              <w:pStyle w:val="Tabellentext"/>
              <w:jc w:val="center"/>
            </w:pPr>
            <w:r>
              <w:t>KI-API-002</w:t>
            </w:r>
          </w:p>
        </w:tc>
        <w:tc>
          <w:tcPr>
            <w:tcW w:type="dxa" w:w="2650"/>
            <w:tcMar>
              <w:top w:w="120" w:type="dxa"/>
              <w:bottom w:w="120" w:type="dxa"/>
              <w:start w:w="150" w:type="dxa"/>
              <w:end w:w="150" w:type="dxa"/>
            </w:tcMar>
            <w:vAlign w:val="center"/>
          </w:tcPr>
          <w:p>
            <w:pPr>
              <w:pStyle w:val="Tabellentext"/>
              <w:jc w:val="left"/>
            </w:pPr>
            <w:r>
              <w:t>Serverseitige Modell-, Kontext-, Raten- und Toolgrenzen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DER.1</w:t>
            </w:r>
          </w:p>
        </w:tc>
        <w:tc>
          <w:tcPr>
            <w:tcW w:type="dxa" w:w="2122"/>
            <w:tcMar>
              <w:top w:w="120" w:type="dxa"/>
              <w:bottom w:w="120" w:type="dxa"/>
              <w:start w:w="150" w:type="dxa"/>
              <w:end w:w="150" w:type="dxa"/>
            </w:tcMar>
            <w:vAlign w:val="center"/>
          </w:tcPr>
          <w:p>
            <w:pPr>
              <w:pStyle w:val="Tabellentext"/>
              <w:jc w:val="left"/>
            </w:pPr>
            <w:r>
              <w:t>ISO/IEC 27002:2022 8.26, ISO/IEC 27002:2022 8.28</w:t>
            </w:r>
          </w:p>
        </w:tc>
      </w:tr>
      <w:tr>
        <w:trPr>
          <w:cantSplit/>
        </w:trPr>
        <w:tc>
          <w:tcPr>
            <w:tcW w:type="dxa" w:w="1100"/>
            <w:tcMar>
              <w:top w:w="120" w:type="dxa"/>
              <w:bottom w:w="120" w:type="dxa"/>
              <w:start w:w="150" w:type="dxa"/>
              <w:end w:w="150" w:type="dxa"/>
            </w:tcMar>
            <w:vAlign w:val="center"/>
          </w:tcPr>
          <w:p>
            <w:pPr>
              <w:pStyle w:val="Tabellentext"/>
              <w:jc w:val="center"/>
            </w:pPr>
            <w:r>
              <w:t>KI-MOD-001</w:t>
            </w:r>
          </w:p>
        </w:tc>
        <w:tc>
          <w:tcPr>
            <w:tcW w:type="dxa" w:w="2650"/>
            <w:tcMar>
              <w:top w:w="120" w:type="dxa"/>
              <w:bottom w:w="120" w:type="dxa"/>
              <w:start w:w="150" w:type="dxa"/>
              <w:end w:w="150" w:type="dxa"/>
            </w:tcMar>
            <w:vAlign w:val="center"/>
          </w:tcPr>
          <w:p>
            <w:pPr>
              <w:pStyle w:val="Tabellentext"/>
              <w:jc w:val="left"/>
            </w:pPr>
            <w:r>
              <w:t>Kontrollierter Modellimport und Provenienz</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OPS.1.1.10, OPS.1.1.6</w:t>
            </w:r>
          </w:p>
        </w:tc>
        <w:tc>
          <w:tcPr>
            <w:tcW w:type="dxa" w:w="2122"/>
            <w:tcMar>
              <w:top w:w="120" w:type="dxa"/>
              <w:bottom w:w="120" w:type="dxa"/>
              <w:start w:w="150" w:type="dxa"/>
              <w:end w:w="150" w:type="dxa"/>
            </w:tcMar>
            <w:vAlign w:val="center"/>
          </w:tcPr>
          <w:p>
            <w:pPr>
              <w:pStyle w:val="Tabellentext"/>
              <w:jc w:val="left"/>
            </w:pPr>
            <w:r>
              <w:t>ISO/IEC 27002:2022 5.21, ISO/IEC 27002:2022 8.19</w:t>
            </w:r>
          </w:p>
        </w:tc>
      </w:tr>
      <w:tr>
        <w:trPr>
          <w:cantSplit/>
        </w:trPr>
        <w:tc>
          <w:tcPr>
            <w:tcW w:type="dxa" w:w="1100"/>
            <w:tcMar>
              <w:top w:w="120" w:type="dxa"/>
              <w:bottom w:w="120" w:type="dxa"/>
              <w:start w:w="150" w:type="dxa"/>
              <w:end w:w="150" w:type="dxa"/>
            </w:tcMar>
            <w:vAlign w:val="center"/>
          </w:tcPr>
          <w:p>
            <w:pPr>
              <w:pStyle w:val="Tabellentext"/>
              <w:jc w:val="center"/>
            </w:pPr>
            <w:r>
              <w:t>KI-MOD-002</w:t>
            </w:r>
          </w:p>
        </w:tc>
        <w:tc>
          <w:tcPr>
            <w:tcW w:type="dxa" w:w="2650"/>
            <w:tcMar>
              <w:top w:w="120" w:type="dxa"/>
              <w:bottom w:w="120" w:type="dxa"/>
              <w:start w:w="150" w:type="dxa"/>
              <w:end w:w="150" w:type="dxa"/>
            </w:tcMar>
            <w:vAlign w:val="center"/>
          </w:tcPr>
          <w:p>
            <w:pPr>
              <w:pStyle w:val="Tabellentext"/>
              <w:jc w:val="left"/>
            </w:pPr>
            <w:r>
              <w:t>Versionierte Modellfreigabe und Rückrollbarkeit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OPS.1.1.3, OPS.1.1.6</w:t>
            </w:r>
          </w:p>
        </w:tc>
        <w:tc>
          <w:tcPr>
            <w:tcW w:type="dxa" w:w="2122"/>
            <w:tcMar>
              <w:top w:w="120" w:type="dxa"/>
              <w:bottom w:w="120" w:type="dxa"/>
              <w:start w:w="150" w:type="dxa"/>
              <w:end w:w="150" w:type="dxa"/>
            </w:tcMar>
            <w:vAlign w:val="center"/>
          </w:tcPr>
          <w:p>
            <w:pPr>
              <w:pStyle w:val="Tabellentext"/>
              <w:jc w:val="left"/>
            </w:pPr>
            <w:r>
              <w:t>ISO/IEC 42001:2023 A.6, ISO/IEC 5338:2023</w:t>
            </w:r>
          </w:p>
        </w:tc>
      </w:tr>
      <w:tr>
        <w:trPr>
          <w:cantSplit/>
        </w:trPr>
        <w:tc>
          <w:tcPr>
            <w:tcW w:type="dxa" w:w="1100"/>
            <w:tcMar>
              <w:top w:w="120" w:type="dxa"/>
              <w:bottom w:w="120" w:type="dxa"/>
              <w:start w:w="150" w:type="dxa"/>
              <w:end w:w="150" w:type="dxa"/>
            </w:tcMar>
            <w:vAlign w:val="center"/>
          </w:tcPr>
          <w:p>
            <w:pPr>
              <w:pStyle w:val="Tabellentext"/>
              <w:jc w:val="center"/>
            </w:pPr>
            <w:r>
              <w:t>KI-TRN-001</w:t>
            </w:r>
          </w:p>
        </w:tc>
        <w:tc>
          <w:tcPr>
            <w:tcW w:type="dxa" w:w="2650"/>
            <w:tcMar>
              <w:top w:w="120" w:type="dxa"/>
              <w:bottom w:w="120" w:type="dxa"/>
              <w:start w:w="150" w:type="dxa"/>
              <w:end w:w="150" w:type="dxa"/>
            </w:tcMar>
            <w:vAlign w:val="center"/>
          </w:tcPr>
          <w:p>
            <w:pPr>
              <w:pStyle w:val="Tabellentext"/>
              <w:jc w:val="left"/>
            </w:pPr>
            <w:r>
              <w:t>Keine Änderung von Modellgewichten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OPS.1.1.3</w:t>
            </w:r>
          </w:p>
        </w:tc>
        <w:tc>
          <w:tcPr>
            <w:tcW w:type="dxa" w:w="2122"/>
            <w:tcMar>
              <w:top w:w="120" w:type="dxa"/>
              <w:bottom w:w="120" w:type="dxa"/>
              <w:start w:w="150" w:type="dxa"/>
              <w:end w:w="150" w:type="dxa"/>
            </w:tcMar>
            <w:vAlign w:val="center"/>
          </w:tcPr>
          <w:p>
            <w:pPr>
              <w:pStyle w:val="Tabellentext"/>
              <w:jc w:val="left"/>
            </w:pPr>
            <w:r>
              <w:t>ISO/IEC 42001:2023 A.6, ISO/IEC 5338:2023</w:t>
            </w:r>
          </w:p>
        </w:tc>
      </w:tr>
      <w:tr>
        <w:trPr>
          <w:cantSplit/>
        </w:trPr>
        <w:tc>
          <w:tcPr>
            <w:tcW w:type="dxa" w:w="1100"/>
            <w:tcMar>
              <w:top w:w="120" w:type="dxa"/>
              <w:bottom w:w="120" w:type="dxa"/>
              <w:start w:w="150" w:type="dxa"/>
              <w:end w:w="150" w:type="dxa"/>
            </w:tcMar>
            <w:vAlign w:val="center"/>
          </w:tcPr>
          <w:p>
            <w:pPr>
              <w:pStyle w:val="Tabellentext"/>
              <w:jc w:val="center"/>
            </w:pPr>
            <w:r>
              <w:t>KI-RAG-001</w:t>
            </w:r>
          </w:p>
        </w:tc>
        <w:tc>
          <w:tcPr>
            <w:tcW w:type="dxa" w:w="2650"/>
            <w:tcMar>
              <w:top w:w="120" w:type="dxa"/>
              <w:bottom w:w="120" w:type="dxa"/>
              <w:start w:w="150" w:type="dxa"/>
              <w:end w:w="150" w:type="dxa"/>
            </w:tcMar>
            <w:vAlign w:val="center"/>
          </w:tcPr>
          <w:p>
            <w:pPr>
              <w:pStyle w:val="Tabellentext"/>
              <w:jc w:val="left"/>
            </w:pPr>
            <w:r>
              <w:t>Kontrollierte Aufnahme und isolierte Dokumentenaufbereitung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SYS.1.6</w:t>
            </w:r>
          </w:p>
        </w:tc>
        <w:tc>
          <w:tcPr>
            <w:tcW w:type="dxa" w:w="2122"/>
            <w:tcMar>
              <w:top w:w="120" w:type="dxa"/>
              <w:bottom w:w="120" w:type="dxa"/>
              <w:start w:w="150" w:type="dxa"/>
              <w:end w:w="150" w:type="dxa"/>
            </w:tcMar>
            <w:vAlign w:val="center"/>
          </w:tcPr>
          <w:p>
            <w:pPr>
              <w:pStyle w:val="Tabellentext"/>
              <w:jc w:val="left"/>
            </w:pPr>
            <w:r>
              <w:t>ISO/IEC 27002:2022 8.7, ISO/IEC 27002:2022 8.26</w:t>
            </w:r>
          </w:p>
        </w:tc>
      </w:tr>
      <w:tr>
        <w:trPr>
          <w:cantSplit/>
        </w:trPr>
        <w:tc>
          <w:tcPr>
            <w:tcW w:type="dxa" w:w="1100"/>
            <w:tcMar>
              <w:top w:w="120" w:type="dxa"/>
              <w:bottom w:w="120" w:type="dxa"/>
              <w:start w:w="150" w:type="dxa"/>
              <w:end w:w="150" w:type="dxa"/>
            </w:tcMar>
            <w:vAlign w:val="center"/>
          </w:tcPr>
          <w:p>
            <w:pPr>
              <w:pStyle w:val="Tabellentext"/>
              <w:jc w:val="center"/>
            </w:pPr>
            <w:r>
              <w:t>KI-RAG-002</w:t>
            </w:r>
          </w:p>
        </w:tc>
        <w:tc>
          <w:tcPr>
            <w:tcW w:type="dxa" w:w="2650"/>
            <w:tcMar>
              <w:top w:w="120" w:type="dxa"/>
              <w:bottom w:w="120" w:type="dxa"/>
              <w:start w:w="150" w:type="dxa"/>
              <w:end w:w="150" w:type="dxa"/>
            </w:tcMar>
            <w:vAlign w:val="center"/>
          </w:tcPr>
          <w:p>
            <w:pPr>
              <w:pStyle w:val="Tabellentext"/>
              <w:jc w:val="left"/>
            </w:pPr>
            <w:r>
              <w:t>Durchgängige Berechtigungsprüfung und Indextrennung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5.15, ISO/IEC 27002:2022 8.3</w:t>
            </w:r>
          </w:p>
        </w:tc>
      </w:tr>
      <w:tr>
        <w:trPr>
          <w:cantSplit/>
        </w:trPr>
        <w:tc>
          <w:tcPr>
            <w:tcW w:type="dxa" w:w="1100"/>
            <w:tcMar>
              <w:top w:w="120" w:type="dxa"/>
              <w:bottom w:w="120" w:type="dxa"/>
              <w:start w:w="150" w:type="dxa"/>
              <w:end w:w="150" w:type="dxa"/>
            </w:tcMar>
            <w:vAlign w:val="center"/>
          </w:tcPr>
          <w:p>
            <w:pPr>
              <w:pStyle w:val="Tabellentext"/>
              <w:jc w:val="center"/>
            </w:pPr>
            <w:r>
              <w:t>KI-RAG-003</w:t>
            </w:r>
          </w:p>
        </w:tc>
        <w:tc>
          <w:tcPr>
            <w:tcW w:type="dxa" w:w="2650"/>
            <w:tcMar>
              <w:top w:w="120" w:type="dxa"/>
              <w:bottom w:w="120" w:type="dxa"/>
              <w:start w:w="150" w:type="dxa"/>
              <w:end w:w="150" w:type="dxa"/>
            </w:tcMar>
            <w:vAlign w:val="center"/>
          </w:tcPr>
          <w:p>
            <w:pPr>
              <w:pStyle w:val="Tabellentext"/>
              <w:jc w:val="left"/>
            </w:pPr>
            <w:r>
              <w:t>Schutz, Nachvollziehbarkeit und vollständige Löschung abgeleiteter Daten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CON.3</w:t>
            </w:r>
          </w:p>
        </w:tc>
        <w:tc>
          <w:tcPr>
            <w:tcW w:type="dxa" w:w="2122"/>
            <w:tcMar>
              <w:top w:w="120" w:type="dxa"/>
              <w:bottom w:w="120" w:type="dxa"/>
              <w:start w:w="150" w:type="dxa"/>
              <w:end w:w="150" w:type="dxa"/>
            </w:tcMar>
            <w:vAlign w:val="center"/>
          </w:tcPr>
          <w:p>
            <w:pPr>
              <w:pStyle w:val="Tabellentext"/>
              <w:jc w:val="left"/>
            </w:pPr>
            <w:r>
              <w:t>ISO/IEC 27002:2022 8.10, ISO/IEC 27002:2022 8.13, ISO/IEC 5259-1:2024</w:t>
            </w:r>
          </w:p>
        </w:tc>
      </w:tr>
      <w:tr>
        <w:trPr>
          <w:cantSplit/>
        </w:trPr>
        <w:tc>
          <w:tcPr>
            <w:tcW w:type="dxa" w:w="1100"/>
            <w:tcMar>
              <w:top w:w="120" w:type="dxa"/>
              <w:bottom w:w="120" w:type="dxa"/>
              <w:start w:w="150" w:type="dxa"/>
              <w:end w:w="150" w:type="dxa"/>
            </w:tcMar>
            <w:vAlign w:val="center"/>
          </w:tcPr>
          <w:p>
            <w:pPr>
              <w:pStyle w:val="Tabellentext"/>
              <w:jc w:val="center"/>
            </w:pPr>
            <w:r>
              <w:t>KI-RAG-004</w:t>
            </w:r>
          </w:p>
        </w:tc>
        <w:tc>
          <w:tcPr>
            <w:tcW w:type="dxa" w:w="2650"/>
            <w:tcMar>
              <w:top w:w="120" w:type="dxa"/>
              <w:bottom w:w="120" w:type="dxa"/>
              <w:start w:w="150" w:type="dxa"/>
              <w:end w:w="150" w:type="dxa"/>
            </w:tcMar>
            <w:vAlign w:val="center"/>
          </w:tcPr>
          <w:p>
            <w:pPr>
              <w:pStyle w:val="Tabellentext"/>
              <w:jc w:val="left"/>
            </w:pPr>
            <w:r>
              <w:t>Sitzungsbezogene On-Demand-Uploads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APP.6</w:t>
            </w:r>
          </w:p>
        </w:tc>
        <w:tc>
          <w:tcPr>
            <w:tcW w:type="dxa" w:w="2122"/>
            <w:tcMar>
              <w:top w:w="120" w:type="dxa"/>
              <w:bottom w:w="120" w:type="dxa"/>
              <w:start w:w="150" w:type="dxa"/>
              <w:end w:w="150" w:type="dxa"/>
            </w:tcMar>
            <w:vAlign w:val="center"/>
          </w:tcPr>
          <w:p>
            <w:pPr>
              <w:pStyle w:val="Tabellentext"/>
              <w:jc w:val="left"/>
            </w:pPr>
            <w:r>
              <w:t>ISO/IEC 27002:2022 8.10, ISO/IEC 27002:2022 8.12</w:t>
            </w:r>
          </w:p>
        </w:tc>
      </w:tr>
      <w:tr>
        <w:trPr>
          <w:cantSplit/>
        </w:trPr>
        <w:tc>
          <w:tcPr>
            <w:tcW w:type="dxa" w:w="1100"/>
            <w:tcMar>
              <w:top w:w="120" w:type="dxa"/>
              <w:bottom w:w="120" w:type="dxa"/>
              <w:start w:w="150" w:type="dxa"/>
              <w:end w:w="150" w:type="dxa"/>
            </w:tcMar>
            <w:vAlign w:val="center"/>
          </w:tcPr>
          <w:p>
            <w:pPr>
              <w:pStyle w:val="Tabellentext"/>
              <w:jc w:val="center"/>
            </w:pPr>
            <w:r>
              <w:t>KI-IAM-001</w:t>
            </w:r>
          </w:p>
        </w:tc>
        <w:tc>
          <w:tcPr>
            <w:tcW w:type="dxa" w:w="2650"/>
            <w:tcMar>
              <w:top w:w="120" w:type="dxa"/>
              <w:bottom w:w="120" w:type="dxa"/>
              <w:start w:w="150" w:type="dxa"/>
              <w:end w:w="150" w:type="dxa"/>
            </w:tcMar>
            <w:vAlign w:val="center"/>
          </w:tcPr>
          <w:p>
            <w:pPr>
              <w:pStyle w:val="Tabellentext"/>
              <w:jc w:val="left"/>
            </w:pPr>
            <w:r>
              <w:t>Least Privilege und Geheimnisbehandlung für KI-Dienste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CON.7</w:t>
            </w:r>
          </w:p>
        </w:tc>
        <w:tc>
          <w:tcPr>
            <w:tcW w:type="dxa" w:w="2122"/>
            <w:tcMar>
              <w:top w:w="120" w:type="dxa"/>
              <w:bottom w:w="120" w:type="dxa"/>
              <w:start w:w="150" w:type="dxa"/>
              <w:end w:w="150" w:type="dxa"/>
            </w:tcMar>
            <w:vAlign w:val="center"/>
          </w:tcPr>
          <w:p>
            <w:pPr>
              <w:pStyle w:val="Tabellentext"/>
              <w:jc w:val="left"/>
            </w:pPr>
            <w:r>
              <w:t>ISO/IEC 27002:2022 5.15, ISO/IEC 27002:2022 5.16, ISO/IEC 27002:2022 8.2</w:t>
            </w:r>
          </w:p>
        </w:tc>
      </w:tr>
      <w:tr>
        <w:trPr>
          <w:cantSplit/>
        </w:trPr>
        <w:tc>
          <w:tcPr>
            <w:tcW w:type="dxa" w:w="1100"/>
            <w:tcMar>
              <w:top w:w="120" w:type="dxa"/>
              <w:bottom w:w="120" w:type="dxa"/>
              <w:start w:w="150" w:type="dxa"/>
              <w:end w:w="150" w:type="dxa"/>
            </w:tcMar>
            <w:vAlign w:val="center"/>
          </w:tcPr>
          <w:p>
            <w:pPr>
              <w:pStyle w:val="Tabellentext"/>
              <w:jc w:val="center"/>
            </w:pPr>
            <w:r>
              <w:t>KI-AGT-001</w:t>
            </w:r>
          </w:p>
        </w:tc>
        <w:tc>
          <w:tcPr>
            <w:tcW w:type="dxa" w:w="2650"/>
            <w:tcMar>
              <w:top w:w="120" w:type="dxa"/>
              <w:bottom w:w="120" w:type="dxa"/>
              <w:start w:w="150" w:type="dxa"/>
              <w:end w:w="150" w:type="dxa"/>
            </w:tcMar>
            <w:vAlign w:val="center"/>
          </w:tcPr>
          <w:p>
            <w:pPr>
              <w:pStyle w:val="Tabellentext"/>
              <w:jc w:val="left"/>
            </w:pPr>
            <w:r>
              <w:t>Minimale lokale Arbeitsbereichs- und Dateirechte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8.2, ISO/IEC 27002:2022 8.18</w:t>
            </w:r>
          </w:p>
        </w:tc>
      </w:tr>
      <w:tr>
        <w:trPr>
          <w:cantSplit/>
        </w:trPr>
        <w:tc>
          <w:tcPr>
            <w:tcW w:type="dxa" w:w="1100"/>
            <w:tcMar>
              <w:top w:w="120" w:type="dxa"/>
              <w:bottom w:w="120" w:type="dxa"/>
              <w:start w:w="150" w:type="dxa"/>
              <w:end w:w="150" w:type="dxa"/>
            </w:tcMar>
            <w:vAlign w:val="center"/>
          </w:tcPr>
          <w:p>
            <w:pPr>
              <w:pStyle w:val="Tabellentext"/>
              <w:jc w:val="center"/>
            </w:pPr>
            <w:r>
              <w:t>KI-AGT-002</w:t>
            </w:r>
          </w:p>
        </w:tc>
        <w:tc>
          <w:tcPr>
            <w:tcW w:type="dxa" w:w="2650"/>
            <w:tcMar>
              <w:top w:w="120" w:type="dxa"/>
              <w:bottom w:w="120" w:type="dxa"/>
              <w:start w:w="150" w:type="dxa"/>
              <w:end w:w="150" w:type="dxa"/>
            </w:tcMar>
            <w:vAlign w:val="center"/>
          </w:tcPr>
          <w:p>
            <w:pPr>
              <w:pStyle w:val="Tabellentext"/>
              <w:jc w:val="left"/>
            </w:pPr>
            <w:r>
              <w:t>Lokale und freigegebene Modellendpunkte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NET.1.1</w:t>
            </w:r>
          </w:p>
        </w:tc>
        <w:tc>
          <w:tcPr>
            <w:tcW w:type="dxa" w:w="2122"/>
            <w:tcMar>
              <w:top w:w="120" w:type="dxa"/>
              <w:bottom w:w="120" w:type="dxa"/>
              <w:start w:w="150" w:type="dxa"/>
              <w:end w:w="150" w:type="dxa"/>
            </w:tcMar>
            <w:vAlign w:val="center"/>
          </w:tcPr>
          <w:p>
            <w:pPr>
              <w:pStyle w:val="Tabellentext"/>
              <w:jc w:val="left"/>
            </w:pPr>
            <w:r>
              <w:t>ISO/IEC 27002:2022 8.19, ISO/IEC 27002:2022 8.20</w:t>
            </w:r>
          </w:p>
        </w:tc>
      </w:tr>
      <w:tr>
        <w:trPr>
          <w:cantSplit/>
        </w:trPr>
        <w:tc>
          <w:tcPr>
            <w:tcW w:type="dxa" w:w="1100"/>
            <w:tcMar>
              <w:top w:w="120" w:type="dxa"/>
              <w:bottom w:w="120" w:type="dxa"/>
              <w:start w:w="150" w:type="dxa"/>
              <w:end w:w="150" w:type="dxa"/>
            </w:tcMar>
            <w:vAlign w:val="center"/>
          </w:tcPr>
          <w:p>
            <w:pPr>
              <w:pStyle w:val="Tabellentext"/>
              <w:jc w:val="center"/>
            </w:pPr>
            <w:r>
              <w:t>KI-PMT-001</w:t>
            </w:r>
          </w:p>
        </w:tc>
        <w:tc>
          <w:tcPr>
            <w:tcW w:type="dxa" w:w="2650"/>
            <w:tcMar>
              <w:top w:w="120" w:type="dxa"/>
              <w:bottom w:w="120" w:type="dxa"/>
              <w:start w:w="150" w:type="dxa"/>
              <w:end w:w="150" w:type="dxa"/>
            </w:tcMar>
            <w:vAlign w:val="center"/>
          </w:tcPr>
          <w:p>
            <w:pPr>
              <w:pStyle w:val="Tabellentext"/>
              <w:jc w:val="left"/>
            </w:pPr>
            <w:r>
              <w:t>Untrusted Inhalte und indirekte Prompt Injection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DER.1</w:t>
            </w:r>
          </w:p>
        </w:tc>
        <w:tc>
          <w:tcPr>
            <w:tcW w:type="dxa" w:w="2122"/>
            <w:tcMar>
              <w:top w:w="120" w:type="dxa"/>
              <w:bottom w:w="120" w:type="dxa"/>
              <w:start w:w="150" w:type="dxa"/>
              <w:end w:w="150" w:type="dxa"/>
            </w:tcMar>
            <w:vAlign w:val="center"/>
          </w:tcPr>
          <w:p>
            <w:pPr>
              <w:pStyle w:val="Tabellentext"/>
              <w:jc w:val="left"/>
            </w:pPr>
            <w:r>
              <w:t>ISO/IEC 27002:2022 8.26, ISO/IEC 27002:2022 8.28</w:t>
            </w:r>
          </w:p>
        </w:tc>
      </w:tr>
      <w:tr>
        <w:trPr>
          <w:cantSplit/>
        </w:trPr>
        <w:tc>
          <w:tcPr>
            <w:tcW w:type="dxa" w:w="1100"/>
            <w:tcMar>
              <w:top w:w="120" w:type="dxa"/>
              <w:bottom w:w="120" w:type="dxa"/>
              <w:start w:w="150" w:type="dxa"/>
              <w:end w:w="150" w:type="dxa"/>
            </w:tcMar>
            <w:vAlign w:val="center"/>
          </w:tcPr>
          <w:p>
            <w:pPr>
              <w:pStyle w:val="Tabellentext"/>
              <w:jc w:val="center"/>
            </w:pPr>
            <w:r>
              <w:t>KI-OUT-001</w:t>
            </w:r>
          </w:p>
        </w:tc>
        <w:tc>
          <w:tcPr>
            <w:tcW w:type="dxa" w:w="2650"/>
            <w:tcMar>
              <w:top w:w="120" w:type="dxa"/>
              <w:bottom w:w="120" w:type="dxa"/>
              <w:start w:w="150" w:type="dxa"/>
              <w:end w:w="150" w:type="dxa"/>
            </w:tcMar>
            <w:vAlign w:val="center"/>
          </w:tcPr>
          <w:p>
            <w:pPr>
              <w:pStyle w:val="Tabellentext"/>
              <w:jc w:val="left"/>
            </w:pPr>
            <w:r>
              <w:t>Validierung, Kennzeichnung und menschliche Prüfung von Ausgaben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OPS.1.1.6</w:t>
            </w:r>
          </w:p>
        </w:tc>
        <w:tc>
          <w:tcPr>
            <w:tcW w:type="dxa" w:w="2122"/>
            <w:tcMar>
              <w:top w:w="120" w:type="dxa"/>
              <w:bottom w:w="120" w:type="dxa"/>
              <w:start w:w="150" w:type="dxa"/>
              <w:end w:w="150" w:type="dxa"/>
            </w:tcMar>
            <w:vAlign w:val="center"/>
          </w:tcPr>
          <w:p>
            <w:pPr>
              <w:pStyle w:val="Tabellentext"/>
              <w:jc w:val="left"/>
            </w:pPr>
            <w:r>
              <w:t>ISO/IEC 42001:2023 A.8, ISO/IEC 25059:2023</w:t>
            </w:r>
          </w:p>
        </w:tc>
      </w:tr>
      <w:tr>
        <w:trPr>
          <w:cantSplit/>
        </w:trPr>
        <w:tc>
          <w:tcPr>
            <w:tcW w:type="dxa" w:w="1100"/>
            <w:tcMar>
              <w:top w:w="120" w:type="dxa"/>
              <w:bottom w:w="120" w:type="dxa"/>
              <w:start w:w="150" w:type="dxa"/>
              <w:end w:w="150" w:type="dxa"/>
            </w:tcMar>
            <w:vAlign w:val="center"/>
          </w:tcPr>
          <w:p>
            <w:pPr>
              <w:pStyle w:val="Tabellentext"/>
              <w:jc w:val="center"/>
            </w:pPr>
            <w:r>
              <w:t>KI-TOL-001</w:t>
            </w:r>
          </w:p>
        </w:tc>
        <w:tc>
          <w:tcPr>
            <w:tcW w:type="dxa" w:w="2650"/>
            <w:tcMar>
              <w:top w:w="120" w:type="dxa"/>
              <w:bottom w:w="120" w:type="dxa"/>
              <w:start w:w="150" w:type="dxa"/>
              <w:end w:w="150" w:type="dxa"/>
            </w:tcMar>
            <w:vAlign w:val="center"/>
          </w:tcPr>
          <w:p>
            <w:pPr>
              <w:pStyle w:val="Tabellentext"/>
              <w:jc w:val="left"/>
            </w:pPr>
            <w:r>
              <w:t>Getrennte Tool-Fähigkeiten und Bestätigung kritischer Aktionen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8.2, ISO/IEC 27002:2022 8.18</w:t>
            </w:r>
          </w:p>
        </w:tc>
      </w:tr>
      <w:tr>
        <w:trPr>
          <w:cantSplit/>
        </w:trPr>
        <w:tc>
          <w:tcPr>
            <w:tcW w:type="dxa" w:w="1100"/>
            <w:tcMar>
              <w:top w:w="120" w:type="dxa"/>
              <w:bottom w:w="120" w:type="dxa"/>
              <w:start w:w="150" w:type="dxa"/>
              <w:end w:w="150" w:type="dxa"/>
            </w:tcMar>
            <w:vAlign w:val="center"/>
          </w:tcPr>
          <w:p>
            <w:pPr>
              <w:pStyle w:val="Tabellentext"/>
              <w:jc w:val="center"/>
            </w:pPr>
            <w:r>
              <w:t>KI-TOL-002</w:t>
            </w:r>
          </w:p>
        </w:tc>
        <w:tc>
          <w:tcPr>
            <w:tcW w:type="dxa" w:w="2650"/>
            <w:tcMar>
              <w:top w:w="120" w:type="dxa"/>
              <w:bottom w:w="120" w:type="dxa"/>
              <w:start w:w="150" w:type="dxa"/>
              <w:end w:w="150" w:type="dxa"/>
            </w:tcMar>
            <w:vAlign w:val="center"/>
          </w:tcPr>
          <w:p>
            <w:pPr>
              <w:pStyle w:val="Tabellentext"/>
              <w:jc w:val="left"/>
            </w:pPr>
            <w:r>
              <w:t>Kontrollierte Erweiterungen, MCP-Server und Tool-Protokollierung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OPS.1.1.10, OPS.1.1.5</w:t>
            </w:r>
          </w:p>
        </w:tc>
        <w:tc>
          <w:tcPr>
            <w:tcW w:type="dxa" w:w="2122"/>
            <w:tcMar>
              <w:top w:w="120" w:type="dxa"/>
              <w:bottom w:w="120" w:type="dxa"/>
              <w:start w:w="150" w:type="dxa"/>
              <w:end w:w="150" w:type="dxa"/>
            </w:tcMar>
            <w:vAlign w:val="center"/>
          </w:tcPr>
          <w:p>
            <w:pPr>
              <w:pStyle w:val="Tabellentext"/>
              <w:jc w:val="left"/>
            </w:pPr>
            <w:r>
              <w:t>ISO/IEC 27002:2022 5.21, ISO/IEC 27002:2022 8.15</w:t>
            </w:r>
          </w:p>
        </w:tc>
      </w:tr>
      <w:tr>
        <w:trPr>
          <w:cantSplit/>
        </w:trPr>
        <w:tc>
          <w:tcPr>
            <w:tcW w:type="dxa" w:w="1100"/>
            <w:tcMar>
              <w:top w:w="120" w:type="dxa"/>
              <w:bottom w:w="120" w:type="dxa"/>
              <w:start w:w="150" w:type="dxa"/>
              <w:end w:w="150" w:type="dxa"/>
            </w:tcMar>
            <w:vAlign w:val="center"/>
          </w:tcPr>
          <w:p>
            <w:pPr>
              <w:pStyle w:val="Tabellentext"/>
              <w:jc w:val="center"/>
            </w:pPr>
            <w:r>
              <w:t>KI-THR-001</w:t>
            </w:r>
          </w:p>
        </w:tc>
        <w:tc>
          <w:tcPr>
            <w:tcW w:type="dxa" w:w="2650"/>
            <w:tcMar>
              <w:top w:w="120" w:type="dxa"/>
              <w:bottom w:w="120" w:type="dxa"/>
              <w:start w:w="150" w:type="dxa"/>
              <w:end w:w="150" w:type="dxa"/>
            </w:tcMar>
            <w:vAlign w:val="center"/>
          </w:tcPr>
          <w:p>
            <w:pPr>
              <w:pStyle w:val="Tabellentext"/>
              <w:jc w:val="left"/>
            </w:pPr>
            <w:r>
              <w:t>KI-spezifisches Bedrohungsmodell</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DER.1, APP.6</w:t>
            </w:r>
          </w:p>
        </w:tc>
        <w:tc>
          <w:tcPr>
            <w:tcW w:type="dxa" w:w="2122"/>
            <w:tcMar>
              <w:top w:w="120" w:type="dxa"/>
              <w:bottom w:w="120" w:type="dxa"/>
              <w:start w:w="150" w:type="dxa"/>
              <w:end w:w="150" w:type="dxa"/>
            </w:tcMar>
            <w:vAlign w:val="center"/>
          </w:tcPr>
          <w:p>
            <w:pPr>
              <w:pStyle w:val="Tabellentext"/>
              <w:jc w:val="left"/>
            </w:pPr>
            <w:r>
              <w:t>ISO/IEC 27001:2022 6.1, ISO/IEC 23894:2023</w:t>
            </w:r>
          </w:p>
        </w:tc>
      </w:tr>
      <w:tr>
        <w:trPr>
          <w:cantSplit/>
        </w:trPr>
        <w:tc>
          <w:tcPr>
            <w:tcW w:type="dxa" w:w="1100"/>
            <w:tcMar>
              <w:top w:w="120" w:type="dxa"/>
              <w:bottom w:w="120" w:type="dxa"/>
              <w:start w:w="150" w:type="dxa"/>
              <w:end w:w="150" w:type="dxa"/>
            </w:tcMar>
            <w:vAlign w:val="center"/>
          </w:tcPr>
          <w:p>
            <w:pPr>
              <w:pStyle w:val="Tabellentext"/>
              <w:jc w:val="center"/>
            </w:pPr>
            <w:r>
              <w:t>KI-THR-002</w:t>
            </w:r>
          </w:p>
        </w:tc>
        <w:tc>
          <w:tcPr>
            <w:tcW w:type="dxa" w:w="2650"/>
            <w:tcMar>
              <w:top w:w="120" w:type="dxa"/>
              <w:bottom w:w="120" w:type="dxa"/>
              <w:start w:w="150" w:type="dxa"/>
              <w:end w:w="150" w:type="dxa"/>
            </w:tcMar>
            <w:vAlign w:val="center"/>
          </w:tcPr>
          <w:p>
            <w:pPr>
              <w:pStyle w:val="Tabellentext"/>
              <w:jc w:val="left"/>
            </w:pPr>
            <w:r>
              <w:t>Ressourcen-, Missbrauchs- und Verfügbarkeitsgrenzen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 DER.1</w:t>
            </w:r>
          </w:p>
        </w:tc>
        <w:tc>
          <w:tcPr>
            <w:tcW w:type="dxa" w:w="2122"/>
            <w:tcMar>
              <w:top w:w="120" w:type="dxa"/>
              <w:bottom w:w="120" w:type="dxa"/>
              <w:start w:w="150" w:type="dxa"/>
              <w:end w:w="150" w:type="dxa"/>
            </w:tcMar>
            <w:vAlign w:val="center"/>
          </w:tcPr>
          <w:p>
            <w:pPr>
              <w:pStyle w:val="Tabellentext"/>
              <w:jc w:val="left"/>
            </w:pPr>
            <w:r>
              <w:t>ISO/IEC 27002:2022 8.6, ISO/IEC 27002:2022 8.16</w:t>
            </w:r>
          </w:p>
        </w:tc>
      </w:tr>
      <w:tr>
        <w:trPr>
          <w:cantSplit/>
        </w:trPr>
        <w:tc>
          <w:tcPr>
            <w:tcW w:type="dxa" w:w="1100"/>
            <w:tcMar>
              <w:top w:w="120" w:type="dxa"/>
              <w:bottom w:w="120" w:type="dxa"/>
              <w:start w:w="150" w:type="dxa"/>
              <w:end w:w="150" w:type="dxa"/>
            </w:tcMar>
            <w:vAlign w:val="center"/>
          </w:tcPr>
          <w:p>
            <w:pPr>
              <w:pStyle w:val="Tabellentext"/>
              <w:jc w:val="center"/>
            </w:pPr>
            <w:r>
              <w:t>KI-VAL-001</w:t>
            </w:r>
          </w:p>
        </w:tc>
        <w:tc>
          <w:tcPr>
            <w:tcW w:type="dxa" w:w="2650"/>
            <w:tcMar>
              <w:top w:w="120" w:type="dxa"/>
              <w:bottom w:w="120" w:type="dxa"/>
              <w:start w:w="150" w:type="dxa"/>
              <w:end w:w="150" w:type="dxa"/>
            </w:tcMar>
            <w:vAlign w:val="center"/>
          </w:tcPr>
          <w:p>
            <w:pPr>
              <w:pStyle w:val="Tabellentext"/>
              <w:jc w:val="left"/>
            </w:pPr>
            <w:r>
              <w:t>Reproduzierbare Qualitäts- und Sicherheitsevaluierung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OPS.1.1.6, APP.6</w:t>
            </w:r>
          </w:p>
        </w:tc>
        <w:tc>
          <w:tcPr>
            <w:tcW w:type="dxa" w:w="2122"/>
            <w:tcMar>
              <w:top w:w="120" w:type="dxa"/>
              <w:bottom w:w="120" w:type="dxa"/>
              <w:start w:w="150" w:type="dxa"/>
              <w:end w:w="150" w:type="dxa"/>
            </w:tcMar>
            <w:vAlign w:val="center"/>
          </w:tcPr>
          <w:p>
            <w:pPr>
              <w:pStyle w:val="Tabellentext"/>
              <w:jc w:val="left"/>
            </w:pPr>
            <w:r>
              <w:t>ISO/IEC 42001:2023 A.7, ISO/IEC 25059:2023</w:t>
            </w:r>
          </w:p>
        </w:tc>
      </w:tr>
      <w:tr>
        <w:trPr>
          <w:cantSplit/>
        </w:trPr>
        <w:tc>
          <w:tcPr>
            <w:tcW w:type="dxa" w:w="1100"/>
            <w:tcMar>
              <w:top w:w="120" w:type="dxa"/>
              <w:bottom w:w="120" w:type="dxa"/>
              <w:start w:w="150" w:type="dxa"/>
              <w:end w:w="150" w:type="dxa"/>
            </w:tcMar>
            <w:vAlign w:val="center"/>
          </w:tcPr>
          <w:p>
            <w:pPr>
              <w:pStyle w:val="Tabellentext"/>
              <w:jc w:val="center"/>
            </w:pPr>
            <w:r>
              <w:t>KI-VAL-002</w:t>
            </w:r>
          </w:p>
        </w:tc>
        <w:tc>
          <w:tcPr>
            <w:tcW w:type="dxa" w:w="2650"/>
            <w:tcMar>
              <w:top w:w="120" w:type="dxa"/>
              <w:bottom w:w="120" w:type="dxa"/>
              <w:start w:w="150" w:type="dxa"/>
              <w:end w:w="150" w:type="dxa"/>
            </w:tcMar>
            <w:vAlign w:val="center"/>
          </w:tcPr>
          <w:p>
            <w:pPr>
              <w:pStyle w:val="Tabellentext"/>
              <w:jc w:val="left"/>
            </w:pPr>
            <w:r>
              <w:t>Änderungsabhängige Regression, Wiederfreigabe und Rollback</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OPS.1.1.3, OPS.1.1.6</w:t>
            </w:r>
          </w:p>
        </w:tc>
        <w:tc>
          <w:tcPr>
            <w:tcW w:type="dxa" w:w="2122"/>
            <w:tcMar>
              <w:top w:w="120" w:type="dxa"/>
              <w:bottom w:w="120" w:type="dxa"/>
              <w:start w:w="150" w:type="dxa"/>
              <w:end w:w="150" w:type="dxa"/>
            </w:tcMar>
            <w:vAlign w:val="center"/>
          </w:tcPr>
          <w:p>
            <w:pPr>
              <w:pStyle w:val="Tabellentext"/>
              <w:jc w:val="left"/>
            </w:pPr>
            <w:r>
              <w:t>ISO/IEC 27002:2022 8.32, ISO/IEC 5338:2023</w:t>
            </w:r>
          </w:p>
        </w:tc>
      </w:tr>
      <w:tr>
        <w:trPr>
          <w:cantSplit/>
        </w:trPr>
        <w:tc>
          <w:tcPr>
            <w:tcW w:type="dxa" w:w="1100"/>
            <w:tcMar>
              <w:top w:w="120" w:type="dxa"/>
              <w:bottom w:w="120" w:type="dxa"/>
              <w:start w:w="150" w:type="dxa"/>
              <w:end w:w="150" w:type="dxa"/>
            </w:tcMar>
            <w:vAlign w:val="center"/>
          </w:tcPr>
          <w:p>
            <w:pPr>
              <w:pStyle w:val="Tabellentext"/>
              <w:jc w:val="center"/>
            </w:pPr>
            <w:r>
              <w:t>KI-OPS-001</w:t>
            </w:r>
          </w:p>
        </w:tc>
        <w:tc>
          <w:tcPr>
            <w:tcW w:type="dxa" w:w="2650"/>
            <w:tcMar>
              <w:top w:w="120" w:type="dxa"/>
              <w:bottom w:w="120" w:type="dxa"/>
              <w:start w:w="150" w:type="dxa"/>
              <w:end w:w="150" w:type="dxa"/>
            </w:tcMar>
            <w:vAlign w:val="center"/>
          </w:tcPr>
          <w:p>
            <w:pPr>
              <w:pStyle w:val="Tabellentext"/>
              <w:jc w:val="left"/>
            </w:pPr>
            <w:r>
              <w:t>Datensparsame und manipulationsgeschützte KI-Protokollierung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OPS.1.1.5, DER.1</w:t>
            </w:r>
          </w:p>
        </w:tc>
        <w:tc>
          <w:tcPr>
            <w:tcW w:type="dxa" w:w="2122"/>
            <w:tcMar>
              <w:top w:w="120" w:type="dxa"/>
              <w:bottom w:w="120" w:type="dxa"/>
              <w:start w:w="150" w:type="dxa"/>
              <w:end w:w="150" w:type="dxa"/>
            </w:tcMar>
            <w:vAlign w:val="center"/>
          </w:tcPr>
          <w:p>
            <w:pPr>
              <w:pStyle w:val="Tabellentext"/>
              <w:jc w:val="left"/>
            </w:pPr>
            <w:r>
              <w:t>ISO/IEC 27002:2022 8.15, ISO/IEC 27002:2022 8.17</w:t>
            </w:r>
          </w:p>
        </w:tc>
      </w:tr>
      <w:tr>
        <w:trPr>
          <w:cantSplit/>
        </w:trPr>
        <w:tc>
          <w:tcPr>
            <w:tcW w:type="dxa" w:w="1100"/>
            <w:tcMar>
              <w:top w:w="120" w:type="dxa"/>
              <w:bottom w:w="120" w:type="dxa"/>
              <w:start w:w="150" w:type="dxa"/>
              <w:end w:w="150" w:type="dxa"/>
            </w:tcMar>
            <w:vAlign w:val="center"/>
          </w:tcPr>
          <w:p>
            <w:pPr>
              <w:pStyle w:val="Tabellentext"/>
              <w:jc w:val="center"/>
            </w:pPr>
            <w:r>
              <w:t>KI-OPS-002</w:t>
            </w:r>
          </w:p>
        </w:tc>
        <w:tc>
          <w:tcPr>
            <w:tcW w:type="dxa" w:w="2650"/>
            <w:tcMar>
              <w:top w:w="120" w:type="dxa"/>
              <w:bottom w:w="120" w:type="dxa"/>
              <w:start w:w="150" w:type="dxa"/>
              <w:end w:w="150" w:type="dxa"/>
            </w:tcMar>
            <w:vAlign w:val="center"/>
          </w:tcPr>
          <w:p>
            <w:pPr>
              <w:pStyle w:val="Tabellentext"/>
              <w:jc w:val="left"/>
            </w:pPr>
            <w:r>
              <w:t>Monitoring, Drift und KI-Vorfallbehandlung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DER.1, DER.2.1</w:t>
            </w:r>
          </w:p>
        </w:tc>
        <w:tc>
          <w:tcPr>
            <w:tcW w:type="dxa" w:w="2122"/>
            <w:tcMar>
              <w:top w:w="120" w:type="dxa"/>
              <w:bottom w:w="120" w:type="dxa"/>
              <w:start w:w="150" w:type="dxa"/>
              <w:end w:w="150" w:type="dxa"/>
            </w:tcMar>
            <w:vAlign w:val="center"/>
          </w:tcPr>
          <w:p>
            <w:pPr>
              <w:pStyle w:val="Tabellentext"/>
              <w:jc w:val="left"/>
            </w:pPr>
            <w:r>
              <w:t>ISO/IEC 27002:2022 8.16, ISO/IEC 27002:2022 5.24</w:t>
            </w:r>
          </w:p>
        </w:tc>
      </w:tr>
      <w:tr>
        <w:trPr>
          <w:cantSplit/>
        </w:trPr>
        <w:tc>
          <w:tcPr>
            <w:tcW w:type="dxa" w:w="1100"/>
            <w:tcMar>
              <w:top w:w="120" w:type="dxa"/>
              <w:bottom w:w="120" w:type="dxa"/>
              <w:start w:w="150" w:type="dxa"/>
              <w:end w:w="150" w:type="dxa"/>
            </w:tcMar>
            <w:vAlign w:val="center"/>
          </w:tcPr>
          <w:p>
            <w:pPr>
              <w:pStyle w:val="Tabellentext"/>
              <w:jc w:val="center"/>
            </w:pPr>
            <w:r>
              <w:t>KI-OPS-003</w:t>
            </w:r>
          </w:p>
        </w:tc>
        <w:tc>
          <w:tcPr>
            <w:tcW w:type="dxa" w:w="2650"/>
            <w:tcMar>
              <w:top w:w="120" w:type="dxa"/>
              <w:bottom w:w="120" w:type="dxa"/>
              <w:start w:w="150" w:type="dxa"/>
              <w:end w:w="150" w:type="dxa"/>
            </w:tcMar>
            <w:vAlign w:val="center"/>
          </w:tcPr>
          <w:p>
            <w:pPr>
              <w:pStyle w:val="Tabellentext"/>
              <w:jc w:val="left"/>
            </w:pPr>
            <w:r>
              <w:t>Wiederanlauf und konsistente Sicherungen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CON.3, DER.4</w:t>
            </w:r>
          </w:p>
        </w:tc>
        <w:tc>
          <w:tcPr>
            <w:tcW w:type="dxa" w:w="2122"/>
            <w:tcMar>
              <w:top w:w="120" w:type="dxa"/>
              <w:bottom w:w="120" w:type="dxa"/>
              <w:start w:w="150" w:type="dxa"/>
              <w:end w:w="150" w:type="dxa"/>
            </w:tcMar>
            <w:vAlign w:val="center"/>
          </w:tcPr>
          <w:p>
            <w:pPr>
              <w:pStyle w:val="Tabellentext"/>
              <w:jc w:val="left"/>
            </w:pPr>
            <w:r>
              <w:t>ISO/IEC 27002:2022 8.13, ISO/IEC 27002:2022 5.30</w:t>
            </w:r>
          </w:p>
        </w:tc>
      </w:tr>
      <w:tr>
        <w:trPr>
          <w:cantSplit/>
        </w:trPr>
        <w:tc>
          <w:tcPr>
            <w:tcW w:type="dxa" w:w="1100"/>
            <w:tcMar>
              <w:top w:w="120" w:type="dxa"/>
              <w:bottom w:w="120" w:type="dxa"/>
              <w:start w:w="150" w:type="dxa"/>
              <w:end w:w="150" w:type="dxa"/>
            </w:tcMar>
            <w:vAlign w:val="center"/>
          </w:tcPr>
          <w:p>
            <w:pPr>
              <w:pStyle w:val="Tabellentext"/>
              <w:jc w:val="center"/>
            </w:pPr>
            <w:r>
              <w:t>KI-DEC-001</w:t>
            </w:r>
          </w:p>
        </w:tc>
        <w:tc>
          <w:tcPr>
            <w:tcW w:type="dxa" w:w="2650"/>
            <w:tcMar>
              <w:top w:w="120" w:type="dxa"/>
              <w:bottom w:w="120" w:type="dxa"/>
              <w:start w:w="150" w:type="dxa"/>
              <w:end w:w="150" w:type="dxa"/>
            </w:tcMar>
            <w:vAlign w:val="center"/>
          </w:tcPr>
          <w:p>
            <w:pPr>
              <w:pStyle w:val="Tabellentext"/>
              <w:jc w:val="left"/>
            </w:pPr>
            <w:r>
              <w:t>Kontrollierte Außerbetriebnahme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OPS.1.1.2</w:t>
            </w:r>
          </w:p>
        </w:tc>
        <w:tc>
          <w:tcPr>
            <w:tcW w:type="dxa" w:w="2122"/>
            <w:tcMar>
              <w:top w:w="120" w:type="dxa"/>
              <w:bottom w:w="120" w:type="dxa"/>
              <w:start w:w="150" w:type="dxa"/>
              <w:end w:w="150" w:type="dxa"/>
            </w:tcMar>
            <w:vAlign w:val="center"/>
          </w:tcPr>
          <w:p>
            <w:pPr>
              <w:pStyle w:val="Tabellentext"/>
              <w:jc w:val="left"/>
            </w:pPr>
            <w:r>
              <w:t>ISO/IEC 27002:2022 8.10, ISO/IEC 27002:2022 5.11</w:t>
            </w:r>
          </w:p>
        </w:tc>
      </w:tr>
      <w:tr>
        <w:trPr>
          <w:cantSplit/>
        </w:trPr>
        <w:tc>
          <w:tcPr>
            <w:tcW w:type="dxa" w:w="1100"/>
            <w:tcMar>
              <w:top w:w="120" w:type="dxa"/>
              <w:bottom w:w="120" w:type="dxa"/>
              <w:start w:w="150" w:type="dxa"/>
              <w:end w:w="150" w:type="dxa"/>
            </w:tcMar>
            <w:vAlign w:val="center"/>
          </w:tcPr>
          <w:p>
            <w:pPr>
              <w:pStyle w:val="Tabellentext"/>
              <w:jc w:val="center"/>
            </w:pPr>
            <w:r>
              <w:t>KI-EXT-001</w:t>
            </w:r>
          </w:p>
        </w:tc>
        <w:tc>
          <w:tcPr>
            <w:tcW w:type="dxa" w:w="2650"/>
            <w:tcMar>
              <w:top w:w="120" w:type="dxa"/>
              <w:bottom w:w="120" w:type="dxa"/>
              <w:start w:w="150" w:type="dxa"/>
              <w:end w:w="150" w:type="dxa"/>
            </w:tcMar>
            <w:vAlign w:val="center"/>
          </w:tcPr>
          <w:p>
            <w:pPr>
              <w:pStyle w:val="Tabellentext"/>
              <w:jc w:val="left"/>
            </w:pPr>
            <w:r>
              <w:t>Neue Bewertung vor externer Inferenz</w:t>
            </w:r>
          </w:p>
        </w:tc>
        <w:tc>
          <w:tcPr>
            <w:tcW w:type="dxa" w:w="1350"/>
            <w:tcMar>
              <w:top w:w="120" w:type="dxa"/>
              <w:bottom w:w="120" w:type="dxa"/>
              <w:start w:w="150" w:type="dxa"/>
              <w:end w:w="150" w:type="dxa"/>
            </w:tcMar>
            <w:vAlign w:val="center"/>
          </w:tcPr>
          <w:p>
            <w:pPr>
              <w:pStyle w:val="Tabellentext"/>
              <w:jc w:val="center"/>
            </w:pPr>
            <w:r>
              <w:t>bedingt-externe-inferenz</w:t>
            </w:r>
          </w:p>
        </w:tc>
        <w:tc>
          <w:tcPr>
            <w:tcW w:type="dxa" w:w="1700"/>
            <w:tcMar>
              <w:top w:w="120" w:type="dxa"/>
              <w:bottom w:w="120" w:type="dxa"/>
              <w:start w:w="150" w:type="dxa"/>
              <w:end w:w="150" w:type="dxa"/>
            </w:tcMar>
            <w:vAlign w:val="center"/>
          </w:tcPr>
          <w:p>
            <w:pPr>
              <w:pStyle w:val="Tabellentext"/>
              <w:jc w:val="left"/>
            </w:pPr>
            <w:r>
              <w:t>OPS.2.2, CON.2</w:t>
            </w:r>
          </w:p>
        </w:tc>
        <w:tc>
          <w:tcPr>
            <w:tcW w:type="dxa" w:w="2122"/>
            <w:tcMar>
              <w:top w:w="120" w:type="dxa"/>
              <w:bottom w:w="120" w:type="dxa"/>
              <w:start w:w="150" w:type="dxa"/>
              <w:end w:w="150" w:type="dxa"/>
            </w:tcMar>
            <w:vAlign w:val="center"/>
          </w:tcPr>
          <w:p>
            <w:pPr>
              <w:pStyle w:val="Tabellentext"/>
              <w:jc w:val="left"/>
            </w:pPr>
            <w:r>
              <w:t>ISO/IEC 27002:2022 5.19, ISO/IEC 27002:2022 5.20, ISO/IEC 42001:2023 A.10</w:t>
            </w:r>
          </w:p>
        </w:tc>
      </w:tr>
      <w:tr>
        <w:trPr>
          <w:cantSplit/>
        </w:trPr>
        <w:tc>
          <w:tcPr>
            <w:tcW w:type="dxa" w:w="1100"/>
            <w:tcMar>
              <w:top w:w="120" w:type="dxa"/>
              <w:bottom w:w="120" w:type="dxa"/>
              <w:start w:w="150" w:type="dxa"/>
              <w:end w:w="150" w:type="dxa"/>
            </w:tcMar>
            <w:vAlign w:val="center"/>
          </w:tcPr>
          <w:p>
            <w:pPr>
              <w:pStyle w:val="Tabellentext"/>
              <w:jc w:val="center"/>
            </w:pPr>
            <w:r>
              <w:t>KI-EXT-002</w:t>
            </w:r>
          </w:p>
        </w:tc>
        <w:tc>
          <w:tcPr>
            <w:tcW w:type="dxa" w:w="2650"/>
            <w:tcMar>
              <w:top w:w="120" w:type="dxa"/>
              <w:bottom w:w="120" w:type="dxa"/>
              <w:start w:w="150" w:type="dxa"/>
              <w:end w:w="150" w:type="dxa"/>
            </w:tcMar>
            <w:vAlign w:val="center"/>
          </w:tcPr>
          <w:p>
            <w:pPr>
              <w:pStyle w:val="Tabellentext"/>
              <w:jc w:val="left"/>
            </w:pPr>
            <w:r>
              <w:t>Kein automatischer externer Fallback</w:t>
            </w:r>
          </w:p>
        </w:tc>
        <w:tc>
          <w:tcPr>
            <w:tcW w:type="dxa" w:w="1350"/>
            <w:tcMar>
              <w:top w:w="120" w:type="dxa"/>
              <w:bottom w:w="120" w:type="dxa"/>
              <w:start w:w="150" w:type="dxa"/>
              <w:end w:w="150" w:type="dxa"/>
            </w:tcMar>
            <w:vAlign w:val="center"/>
          </w:tcPr>
          <w:p>
            <w:pPr>
              <w:pStyle w:val="Tabellentext"/>
              <w:jc w:val="center"/>
            </w:pPr>
            <w:r>
              <w:t>bedingt-externe-inferenz</w:t>
            </w:r>
          </w:p>
        </w:tc>
        <w:tc>
          <w:tcPr>
            <w:tcW w:type="dxa" w:w="1700"/>
            <w:tcMar>
              <w:top w:w="120" w:type="dxa"/>
              <w:bottom w:w="120" w:type="dxa"/>
              <w:start w:w="150" w:type="dxa"/>
              <w:end w:w="150" w:type="dxa"/>
            </w:tcMar>
            <w:vAlign w:val="center"/>
          </w:tcPr>
          <w:p>
            <w:pPr>
              <w:pStyle w:val="Tabellentext"/>
              <w:jc w:val="left"/>
            </w:pPr>
            <w:r>
              <w:t>NET.1.1, APP.6</w:t>
            </w:r>
          </w:p>
        </w:tc>
        <w:tc>
          <w:tcPr>
            <w:tcW w:type="dxa" w:w="2122"/>
            <w:tcMar>
              <w:top w:w="120" w:type="dxa"/>
              <w:bottom w:w="120" w:type="dxa"/>
              <w:start w:w="150" w:type="dxa"/>
              <w:end w:w="150" w:type="dxa"/>
            </w:tcMar>
            <w:vAlign w:val="center"/>
          </w:tcPr>
          <w:p>
            <w:pPr>
              <w:pStyle w:val="Tabellentext"/>
              <w:jc w:val="left"/>
            </w:pPr>
            <w:r>
              <w:t>ISO/IEC 27002:2022 8.20, ISO/IEC 27002:2022 8.26</w:t>
            </w:r>
          </w:p>
        </w:tc>
      </w:tr>
      <w:tr>
        <w:trPr>
          <w:cantSplit/>
        </w:trPr>
        <w:tc>
          <w:tcPr>
            <w:tcW w:type="dxa" w:w="1100"/>
            <w:tcMar>
              <w:top w:w="120" w:type="dxa"/>
              <w:bottom w:w="120" w:type="dxa"/>
              <w:start w:w="150" w:type="dxa"/>
              <w:end w:w="150" w:type="dxa"/>
            </w:tcMar>
            <w:vAlign w:val="center"/>
          </w:tcPr>
          <w:p>
            <w:pPr>
              <w:pStyle w:val="Tabellentext"/>
              <w:jc w:val="center"/>
            </w:pPr>
            <w:r>
              <w:t>KI-ASS-001</w:t>
            </w:r>
          </w:p>
        </w:tc>
        <w:tc>
          <w:tcPr>
            <w:tcW w:type="dxa" w:w="2650"/>
            <w:tcMar>
              <w:top w:w="120" w:type="dxa"/>
              <w:bottom w:w="120" w:type="dxa"/>
              <w:start w:w="150" w:type="dxa"/>
              <w:end w:w="150" w:type="dxa"/>
            </w:tcMar>
            <w:vAlign w:val="center"/>
          </w:tcPr>
          <w:p>
            <w:pPr>
              <w:pStyle w:val="Tabellentext"/>
              <w:jc w:val="left"/>
            </w:pPr>
            <w:r>
              <w:t>Prüfbare Nachweiskette und befristete Abweichungen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DER.3.1</w:t>
            </w:r>
          </w:p>
        </w:tc>
        <w:tc>
          <w:tcPr>
            <w:tcW w:type="dxa" w:w="2122"/>
            <w:tcMar>
              <w:top w:w="120" w:type="dxa"/>
              <w:bottom w:w="120" w:type="dxa"/>
              <w:start w:w="150" w:type="dxa"/>
              <w:end w:w="150" w:type="dxa"/>
            </w:tcMar>
            <w:vAlign w:val="center"/>
          </w:tcPr>
          <w:p>
            <w:pPr>
              <w:pStyle w:val="Tabellentext"/>
              <w:jc w:val="left"/>
            </w:pPr>
            <w:r>
              <w:t>ISO/IEC 27001:2022 7.5, ISO/IEC 27001:2022 9.1, ISO/IEC 42001:2023 9.1</w:t>
            </w:r>
          </w:p>
        </w:tc>
      </w:tr>
    </w:tbl>
    <w:p>
      <w:pPr>
        <w:pStyle w:val="Heading1"/>
        <w:keepNext/>
      </w:pPr>
      <w:r>
        <w:t>14 Verfahren zur organisationsspezifischen Übernahme</w:t>
      </w:r>
    </w:p>
    <w:p>
      <w:pPr>
        <w:widowControl/>
        <w:spacing w:after="120" w:before="0" w:line="276" w:lineRule="auto"/>
      </w:pPr>
      <w:r>
        <w:t>Eine Übernahme beginnt niemals durch direkte Ergänzung dieses Referenzrepositorys. Vor der ersten Organisationsangabe wird eine getrennte, angemessen geschützte Offline-Fassung erstellt. Der Statusmechanismus setzt Deckblatt, Kopfzeilen und Metadaten auf die Kennzeichnung, dass eine Einstufung durch die Organisation erforderlich ist.</w:t>
      </w:r>
    </w:p>
    <w:p>
      <w:pPr>
        <w:pStyle w:val="ListNumber"/>
        <w:widowControl/>
        <w:spacing w:after="100" w:line="276" w:lineRule="auto"/>
        <w:ind w:left="720" w:hanging="360"/>
      </w:pPr>
      <w:r>
        <w:t>Geltungsbereich, Verantwortliche, Schutz- und Informationsklassifikation durch befugte Stellen festlegen.</w:t>
      </w:r>
    </w:p>
    <w:p>
      <w:pPr>
        <w:pStyle w:val="ListNumber"/>
        <w:widowControl/>
        <w:spacing w:after="100" w:line="276" w:lineRule="auto"/>
        <w:ind w:left="720" w:hanging="360"/>
      </w:pPr>
      <w:r>
        <w:t>Reale Architektur ausschließlich in der geschützten Fassung erfassen und Vertrauenszonen sowie Datenflüsse verifizieren.</w:t>
      </w:r>
    </w:p>
    <w:p>
      <w:pPr>
        <w:pStyle w:val="ListNumber"/>
        <w:widowControl/>
        <w:spacing w:after="100" w:line="276" w:lineRule="auto"/>
        <w:ind w:left="720" w:hanging="360"/>
      </w:pPr>
      <w:r>
        <w:t>Rechts-, Datenschutz-, Geheimschutz- und Beteiligungsprüfung je Anwendungsfall durchführen.</w:t>
      </w:r>
    </w:p>
    <w:p>
      <w:pPr>
        <w:pStyle w:val="ListNumber"/>
        <w:widowControl/>
        <w:spacing w:after="100" w:line="276" w:lineRule="auto"/>
        <w:ind w:left="720" w:hanging="360"/>
      </w:pPr>
      <w:r>
        <w:t>Kontrollanwendbarkeit, Basisabhängigkeiten, konkrete Umsetzung, Nachweise und Restrisiken bestimmen.</w:t>
      </w:r>
    </w:p>
    <w:p>
      <w:pPr>
        <w:pStyle w:val="ListNumber"/>
        <w:widowControl/>
        <w:spacing w:after="100" w:line="276" w:lineRule="auto"/>
        <w:ind w:left="720" w:hanging="360"/>
      </w:pPr>
      <w:r>
        <w:t>Technische Negativ- und Wirksamkeitstests in der tatsächlichen Umgebung durchführen.</w:t>
      </w:r>
    </w:p>
    <w:p>
      <w:pPr>
        <w:pStyle w:val="ListNumber"/>
        <w:widowControl/>
        <w:spacing w:after="100" w:line="276" w:lineRule="auto"/>
        <w:ind w:left="720" w:hanging="360"/>
      </w:pPr>
      <w:r>
        <w:t>Unabhängige Fachprüfung, Risikofreigabe und gegebenenfalls formale Einstufung dokumentieren.</w:t>
      </w:r>
    </w:p>
    <w:p>
      <w:pPr>
        <w:pStyle w:val="ListNumber"/>
        <w:widowControl/>
        <w:spacing w:after="100" w:line="276" w:lineRule="auto"/>
        <w:ind w:left="720" w:hanging="360"/>
      </w:pPr>
      <w:r>
        <w:t>Änderungs-, Vorfall-, Wiederanlauf-, Modellwechsel- und Außerbetriebnahmeverfahren betreiben.</w:t>
      </w:r>
    </w:p>
    <w:p>
      <w:pPr>
        <w:widowControl/>
        <w:spacing w:after="120" w:before="0" w:line="276" w:lineRule="auto"/>
      </w:pPr>
      <w:r>
        <w:t>Externe Inferenz ist ein eigener Systemgrenzenwechsel. Sie darf nicht als einfache Konfigurationsvariante übernommen werden, sondern erfordert die vollständige Neubewertung nach KI-EXT-001 und KI-EXT-002.</w:t>
      </w:r>
    </w:p>
    <w:p>
      <w:pPr>
        <w:pStyle w:val="Heading1"/>
        <w:keepNext/>
      </w:pPr>
      <w:r>
        <w:t>15 Quellenverzeichnis, Glossar und Abkürzungen</w:t>
      </w:r>
    </w:p>
    <w:p>
      <w:pPr>
        <w:pStyle w:val="Heading2"/>
        <w:keepNext/>
      </w:pPr>
      <w:r>
        <w:t>15.1 Quellenverzeichnis</w:t>
      </w:r>
    </w:p>
    <w:p>
      <w:pPr>
        <w:widowControl/>
        <w:spacing w:after="120" w:before="0" w:line="276" w:lineRule="auto"/>
      </w:pPr>
      <w:r>
        <w:t>Maßgeblich ist das maschinenlesbare Quellenregister. Die folgenden Angaben verwenden den Prüfstand 02.09.2026. Bei HTML-Dokumentation ohne ausgewiesenes Veröffentlichungsdatum wird ausdrücklich der Abrufstand genannt.</w:t>
      </w:r>
    </w:p>
    <w:p>
      <w:pPr>
        <w:widowControl/>
        <w:spacing w:after="140" w:before="0" w:line="276" w:lineRule="auto"/>
        <w:suppressAutoHyphens w:val="true"/>
      </w:pPr>
      <w:r>
        <w:rPr>
          <w:b/>
        </w:rPr>
        <w:t xml:space="preserve">[Q-BMI-001] </w:t>
      </w:r>
      <w:r>
        <w:t xml:space="preserve">Bundesministerium des Innern und für Heimat / Beratungszentrum für Künstliche Intelligenz: Leitlinien für den Einsatz Künstlicher Intelligenz in der Bundesverwaltung, Erstfassung, 2025-04-07, S. 25–29; S. 30, </w:t>
      </w:r>
      <w:hyperlink r:id="rId11">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[Q-BSI-001] </w:t>
      </w:r>
      <w:r>
        <w:t xml:space="preserve">Bundesamt für Sicherheit in der Informationstechnik: Kriterienkatalog des BSI zur Integration von extern bereitgestellten generativen KI-Modellen in eigene Anwendungen, Version 1.0, 2025-06-06, S. 4–7; S. 8–10; S. 11–13; S. 14–16, </w:t>
      </w:r>
      <w:hyperlink r:id="rId12">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[Q-BMVG-001] </w:t>
      </w:r>
      <w:r>
        <w:t xml:space="preserve">Bundesministerium der Verteidigung: Künstliche Intelligenz, K-9000/102, Öffentliche Fassung, K-9000/102, Öffentliche Fassung, 2026-08-04, S. 23–26; S. 28–34; S. 45–50, </w:t>
      </w:r>
      <w:hyperlink r:id="rId13">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[Q-BSI-SDT-001] </w:t>
      </w:r>
      <w:r>
        <w:t xml:space="preserve">Bundesamt für Sicherheit in der Informationstechnik: Stand-der-Technik-Bibliothek, Commit 8a97764ff4f23c2b7945c64344eecbf5a2053db2, 2026-08-27, Repository-Inhalt und OSCAL-Katalog am fixierten Commit, </w:t>
      </w:r>
      <w:hyperlink r:id="rId14">
        <w:r>
          <w:rPr>
            <w:rStyle w:val="Hyperlink"/>
          </w:rPr>
          <w:t>öffentliche Fundstelle</w:t>
        </w:r>
      </w:hyperlink>
      <w:r>
        <w:t>, abgerufen am 02.09.2026. Autoritätsstufe: 4-veröffentlichte-bsi-struktur. Wiedervorlage: 2027-09-02.</w:t>
      </w:r>
    </w:p>
    <w:p>
      <w:pPr>
        <w:widowControl/>
        <w:spacing w:after="140" w:before="0" w:line="276" w:lineRule="auto"/>
        <w:suppressAutoHyphens w:val="true"/>
      </w:pPr>
      <w:r>
        <w:rPr>
          <w:b/>
        </w:rPr>
        <w:t xml:space="preserve">[Q-NIST-OSCAL-001] </w:t>
      </w:r>
      <w:r>
        <w:t xml:space="preserve">National Institute of Standards and Technology: OSCAL Version 1.1.3 – Catalog JSON Schema, OSCAL 1.1.3, 2024-11-26, Gesamtes Catalog-JSON-Schema, </w:t>
      </w:r>
      <w:hyperlink r:id="rId15">
        <w:r>
          <w:rPr>
            <w:rStyle w:val="Hyperlink"/>
          </w:rPr>
          <w:t>öffentliche Fundstelle</w:t>
        </w:r>
      </w:hyperlink>
      <w:r>
        <w:t>, abgerufen am 02.09.2026. Autoritätsstufe: 5-internationale-behördenquelle. Wiedervorlage: 2027-09-02.</w:t>
      </w:r>
    </w:p>
    <w:p>
      <w:pPr>
        <w:widowControl/>
        <w:spacing w:after="140" w:before="0" w:line="276" w:lineRule="auto"/>
        <w:suppressAutoHyphens w:val="true"/>
      </w:pPr>
      <w:r>
        <w:rPr>
          <w:b/>
        </w:rPr>
        <w:t xml:space="preserve">[Q-EU-001] </w:t>
      </w:r>
      <w:r>
        <w:t xml:space="preserve">Europäische Union: Verordnung (EU) 2024/1689 über künstliche Intelligenz, ABl. L 2024/1689, 2024-07-12, Art. 2–4; Art. 9–15; Art. 26 und 27, </w:t>
      </w:r>
      <w:hyperlink r:id="rId16">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[Q-BFDI-001] </w:t>
      </w:r>
      <w:r>
        <w:t xml:space="preserve">Die Bundesbeauftragte für den Datenschutz und die Informationsfreiheit: KI in Behörden – Datenschutz von Anfang an mitdenken, Handreichung für die Bundesverwaltung, 2025-12-22, Kap. 1–3; Kap. 4–7, </w:t>
      </w:r>
      <w:hyperlink r:id="rId17">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[Q-DSK-001] </w:t>
      </w:r>
      <w:r>
        <w:t xml:space="preserve">Konferenz der unabhängigen Datenschutzaufsichtsbehörden des Bundes und der Länder: Künstliche Intelligenz und Datenschutz, Version 1.0, 2024-05-06, Gesamtdokument, insbesondere Auswahl, Einführung, Nutzung und Beendigung, </w:t>
      </w:r>
      <w:hyperlink r:id="rId18">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[Q-DSK-002] </w:t>
      </w:r>
      <w:r>
        <w:t xml:space="preserve">Konferenz der unabhängigen Datenschutzaufsichtsbehörden des Bundes und der Länder: Orientierungshilfe zu empfohlenen technischen und organisatorischen Maßnahmen bei der Entwicklung und beim Betrieb von KI-Systemen, Version 1.0, 2025-06-17, Kap. 2–6, </w:t>
      </w:r>
      <w:hyperlink r:id="rId19">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[Q-DSK-003] </w:t>
      </w:r>
      <w:r>
        <w:t xml:space="preserve">Konferenz der unabhängigen Datenschutzaufsichtsbehörden des Bundes und der Länder: Orientierungshilfe zu datenschutzrechtlichen Besonderheiten generativer KI-Systeme mit RAG-Methode, Version 1.0, 2025-10-17, Kap. 2–5, </w:t>
      </w:r>
      <w:hyperlink r:id="rId20">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[Q-NIST-001] </w:t>
      </w:r>
      <w:r>
        <w:t xml:space="preserve">National Institute of Standards and Technology: Artificial Intelligence Risk Management Framework: Generative Artificial Intelligence Profile, NIST AI 600-1, 2024-07-26, Profile actions for Govern, Map, Measure and Manage, </w:t>
      </w:r>
      <w:hyperlink r:id="rId21">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[Q-NIST-002] </w:t>
      </w:r>
      <w:r>
        <w:t xml:space="preserve">National Institute of Standards and Technology: Adversarial Machine Learning: A Taxonomy and Terminology of Attacks and Mitigations, NIST AI 100-2 E2025, 2025-03-24, Taxonomie der Angriffe und Abhilfen, </w:t>
      </w:r>
      <w:hyperlink r:id="rId22">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[Q-ENISA-001] </w:t>
      </w:r>
      <w:r>
        <w:t xml:space="preserve">European Union Agency for Cybersecurity: Multilayer Framework for Good Cybersecurity Practices for AI, Erstveröffentlichung, 2023-11-15, Multilayer framework und good practices, </w:t>
      </w:r>
      <w:hyperlink r:id="rId23">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[Q-NCSC-001] </w:t>
      </w:r>
      <w:r>
        <w:t xml:space="preserve">UK National Cyber Security Centre und internationale Partner: Guidelines for Secure AI System Development, Version 1.0, 2023-11-26, Secure design, development, deployment, operation and maintenance, </w:t>
      </w:r>
      <w:hyperlink r:id="rId24">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[Q-OWASP-001] </w:t>
      </w:r>
      <w:r>
        <w:t xml:space="preserve">OWASP Foundation: OWASP Top 10 for Large Language Model Applications, Ausgabe 2025, Abrufstand 02.09.2026, LLM Top 10 2025, </w:t>
      </w:r>
      <w:hyperlink r:id="rId25">
        <w:r>
          <w:rPr>
            <w:rStyle w:val="Hyperlink"/>
          </w:rPr>
          <w:t>öffentliche Fundstelle</w:t>
        </w:r>
      </w:hyperlink>
      <w:r>
        <w:t>, abgerufen am 02.09.2026. Autoritätsstufe: 6-informativer-bedrohungskatalog. Wiedervorlage: 2026-12-01.</w:t>
      </w:r>
    </w:p>
    <w:p>
      <w:pPr>
        <w:widowControl/>
        <w:spacing w:after="140" w:before="0" w:line="276" w:lineRule="auto"/>
        <w:suppressAutoHyphens w:val="true"/>
      </w:pPr>
      <w:r>
        <w:rPr>
          <w:b/>
        </w:rPr>
        <w:t xml:space="preserve">[Q-MITRE-001] </w:t>
      </w:r>
      <w:r>
        <w:t xml:space="preserve">The MITRE Corporation: MITRE ATLAS, Laufend gepflegte Wissensbasis, Abrufstand 02.09.2026, Tactics and techniques, </w:t>
      </w:r>
      <w:hyperlink r:id="rId26">
        <w:r>
          <w:rPr>
            <w:rStyle w:val="Hyperlink"/>
          </w:rPr>
          <w:t>öffentliche Fundstelle</w:t>
        </w:r>
      </w:hyperlink>
      <w:r>
        <w:t>, abgerufen am 02.09.2026. Autoritätsstufe: 6-informativer-bedrohungskatalog. Wiedervorlage: 2026-12-01.</w:t>
      </w:r>
    </w:p>
    <w:p>
      <w:pPr>
        <w:widowControl/>
        <w:spacing w:after="140" w:before="0" w:line="276" w:lineRule="auto"/>
        <w:suppressAutoHyphens w:val="true"/>
      </w:pPr>
      <w:r>
        <w:rPr>
          <w:b/>
        </w:rPr>
        <w:t xml:space="preserve">[Q-K8S-001] </w:t>
      </w:r>
      <w:r>
        <w:t xml:space="preserve">The Kubernetes Authors: Kubernetes API Reference: NetworkPolicy v1, Online-Dokumentation, Abrufstand 02.09.2026, NetworkPolicySpec, ingress und egress, </w:t>
      </w:r>
      <w:hyperlink r:id="rId27">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[Q-DOCKER-001] </w:t>
      </w:r>
      <w:r>
        <w:t xml:space="preserve">Docker, Inc.: Rootless mode, Online-Dokumentation, Abrufstand 02.09.2026, Rootless mode, </w:t>
      </w:r>
      <w:hyperlink r:id="rId28">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[Q-PODMAN-001] </w:t>
      </w:r>
      <w:r>
        <w:t xml:space="preserve">Podman Project: podman-network, Online-Dokumentation, Abrufstand 02.09.2026, Network management und network create, </w:t>
      </w:r>
      <w:hyperlink r:id="rId29">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[Q-OLLAMA-001] </w:t>
      </w:r>
      <w:r>
        <w:t xml:space="preserve">Ollama: Authentication, Online-Dokumentation, Abrufstand 02.09.2026, Local access, </w:t>
      </w:r>
      <w:hyperlink r:id="rId30">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[Q-VLLM-001] </w:t>
      </w:r>
      <w:r>
        <w:t xml:space="preserve">vLLM Project: Security, Online-Dokumentation, Abrufstand 02.09.2026, Security und API server, </w:t>
      </w:r>
      <w:hyperlink r:id="rId31">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[Q-OPENWEBUI-001] </w:t>
      </w:r>
      <w:r>
        <w:t xml:space="preserve">Open WebUI: Starting with OpenAI-compatible providers, Online-Dokumentation, Abrufstand 02.09.2026, Connection to OpenAI-compatible providers, </w:t>
      </w:r>
      <w:hyperlink r:id="rId32">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[Q-OPENWEBUI-002] </w:t>
      </w:r>
      <w:r>
        <w:t xml:space="preserve">Open WebUI: API Endpoints, Online-Dokumentation, Abrufstand 02.09.2026, Authentication und API endpoints, </w:t>
      </w:r>
      <w:hyperlink r:id="rId33">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[Q-CLINE-001] </w:t>
      </w:r>
      <w:r>
        <w:t xml:space="preserve">Cline Bot Inc.: Cline Model Providers, Commit 0b0ca9b1fa95ed9f3e0891a34f1f9b3904309710, 2026-05-12, OpenAI-Compatible Providers, </w:t>
      </w:r>
      <w:hyperlink r:id="rId34">
        <w:r>
          <w:rPr>
            <w:rStyle w:val="Hyperlink"/>
          </w:rPr>
          <w:t>öffentliche Fundstelle</w:t>
        </w:r>
      </w:hyperlink>
      <w:r>
        <w:t>, abgerufen am 02.09.2026. Autoritätsstufe: 7-offizielle-produktdokumentation. Wiedervorlage: 2027-09-02.</w:t>
      </w:r>
    </w:p>
    <w:p>
      <w:pPr>
        <w:widowControl/>
        <w:spacing w:after="140" w:before="0" w:line="276" w:lineRule="auto"/>
        <w:suppressAutoHyphens w:val="true"/>
      </w:pPr>
      <w:r>
        <w:rPr>
          <w:b/>
        </w:rPr>
        <w:t xml:space="preserve">[Q-OPENCODE-001] </w:t>
      </w:r>
      <w:r>
        <w:t xml:space="preserve">Anomaly Innovations Inc.: OpenCode Models, Version 2, Online-Dokumentation, Abrufstand 02.09.2026, Local models und provider configuration, </w:t>
      </w:r>
      <w:hyperlink r:id="rId35">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[Q-LLAMACPP-001] </w:t>
      </w:r>
      <w:r>
        <w:t xml:space="preserve">ggml-org: llama.cpp, Commit ccc8fd2baa64ab26c7210b02765d3604069ec7ee, 2026-08-23, README und llama-server-Verweise, </w:t>
      </w:r>
      <w:hyperlink r:id="rId36">
        <w:r>
          <w:rPr>
            <w:rStyle w:val="Hyperlink"/>
          </w:rPr>
          <w:t>öffentliche Fundstelle</w:t>
        </w:r>
      </w:hyperlink>
      <w:r>
        <w:t>, abgerufen am 02.09.2026. Autoritätsstufe: 7-offizielle-produktdokumentation. Wiedervorlage: 2027-09-02.</w:t>
      </w:r>
    </w:p>
    <w:p>
      <w:pPr>
        <w:widowControl/>
        <w:spacing w:after="140" w:before="0" w:line="276" w:lineRule="auto"/>
        <w:suppressAutoHyphens w:val="true"/>
      </w:pPr>
      <w:r>
        <w:rPr>
          <w:b/>
        </w:rPr>
        <w:t xml:space="preserve">[Q-DAKKS-001] </w:t>
      </w:r>
      <w:r>
        <w:t xml:space="preserve">Deutsche Akkreditierungsstelle GmbH: Was ist Akkreditierung?, Online-Information, Abrufstand 02.09.2026, Begriffsdefinition Akkreditierung, </w:t>
      </w:r>
      <w:hyperlink r:id="rId37">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[Q-BSIG-001] </w:t>
      </w:r>
      <w:r>
        <w:t xml:space="preserve">Bundesrepublik Deutschland: Gesetz über das Bundesamt für Sicherheit in der Informationstechnik und über die Sicherheit in der Informationstechnik von Einrichtungen, BSIG 2025, 2025-12-02, Anwendungsbezogen zu prüfende Vorschriften, </w:t>
      </w:r>
      <w:hyperlink r:id="rId38">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[Q-SUEG-001] </w:t>
      </w:r>
      <w:r>
        <w:t xml:space="preserve">Bundesrepublik Deutschland: Sicherheitsüberprüfungsgesetz, § 4 Verschlusssachen, SÜG, 1994-04-20, § 4, </w:t>
      </w:r>
      <w:hyperlink r:id="rId39">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[Q-VSA-001] </w:t>
      </w:r>
      <w:r>
        <w:t xml:space="preserve">Bundesministerium des Innern und für Heimat: Allgemeine Verwaltungsvorschrift zum materiellen Geheimschutz, Verschlusssachenanweisung, 2023-03-13, Allgemeine Einstufungs- und Handhabungsregeln, </w:t>
      </w:r>
      <w:hyperlink r:id="rId40">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[Q-ISO-27001] </w:t>
      </w:r>
      <w:r>
        <w:t xml:space="preserve">International Organization for Standardization / International Electrotechnical Commission: Information security, cybersecurity and privacy protection — Information security management systems — Requirements, ISO/IEC 27001:2022, 2022-10-01, Öffentliche Titelseite, Abstract und Metadaten, </w:t>
      </w:r>
      <w:hyperlink r:id="rId41">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[Q-ISO-27002] </w:t>
      </w:r>
      <w:r>
        <w:t xml:space="preserve">International Organization for Standardization / International Electrotechnical Commission: Information security, cybersecurity and privacy protection — Information security controls, ISO/IEC 27002:2022, 2022-02-01, Öffentliche Titelseite, Abstract und Metadaten, </w:t>
      </w:r>
      <w:hyperlink r:id="rId42">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[Q-ISO-42001] </w:t>
      </w:r>
      <w:r>
        <w:t xml:space="preserve">International Organization for Standardization / International Electrotechnical Commission: Information technology — Artificial intelligence — Management system, ISO/IEC 42001:2023, 2023-12-01, Öffentliche Titelseite, Abstract und Metadaten, </w:t>
      </w:r>
      <w:hyperlink r:id="rId43">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[Q-ISO-23894] </w:t>
      </w:r>
      <w:r>
        <w:t xml:space="preserve">International Organization for Standardization / International Electrotechnical Commission: Information technology — Artificial intelligence — Guidance on risk management, ISO/IEC 23894:2023, 2023-02-01, Öffentliche Titelseite, Abstract und Metadaten, </w:t>
      </w:r>
      <w:hyperlink r:id="rId44">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[Q-ISO-42005] </w:t>
      </w:r>
      <w:r>
        <w:t xml:space="preserve">International Organization for Standardization / International Electrotechnical Commission: Information technology — Artificial intelligence (AI) — AI system impact assessment, ISO/IEC 42005:2025, 2025-05-01, Öffentliche Titelseite, Abstract und Metadaten, </w:t>
      </w:r>
      <w:hyperlink r:id="rId45">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[Q-ISO-5338] </w:t>
      </w:r>
      <w:r>
        <w:t xml:space="preserve">International Organization for Standardization / International Electrotechnical Commission: Information technology — Artificial intelligence — AI system life cycle processes, ISO/IEC 5338:2023, 2023-12-01, Öffentliche Titelseite, Abstract und Metadaten, </w:t>
      </w:r>
      <w:hyperlink r:id="rId46">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[Q-ISO-5259] </w:t>
      </w:r>
      <w:r>
        <w:t xml:space="preserve">International Organization for Standardization / International Electrotechnical Commission: Artificial intelligence — Data quality for analytics and machine learning (ML) — Part 1, ISO/IEC 5259-1:2024, 2024-07-01, Öffentliche Titelseite, Abstract und Metadaten, </w:t>
      </w:r>
      <w:hyperlink r:id="rId47">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[Q-ISO-25059] </w:t>
      </w:r>
      <w:r>
        <w:t xml:space="preserve">International Organization for Standardization / International Electrotechnical Commission: Software engineering — SQuaRE — Quality model for AI systems, ISO/IEC 25059:2023, 2023-06-01, Öffentliche Titelseite, Abstract und Metadaten, </w:t>
      </w:r>
      <w:hyperlink r:id="rId48">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[Q-BSI-GSK-001] </w:t>
      </w:r>
      <w:r>
        <w:t xml:space="preserve">Bundesamt für Sicherheit in der Informationstechnik: IT-Grundschutz-Kompendium – öffentliche Baustein- und Anforderungskennungen, Über die Stand-der-Technik-Bibliothek fixierte Referenz, 2026-08-27, OSCAL-Katalog am fixierten Commit, </w:t>
      </w:r>
      <w:hyperlink r:id="rId49">
        <w:r>
          <w:rPr>
            <w:rStyle w:val="Hyperlink"/>
          </w:rPr>
          <w:t>öffentliche Fundstelle</w:t>
        </w:r>
      </w:hyperlink>
      <w:r>
        <w:t>, abgerufen am 02.09.2026. Autoritätsstufe: 4-veröffentlichte-bsi-struktur. Wiedervorlage: 2027-09-02.</w:t>
      </w:r>
    </w:p>
    <w:p>
      <w:pPr>
        <w:pStyle w:val="Heading2"/>
        <w:keepNext/>
      </w:pPr>
      <w:r>
        <w:t>15.2 Glossar</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300"/>
        <w:gridCol w:w="6622"/>
      </w:tblGrid>
      <w:tr>
        <w:trPr>
          <w:cantSplit/>
          <w:tblHeader w:val="1"/>
        </w:trPr>
        <w:tc>
          <w:tcPr>
            <w:tcW w:type="dxa" w:w="2300"/>
            <w:tcMar>
              <w:top w:w="120" w:type="dxa"/>
              <w:bottom w:w="120" w:type="dxa"/>
              <w:start w:w="150" w:type="dxa"/>
              <w:end w:w="150" w:type="dxa"/>
            </w:tcMar>
            <w:vAlign w:val="center"/>
            <w:shd w:fill="E8EEF5"/>
          </w:tcPr>
          <w:p>
            <w:pPr>
              <w:pStyle w:val="Tabellenkopf"/>
              <w:jc w:val="center"/>
            </w:pPr>
            <w:r>
              <w:t>Begriff</w:t>
            </w:r>
          </w:p>
        </w:tc>
        <w:tc>
          <w:tcPr>
            <w:tcW w:type="dxa" w:w="6622"/>
            <w:tcMar>
              <w:top w:w="120" w:type="dxa"/>
              <w:bottom w:w="120" w:type="dxa"/>
              <w:start w:w="150" w:type="dxa"/>
              <w:end w:w="150" w:type="dxa"/>
            </w:tcMar>
            <w:vAlign w:val="center"/>
            <w:shd w:fill="E8EEF5"/>
          </w:tcPr>
          <w:p>
            <w:pPr>
              <w:pStyle w:val="Tabellenkopf"/>
              <w:jc w:val="center"/>
            </w:pPr>
            <w:r>
              <w:t>Bedeutung in dieser Referenz</w:t>
            </w:r>
          </w:p>
        </w:tc>
      </w:tr>
      <w:tr>
        <w:trPr>
          <w:cantSplit/>
        </w:trPr>
        <w:tc>
          <w:tcPr>
            <w:tcW w:type="dxa" w:w="2300"/>
            <w:tcMar>
              <w:top w:w="120" w:type="dxa"/>
              <w:bottom w:w="120" w:type="dxa"/>
              <w:start w:w="150" w:type="dxa"/>
              <w:end w:w="150" w:type="dxa"/>
            </w:tcMar>
            <w:vAlign w:val="center"/>
          </w:tcPr>
          <w:p>
            <w:pPr>
              <w:pStyle w:val="Tabellentext"/>
              <w:jc w:val="left"/>
            </w:pPr>
            <w:r>
              <w:t>Agentische Anwendung</w:t>
            </w:r>
          </w:p>
        </w:tc>
        <w:tc>
          <w:tcPr>
            <w:tcW w:type="dxa" w:w="6622"/>
            <w:tcMar>
              <w:top w:w="120" w:type="dxa"/>
              <w:bottom w:w="120" w:type="dxa"/>
              <w:start w:w="150" w:type="dxa"/>
              <w:end w:w="150" w:type="dxa"/>
            </w:tcMar>
            <w:vAlign w:val="center"/>
          </w:tcPr>
          <w:p>
            <w:pPr>
              <w:pStyle w:val="Tabellentext"/>
              <w:jc w:val="left"/>
            </w:pPr>
            <w:r>
              <w:t>Client oder Dienst, der Modellausgaben in Datei-, Tool-, Befehls- oder Netzwerkaktionen überführen kann.</w:t>
            </w:r>
          </w:p>
        </w:tc>
      </w:tr>
      <w:tr>
        <w:trPr>
          <w:cantSplit/>
        </w:trPr>
        <w:tc>
          <w:tcPr>
            <w:tcW w:type="dxa" w:w="2300"/>
            <w:tcMar>
              <w:top w:w="120" w:type="dxa"/>
              <w:bottom w:w="120" w:type="dxa"/>
              <w:start w:w="150" w:type="dxa"/>
              <w:end w:w="150" w:type="dxa"/>
            </w:tcMar>
            <w:vAlign w:val="center"/>
          </w:tcPr>
          <w:p>
            <w:pPr>
              <w:pStyle w:val="Tabellentext"/>
              <w:jc w:val="left"/>
            </w:pPr>
            <w:r>
              <w:t>Embedding</w:t>
            </w:r>
          </w:p>
        </w:tc>
        <w:tc>
          <w:tcPr>
            <w:tcW w:type="dxa" w:w="6622"/>
            <w:tcMar>
              <w:top w:w="120" w:type="dxa"/>
              <w:bottom w:w="120" w:type="dxa"/>
              <w:start w:w="150" w:type="dxa"/>
              <w:end w:w="150" w:type="dxa"/>
            </w:tcMar>
            <w:vAlign w:val="center"/>
          </w:tcPr>
          <w:p>
            <w:pPr>
              <w:pStyle w:val="Tabellentext"/>
              <w:jc w:val="left"/>
            </w:pPr>
            <w:r>
              <w:t>Numerische Repräsentation eines Inhalts für Ähnlichkeitssuche; kann Schutzbedarf und Personenbezug der Quelle bewahren.</w:t>
            </w:r>
          </w:p>
        </w:tc>
      </w:tr>
      <w:tr>
        <w:trPr>
          <w:cantSplit/>
        </w:trPr>
        <w:tc>
          <w:tcPr>
            <w:tcW w:type="dxa" w:w="2300"/>
            <w:tcMar>
              <w:top w:w="120" w:type="dxa"/>
              <w:bottom w:w="120" w:type="dxa"/>
              <w:start w:w="150" w:type="dxa"/>
              <w:end w:w="150" w:type="dxa"/>
            </w:tcMar>
            <w:vAlign w:val="center"/>
          </w:tcPr>
          <w:p>
            <w:pPr>
              <w:pStyle w:val="Tabellentext"/>
              <w:jc w:val="left"/>
            </w:pPr>
            <w:r>
              <w:t>Feinabstimmung</w:t>
            </w:r>
          </w:p>
        </w:tc>
        <w:tc>
          <w:tcPr>
            <w:tcW w:type="dxa" w:w="6622"/>
            <w:tcMar>
              <w:top w:w="120" w:type="dxa"/>
              <w:bottom w:w="120" w:type="dxa"/>
              <w:start w:w="150" w:type="dxa"/>
              <w:end w:w="150" w:type="dxa"/>
            </w:tcMar>
            <w:vAlign w:val="center"/>
          </w:tcPr>
          <w:p>
            <w:pPr>
              <w:pStyle w:val="Tabellentext"/>
              <w:jc w:val="left"/>
            </w:pPr>
            <w:r>
              <w:t>Veränderung vortrainierter Modellgewichte für Aufgaben oder Datenbestände; innerhalb dieses Konzepts ausgeschlossen.</w:t>
            </w:r>
          </w:p>
        </w:tc>
      </w:tr>
      <w:tr>
        <w:trPr>
          <w:cantSplit/>
        </w:trPr>
        <w:tc>
          <w:tcPr>
            <w:tcW w:type="dxa" w:w="2300"/>
            <w:tcMar>
              <w:top w:w="120" w:type="dxa"/>
              <w:bottom w:w="120" w:type="dxa"/>
              <w:start w:w="150" w:type="dxa"/>
              <w:end w:w="150" w:type="dxa"/>
            </w:tcMar>
            <w:vAlign w:val="center"/>
          </w:tcPr>
          <w:p>
            <w:pPr>
              <w:pStyle w:val="Tabellentext"/>
              <w:jc w:val="left"/>
            </w:pPr>
            <w:r>
              <w:t>Inferenz</w:t>
            </w:r>
          </w:p>
        </w:tc>
        <w:tc>
          <w:tcPr>
            <w:tcW w:type="dxa" w:w="6622"/>
            <w:tcMar>
              <w:top w:w="120" w:type="dxa"/>
              <w:bottom w:w="120" w:type="dxa"/>
              <w:start w:w="150" w:type="dxa"/>
              <w:end w:w="150" w:type="dxa"/>
            </w:tcMar>
            <w:vAlign w:val="center"/>
          </w:tcPr>
          <w:p>
            <w:pPr>
              <w:pStyle w:val="Tabellentext"/>
              <w:jc w:val="left"/>
            </w:pPr>
            <w:r>
              <w:t>Ausführung eines vortrainierten Modells zur Erzeugung einer Ausgabe ohne beabsichtigte Änderung der Modellgewichte.</w:t>
            </w:r>
          </w:p>
        </w:tc>
      </w:tr>
      <w:tr>
        <w:trPr>
          <w:cantSplit/>
        </w:trPr>
        <w:tc>
          <w:tcPr>
            <w:tcW w:type="dxa" w:w="2300"/>
            <w:tcMar>
              <w:top w:w="120" w:type="dxa"/>
              <w:bottom w:w="120" w:type="dxa"/>
              <w:start w:w="150" w:type="dxa"/>
              <w:end w:w="150" w:type="dxa"/>
            </w:tcMar>
            <w:vAlign w:val="center"/>
          </w:tcPr>
          <w:p>
            <w:pPr>
              <w:pStyle w:val="Tabellentext"/>
              <w:jc w:val="left"/>
            </w:pPr>
            <w:r>
              <w:t>On-Demand-Upload</w:t>
            </w:r>
          </w:p>
        </w:tc>
        <w:tc>
          <w:tcPr>
            <w:tcW w:type="dxa" w:w="6622"/>
            <w:tcMar>
              <w:top w:w="120" w:type="dxa"/>
              <w:bottom w:w="120" w:type="dxa"/>
              <w:start w:w="150" w:type="dxa"/>
              <w:end w:w="150" w:type="dxa"/>
            </w:tcMar>
            <w:vAlign w:val="center"/>
          </w:tcPr>
          <w:p>
            <w:pPr>
              <w:pStyle w:val="Tabellentext"/>
              <w:jc w:val="left"/>
            </w:pPr>
            <w:r>
              <w:t>Temporär und lokal bereitgestelltes Dokument für einen begrenzten Nutzungskontext.</w:t>
            </w:r>
          </w:p>
        </w:tc>
      </w:tr>
      <w:tr>
        <w:trPr>
          <w:cantSplit/>
        </w:trPr>
        <w:tc>
          <w:tcPr>
            <w:tcW w:type="dxa" w:w="2300"/>
            <w:tcMar>
              <w:top w:w="120" w:type="dxa"/>
              <w:bottom w:w="120" w:type="dxa"/>
              <w:start w:w="150" w:type="dxa"/>
              <w:end w:w="150" w:type="dxa"/>
            </w:tcMar>
            <w:vAlign w:val="center"/>
          </w:tcPr>
          <w:p>
            <w:pPr>
              <w:pStyle w:val="Tabellentext"/>
              <w:jc w:val="left"/>
            </w:pPr>
            <w:r>
              <w:t>Prompt Injection</w:t>
            </w:r>
          </w:p>
        </w:tc>
        <w:tc>
          <w:tcPr>
            <w:tcW w:type="dxa" w:w="6622"/>
            <w:tcMar>
              <w:top w:w="120" w:type="dxa"/>
              <w:bottom w:w="120" w:type="dxa"/>
              <w:start w:w="150" w:type="dxa"/>
              <w:end w:w="150" w:type="dxa"/>
            </w:tcMar>
            <w:vAlign w:val="center"/>
          </w:tcPr>
          <w:p>
            <w:pPr>
              <w:pStyle w:val="Tabellentext"/>
              <w:jc w:val="left"/>
            </w:pPr>
            <w:r>
              <w:t>Eingabe oder eingebettete Anweisung, die beabsichtigte Regeln, Kontextgrenzen oder Toolentscheidungen beeinflussen soll.</w:t>
            </w:r>
          </w:p>
        </w:tc>
      </w:tr>
      <w:tr>
        <w:trPr>
          <w:cantSplit/>
        </w:trPr>
        <w:tc>
          <w:tcPr>
            <w:tcW w:type="dxa" w:w="2300"/>
            <w:tcMar>
              <w:top w:w="120" w:type="dxa"/>
              <w:bottom w:w="120" w:type="dxa"/>
              <w:start w:w="150" w:type="dxa"/>
              <w:end w:w="150" w:type="dxa"/>
            </w:tcMar>
            <w:vAlign w:val="center"/>
          </w:tcPr>
          <w:p>
            <w:pPr>
              <w:pStyle w:val="Tabellentext"/>
              <w:jc w:val="left"/>
            </w:pPr>
            <w:r>
              <w:t>RAG</w:t>
            </w:r>
          </w:p>
        </w:tc>
        <w:tc>
          <w:tcPr>
            <w:tcW w:type="dxa" w:w="6622"/>
            <w:tcMar>
              <w:top w:w="120" w:type="dxa"/>
              <w:bottom w:w="120" w:type="dxa"/>
              <w:start w:w="150" w:type="dxa"/>
              <w:end w:w="150" w:type="dxa"/>
            </w:tcMar>
            <w:vAlign w:val="center"/>
          </w:tcPr>
          <w:p>
            <w:pPr>
              <w:pStyle w:val="Tabellentext"/>
              <w:jc w:val="left"/>
            </w:pPr>
            <w:r>
              <w:t>Retrieval Augmented Generation; lokale Suche liefert freigegebene Textausschnitte als Kontext für die Inferenz.</w:t>
            </w:r>
          </w:p>
        </w:tc>
      </w:tr>
      <w:tr>
        <w:trPr>
          <w:cantSplit/>
        </w:trPr>
        <w:tc>
          <w:tcPr>
            <w:tcW w:type="dxa" w:w="2300"/>
            <w:tcMar>
              <w:top w:w="120" w:type="dxa"/>
              <w:bottom w:w="120" w:type="dxa"/>
              <w:start w:w="150" w:type="dxa"/>
              <w:end w:w="150" w:type="dxa"/>
            </w:tcMar>
            <w:vAlign w:val="center"/>
          </w:tcPr>
          <w:p>
            <w:pPr>
              <w:pStyle w:val="Tabellentext"/>
              <w:jc w:val="left"/>
            </w:pPr>
            <w:r>
              <w:t>Untrusted</w:t>
            </w:r>
          </w:p>
        </w:tc>
        <w:tc>
          <w:tcPr>
            <w:tcW w:type="dxa" w:w="6622"/>
            <w:tcMar>
              <w:top w:w="120" w:type="dxa"/>
              <w:bottom w:w="120" w:type="dxa"/>
              <w:start w:w="150" w:type="dxa"/>
              <w:end w:w="150" w:type="dxa"/>
            </w:tcMar>
            <w:vAlign w:val="center"/>
          </w:tcPr>
          <w:p>
            <w:pPr>
              <w:pStyle w:val="Tabellentext"/>
              <w:jc w:val="left"/>
            </w:pPr>
            <w:r>
              <w:t>Nicht als Steueranweisung vertrauenswürdig; der Inhalt kann fehlerhaft oder absichtlich manipuliert sein.</w:t>
            </w:r>
          </w:p>
        </w:tc>
      </w:tr>
    </w:tbl>
    <w:p>
      <w:pPr>
        <w:pStyle w:val="Heading2"/>
        <w:keepNext/>
      </w:pPr>
      <w:r>
        <w:t>15.3 Abkürzungen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900"/>
        <w:gridCol w:w="7022"/>
      </w:tblGrid>
      <w:tr>
        <w:trPr>
          <w:cantSplit/>
          <w:tblHeader w:val="1"/>
        </w:trPr>
        <w:tc>
          <w:tcPr>
            <w:tcW w:type="dxa" w:w="1900"/>
            <w:tcMar>
              <w:top w:w="120" w:type="dxa"/>
              <w:bottom w:w="120" w:type="dxa"/>
              <w:start w:w="150" w:type="dxa"/>
              <w:end w:w="150" w:type="dxa"/>
            </w:tcMar>
            <w:vAlign w:val="center"/>
            <w:shd w:fill="E8EEF5"/>
          </w:tcPr>
          <w:p>
            <w:pPr>
              <w:pStyle w:val="Tabellenkopf"/>
              <w:jc w:val="center"/>
            </w:pPr>
            <w:r>
              <w:t>Abkürzung</w:t>
            </w:r>
          </w:p>
        </w:tc>
        <w:tc>
          <w:tcPr>
            <w:tcW w:type="dxa" w:w="7022"/>
            <w:tcMar>
              <w:top w:w="120" w:type="dxa"/>
              <w:bottom w:w="120" w:type="dxa"/>
              <w:start w:w="150" w:type="dxa"/>
              <w:end w:w="150" w:type="dxa"/>
            </w:tcMar>
            <w:vAlign w:val="center"/>
            <w:shd w:fill="E8EEF5"/>
          </w:tcPr>
          <w:p>
            <w:pPr>
              <w:pStyle w:val="Tabellenkopf"/>
              <w:jc w:val="center"/>
            </w:pPr>
            <w:r>
              <w:t>Langform</w:t>
            </w:r>
          </w:p>
        </w:tc>
      </w:tr>
      <w:tr>
        <w:trPr>
          <w:cantSplit/>
        </w:trPr>
        <w:tc>
          <w:tcPr>
            <w:tcW w:type="dxa" w:w="1900"/>
            <w:tcMar>
              <w:top w:w="120" w:type="dxa"/>
              <w:bottom w:w="120" w:type="dxa"/>
              <w:start w:w="150" w:type="dxa"/>
              <w:end w:w="150" w:type="dxa"/>
            </w:tcMar>
            <w:vAlign w:val="center"/>
          </w:tcPr>
          <w:p>
            <w:pPr>
              <w:pStyle w:val="Tabellentext"/>
              <w:jc w:val="center"/>
            </w:pPr>
            <w:r>
              <w:t>ACL</w:t>
            </w:r>
          </w:p>
        </w:tc>
        <w:tc>
          <w:tcPr>
            <w:tcW w:type="dxa" w:w="7022"/>
            <w:tcMar>
              <w:top w:w="120" w:type="dxa"/>
              <w:bottom w:w="120" w:type="dxa"/>
              <w:start w:w="150" w:type="dxa"/>
              <w:end w:w="150" w:type="dxa"/>
            </w:tcMar>
            <w:vAlign w:val="center"/>
          </w:tcPr>
          <w:p>
            <w:pPr>
              <w:pStyle w:val="Tabellentext"/>
              <w:jc w:val="left"/>
            </w:pPr>
            <w:r>
              <w:t>Access Control List</w:t>
            </w:r>
          </w:p>
        </w:tc>
      </w:tr>
      <w:tr>
        <w:trPr>
          <w:cantSplit/>
        </w:trPr>
        <w:tc>
          <w:tcPr>
            <w:tcW w:type="dxa" w:w="1900"/>
            <w:tcMar>
              <w:top w:w="120" w:type="dxa"/>
              <w:bottom w:w="120" w:type="dxa"/>
              <w:start w:w="150" w:type="dxa"/>
              <w:end w:w="150" w:type="dxa"/>
            </w:tcMar>
            <w:vAlign w:val="center"/>
          </w:tcPr>
          <w:p>
            <w:pPr>
              <w:pStyle w:val="Tabellentext"/>
              <w:jc w:val="center"/>
            </w:pPr>
            <w:r>
              <w:t>API</w:t>
            </w:r>
          </w:p>
        </w:tc>
        <w:tc>
          <w:tcPr>
            <w:tcW w:type="dxa" w:w="7022"/>
            <w:tcMar>
              <w:top w:w="120" w:type="dxa"/>
              <w:bottom w:w="120" w:type="dxa"/>
              <w:start w:w="150" w:type="dxa"/>
              <w:end w:w="150" w:type="dxa"/>
            </w:tcMar>
            <w:vAlign w:val="center"/>
          </w:tcPr>
          <w:p>
            <w:pPr>
              <w:pStyle w:val="Tabellentext"/>
              <w:jc w:val="left"/>
            </w:pPr>
            <w:r>
              <w:t>Application Programming Interface</w:t>
            </w:r>
          </w:p>
        </w:tc>
      </w:tr>
      <w:tr>
        <w:trPr>
          <w:cantSplit/>
        </w:trPr>
        <w:tc>
          <w:tcPr>
            <w:tcW w:type="dxa" w:w="1900"/>
            <w:tcMar>
              <w:top w:w="120" w:type="dxa"/>
              <w:bottom w:w="120" w:type="dxa"/>
              <w:start w:w="150" w:type="dxa"/>
              <w:end w:w="150" w:type="dxa"/>
            </w:tcMar>
            <w:vAlign w:val="center"/>
          </w:tcPr>
          <w:p>
            <w:pPr>
              <w:pStyle w:val="Tabellentext"/>
              <w:jc w:val="center"/>
            </w:pPr>
            <w:r>
              <w:t>BfDI</w:t>
            </w:r>
          </w:p>
        </w:tc>
        <w:tc>
          <w:tcPr>
            <w:tcW w:type="dxa" w:w="7022"/>
            <w:tcMar>
              <w:top w:w="120" w:type="dxa"/>
              <w:bottom w:w="120" w:type="dxa"/>
              <w:start w:w="150" w:type="dxa"/>
              <w:end w:w="150" w:type="dxa"/>
            </w:tcMar>
            <w:vAlign w:val="center"/>
          </w:tcPr>
          <w:p>
            <w:pPr>
              <w:pStyle w:val="Tabellentext"/>
              <w:jc w:val="left"/>
            </w:pPr>
            <w:r>
              <w:t>Die Bundesbeauftragte für den Datenschutz und die Informationsfreiheit</w:t>
            </w:r>
          </w:p>
        </w:tc>
      </w:tr>
      <w:tr>
        <w:trPr>
          <w:cantSplit/>
        </w:trPr>
        <w:tc>
          <w:tcPr>
            <w:tcW w:type="dxa" w:w="1900"/>
            <w:tcMar>
              <w:top w:w="120" w:type="dxa"/>
              <w:bottom w:w="120" w:type="dxa"/>
              <w:start w:w="150" w:type="dxa"/>
              <w:end w:w="150" w:type="dxa"/>
            </w:tcMar>
            <w:vAlign w:val="center"/>
          </w:tcPr>
          <w:p>
            <w:pPr>
              <w:pStyle w:val="Tabellentext"/>
              <w:jc w:val="center"/>
            </w:pPr>
            <w:r>
              <w:t>BMI</w:t>
            </w:r>
          </w:p>
        </w:tc>
        <w:tc>
          <w:tcPr>
            <w:tcW w:type="dxa" w:w="7022"/>
            <w:tcMar>
              <w:top w:w="120" w:type="dxa"/>
              <w:bottom w:w="120" w:type="dxa"/>
              <w:start w:w="150" w:type="dxa"/>
              <w:end w:w="150" w:type="dxa"/>
            </w:tcMar>
            <w:vAlign w:val="center"/>
          </w:tcPr>
          <w:p>
            <w:pPr>
              <w:pStyle w:val="Tabellentext"/>
              <w:jc w:val="left"/>
            </w:pPr>
            <w:r>
              <w:t>Bundesministerium des Innern</w:t>
            </w:r>
          </w:p>
        </w:tc>
      </w:tr>
      <w:tr>
        <w:trPr>
          <w:cantSplit/>
        </w:trPr>
        <w:tc>
          <w:tcPr>
            <w:tcW w:type="dxa" w:w="1900"/>
            <w:tcMar>
              <w:top w:w="120" w:type="dxa"/>
              <w:bottom w:w="120" w:type="dxa"/>
              <w:start w:w="150" w:type="dxa"/>
              <w:end w:w="150" w:type="dxa"/>
            </w:tcMar>
            <w:vAlign w:val="center"/>
          </w:tcPr>
          <w:p>
            <w:pPr>
              <w:pStyle w:val="Tabellentext"/>
              <w:jc w:val="center"/>
            </w:pPr>
            <w:r>
              <w:t>BMVg</w:t>
            </w:r>
          </w:p>
        </w:tc>
        <w:tc>
          <w:tcPr>
            <w:tcW w:type="dxa" w:w="7022"/>
            <w:tcMar>
              <w:top w:w="120" w:type="dxa"/>
              <w:bottom w:w="120" w:type="dxa"/>
              <w:start w:w="150" w:type="dxa"/>
              <w:end w:w="150" w:type="dxa"/>
            </w:tcMar>
            <w:vAlign w:val="center"/>
          </w:tcPr>
          <w:p>
            <w:pPr>
              <w:pStyle w:val="Tabellentext"/>
              <w:jc w:val="left"/>
            </w:pPr>
            <w:r>
              <w:t>Bundesministerium der Verteidigung</w:t>
            </w:r>
          </w:p>
        </w:tc>
      </w:tr>
      <w:tr>
        <w:trPr>
          <w:cantSplit/>
        </w:trPr>
        <w:tc>
          <w:tcPr>
            <w:tcW w:type="dxa" w:w="1900"/>
            <w:tcMar>
              <w:top w:w="120" w:type="dxa"/>
              <w:bottom w:w="120" w:type="dxa"/>
              <w:start w:w="150" w:type="dxa"/>
              <w:end w:w="150" w:type="dxa"/>
            </w:tcMar>
            <w:vAlign w:val="center"/>
          </w:tcPr>
          <w:p>
            <w:pPr>
              <w:pStyle w:val="Tabellentext"/>
              <w:jc w:val="center"/>
            </w:pPr>
            <w:r>
              <w:t>BSI</w:t>
            </w:r>
          </w:p>
        </w:tc>
        <w:tc>
          <w:tcPr>
            <w:tcW w:type="dxa" w:w="7022"/>
            <w:tcMar>
              <w:top w:w="120" w:type="dxa"/>
              <w:bottom w:w="120" w:type="dxa"/>
              <w:start w:w="150" w:type="dxa"/>
              <w:end w:w="150" w:type="dxa"/>
            </w:tcMar>
            <w:vAlign w:val="center"/>
          </w:tcPr>
          <w:p>
            <w:pPr>
              <w:pStyle w:val="Tabellentext"/>
              <w:jc w:val="left"/>
            </w:pPr>
            <w:r>
              <w:t>Bundesamt für Sicherheit in der Informationstechnik</w:t>
            </w:r>
          </w:p>
        </w:tc>
      </w:tr>
      <w:tr>
        <w:trPr>
          <w:cantSplit/>
        </w:trPr>
        <w:tc>
          <w:tcPr>
            <w:tcW w:type="dxa" w:w="1900"/>
            <w:tcMar>
              <w:top w:w="120" w:type="dxa"/>
              <w:bottom w:w="120" w:type="dxa"/>
              <w:start w:w="150" w:type="dxa"/>
              <w:end w:w="150" w:type="dxa"/>
            </w:tcMar>
            <w:vAlign w:val="center"/>
          </w:tcPr>
          <w:p>
            <w:pPr>
              <w:pStyle w:val="Tabellentext"/>
              <w:jc w:val="center"/>
            </w:pPr>
            <w:r>
              <w:t>DSK</w:t>
            </w:r>
          </w:p>
        </w:tc>
        <w:tc>
          <w:tcPr>
            <w:tcW w:type="dxa" w:w="7022"/>
            <w:tcMar>
              <w:top w:w="120" w:type="dxa"/>
              <w:bottom w:w="120" w:type="dxa"/>
              <w:start w:w="150" w:type="dxa"/>
              <w:end w:w="150" w:type="dxa"/>
            </w:tcMar>
            <w:vAlign w:val="center"/>
          </w:tcPr>
          <w:p>
            <w:pPr>
              <w:pStyle w:val="Tabellentext"/>
              <w:jc w:val="left"/>
            </w:pPr>
            <w:r>
              <w:t>Konferenz der unabhängigen Datenschutzaufsichtsbehörden des Bundes und der Länder</w:t>
            </w:r>
          </w:p>
        </w:tc>
      </w:tr>
      <w:tr>
        <w:trPr>
          <w:cantSplit/>
        </w:trPr>
        <w:tc>
          <w:tcPr>
            <w:tcW w:type="dxa" w:w="1900"/>
            <w:tcMar>
              <w:top w:w="120" w:type="dxa"/>
              <w:bottom w:w="120" w:type="dxa"/>
              <w:start w:w="150" w:type="dxa"/>
              <w:end w:w="150" w:type="dxa"/>
            </w:tcMar>
            <w:vAlign w:val="center"/>
          </w:tcPr>
          <w:p>
            <w:pPr>
              <w:pStyle w:val="Tabellentext"/>
              <w:jc w:val="center"/>
            </w:pPr>
            <w:r>
              <w:t>IdP</w:t>
            </w:r>
          </w:p>
        </w:tc>
        <w:tc>
          <w:tcPr>
            <w:tcW w:type="dxa" w:w="7022"/>
            <w:tcMar>
              <w:top w:w="120" w:type="dxa"/>
              <w:bottom w:w="120" w:type="dxa"/>
              <w:start w:w="150" w:type="dxa"/>
              <w:end w:w="150" w:type="dxa"/>
            </w:tcMar>
            <w:vAlign w:val="center"/>
          </w:tcPr>
          <w:p>
            <w:pPr>
              <w:pStyle w:val="Tabellentext"/>
              <w:jc w:val="left"/>
            </w:pPr>
            <w:r>
              <w:t>Identity Provider</w:t>
            </w:r>
          </w:p>
        </w:tc>
      </w:tr>
      <w:tr>
        <w:trPr>
          <w:cantSplit/>
        </w:trPr>
        <w:tc>
          <w:tcPr>
            <w:tcW w:type="dxa" w:w="1900"/>
            <w:tcMar>
              <w:top w:w="120" w:type="dxa"/>
              <w:bottom w:w="120" w:type="dxa"/>
              <w:start w:w="150" w:type="dxa"/>
              <w:end w:w="150" w:type="dxa"/>
            </w:tcMar>
            <w:vAlign w:val="center"/>
          </w:tcPr>
          <w:p>
            <w:pPr>
              <w:pStyle w:val="Tabellentext"/>
              <w:jc w:val="center"/>
            </w:pPr>
            <w:r>
              <w:t>ISMS</w:t>
            </w:r>
          </w:p>
        </w:tc>
        <w:tc>
          <w:tcPr>
            <w:tcW w:type="dxa" w:w="7022"/>
            <w:tcMar>
              <w:top w:w="120" w:type="dxa"/>
              <w:bottom w:w="120" w:type="dxa"/>
              <w:start w:w="150" w:type="dxa"/>
              <w:end w:w="150" w:type="dxa"/>
            </w:tcMar>
            <w:vAlign w:val="center"/>
          </w:tcPr>
          <w:p>
            <w:pPr>
              <w:pStyle w:val="Tabellentext"/>
              <w:jc w:val="left"/>
            </w:pPr>
            <w:r>
              <w:t>Informationssicherheitsmanagementsystem</w:t>
            </w:r>
          </w:p>
        </w:tc>
      </w:tr>
      <w:tr>
        <w:trPr>
          <w:cantSplit/>
        </w:trPr>
        <w:tc>
          <w:tcPr>
            <w:tcW w:type="dxa" w:w="1900"/>
            <w:tcMar>
              <w:top w:w="120" w:type="dxa"/>
              <w:bottom w:w="120" w:type="dxa"/>
              <w:start w:w="150" w:type="dxa"/>
              <w:end w:w="150" w:type="dxa"/>
            </w:tcMar>
            <w:vAlign w:val="center"/>
          </w:tcPr>
          <w:p>
            <w:pPr>
              <w:pStyle w:val="Tabellentext"/>
              <w:jc w:val="center"/>
            </w:pPr>
            <w:r>
              <w:t>KI</w:t>
            </w:r>
          </w:p>
        </w:tc>
        <w:tc>
          <w:tcPr>
            <w:tcW w:type="dxa" w:w="7022"/>
            <w:tcMar>
              <w:top w:w="120" w:type="dxa"/>
              <w:bottom w:w="120" w:type="dxa"/>
              <w:start w:w="150" w:type="dxa"/>
              <w:end w:w="150" w:type="dxa"/>
            </w:tcMar>
            <w:vAlign w:val="center"/>
          </w:tcPr>
          <w:p>
            <w:pPr>
              <w:pStyle w:val="Tabellentext"/>
              <w:jc w:val="left"/>
            </w:pPr>
            <w:r>
              <w:t>Künstliche Intelligenz</w:t>
            </w:r>
          </w:p>
        </w:tc>
      </w:tr>
      <w:tr>
        <w:trPr>
          <w:cantSplit/>
        </w:trPr>
        <w:tc>
          <w:tcPr>
            <w:tcW w:type="dxa" w:w="1900"/>
            <w:tcMar>
              <w:top w:w="120" w:type="dxa"/>
              <w:bottom w:w="120" w:type="dxa"/>
              <w:start w:w="150" w:type="dxa"/>
              <w:end w:w="150" w:type="dxa"/>
            </w:tcMar>
            <w:vAlign w:val="center"/>
          </w:tcPr>
          <w:p>
            <w:pPr>
              <w:pStyle w:val="Tabellentext"/>
              <w:jc w:val="center"/>
            </w:pPr>
            <w:r>
              <w:t>MFA</w:t>
            </w:r>
          </w:p>
        </w:tc>
        <w:tc>
          <w:tcPr>
            <w:tcW w:type="dxa" w:w="7022"/>
            <w:tcMar>
              <w:top w:w="120" w:type="dxa"/>
              <w:bottom w:w="120" w:type="dxa"/>
              <w:start w:w="150" w:type="dxa"/>
              <w:end w:w="150" w:type="dxa"/>
            </w:tcMar>
            <w:vAlign w:val="center"/>
          </w:tcPr>
          <w:p>
            <w:pPr>
              <w:pStyle w:val="Tabellentext"/>
              <w:jc w:val="left"/>
            </w:pPr>
            <w:r>
              <w:t>Mehrfaktorauthentisierung</w:t>
            </w:r>
          </w:p>
        </w:tc>
      </w:tr>
      <w:tr>
        <w:trPr>
          <w:cantSplit/>
        </w:trPr>
        <w:tc>
          <w:tcPr>
            <w:tcW w:type="dxa" w:w="1900"/>
            <w:tcMar>
              <w:top w:w="120" w:type="dxa"/>
              <w:bottom w:w="120" w:type="dxa"/>
              <w:start w:w="150" w:type="dxa"/>
              <w:end w:w="150" w:type="dxa"/>
            </w:tcMar>
            <w:vAlign w:val="center"/>
          </w:tcPr>
          <w:p>
            <w:pPr>
              <w:pStyle w:val="Tabellentext"/>
              <w:jc w:val="center"/>
            </w:pPr>
            <w:r>
              <w:t>MCP</w:t>
            </w:r>
          </w:p>
        </w:tc>
        <w:tc>
          <w:tcPr>
            <w:tcW w:type="dxa" w:w="7022"/>
            <w:tcMar>
              <w:top w:w="120" w:type="dxa"/>
              <w:bottom w:w="120" w:type="dxa"/>
              <w:start w:w="150" w:type="dxa"/>
              <w:end w:w="150" w:type="dxa"/>
            </w:tcMar>
            <w:vAlign w:val="center"/>
          </w:tcPr>
          <w:p>
            <w:pPr>
              <w:pStyle w:val="Tabellentext"/>
              <w:jc w:val="left"/>
            </w:pPr>
            <w:r>
              <w:t>Model Context Protocol</w:t>
            </w:r>
          </w:p>
        </w:tc>
      </w:tr>
      <w:tr>
        <w:trPr>
          <w:cantSplit/>
        </w:trPr>
        <w:tc>
          <w:tcPr>
            <w:tcW w:type="dxa" w:w="1900"/>
            <w:tcMar>
              <w:top w:w="120" w:type="dxa"/>
              <w:bottom w:w="120" w:type="dxa"/>
              <w:start w:w="150" w:type="dxa"/>
              <w:end w:w="150" w:type="dxa"/>
            </w:tcMar>
            <w:vAlign w:val="center"/>
          </w:tcPr>
          <w:p>
            <w:pPr>
              <w:pStyle w:val="Tabellentext"/>
              <w:jc w:val="center"/>
            </w:pPr>
            <w:r>
              <w:t>OSCAL</w:t>
            </w:r>
          </w:p>
        </w:tc>
        <w:tc>
          <w:tcPr>
            <w:tcW w:type="dxa" w:w="7022"/>
            <w:tcMar>
              <w:top w:w="120" w:type="dxa"/>
              <w:bottom w:w="120" w:type="dxa"/>
              <w:start w:w="150" w:type="dxa"/>
              <w:end w:w="150" w:type="dxa"/>
            </w:tcMar>
            <w:vAlign w:val="center"/>
          </w:tcPr>
          <w:p>
            <w:pPr>
              <w:pStyle w:val="Tabellentext"/>
              <w:jc w:val="left"/>
            </w:pPr>
            <w:r>
              <w:t>Open Security Controls Assessment Language</w:t>
            </w:r>
          </w:p>
        </w:tc>
      </w:tr>
      <w:tr>
        <w:trPr>
          <w:cantSplit/>
        </w:trPr>
        <w:tc>
          <w:tcPr>
            <w:tcW w:type="dxa" w:w="1900"/>
            <w:tcMar>
              <w:top w:w="120" w:type="dxa"/>
              <w:bottom w:w="120" w:type="dxa"/>
              <w:start w:w="150" w:type="dxa"/>
              <w:end w:w="150" w:type="dxa"/>
            </w:tcMar>
            <w:vAlign w:val="center"/>
          </w:tcPr>
          <w:p>
            <w:pPr>
              <w:pStyle w:val="Tabellentext"/>
              <w:jc w:val="center"/>
            </w:pPr>
            <w:r>
              <w:t>RAG</w:t>
            </w:r>
          </w:p>
        </w:tc>
        <w:tc>
          <w:tcPr>
            <w:tcW w:type="dxa" w:w="7022"/>
            <w:tcMar>
              <w:top w:w="120" w:type="dxa"/>
              <w:bottom w:w="120" w:type="dxa"/>
              <w:start w:w="150" w:type="dxa"/>
              <w:end w:w="150" w:type="dxa"/>
            </w:tcMar>
            <w:vAlign w:val="center"/>
          </w:tcPr>
          <w:p>
            <w:pPr>
              <w:pStyle w:val="Tabellentext"/>
              <w:jc w:val="left"/>
            </w:pPr>
            <w:r>
              <w:t>Retrieval Augmented Generation</w:t>
            </w:r>
          </w:p>
        </w:tc>
      </w:tr>
      <w:tr>
        <w:trPr>
          <w:cantSplit/>
        </w:trPr>
        <w:tc>
          <w:tcPr>
            <w:tcW w:type="dxa" w:w="1900"/>
            <w:tcMar>
              <w:top w:w="120" w:type="dxa"/>
              <w:bottom w:w="120" w:type="dxa"/>
              <w:start w:w="150" w:type="dxa"/>
              <w:end w:w="150" w:type="dxa"/>
            </w:tcMar>
            <w:vAlign w:val="center"/>
          </w:tcPr>
          <w:p>
            <w:pPr>
              <w:pStyle w:val="Tabellentext"/>
              <w:jc w:val="center"/>
            </w:pPr>
            <w:r>
              <w:t>SIEM</w:t>
            </w:r>
          </w:p>
        </w:tc>
        <w:tc>
          <w:tcPr>
            <w:tcW w:type="dxa" w:w="7022"/>
            <w:tcMar>
              <w:top w:w="120" w:type="dxa"/>
              <w:bottom w:w="120" w:type="dxa"/>
              <w:start w:w="150" w:type="dxa"/>
              <w:end w:w="150" w:type="dxa"/>
            </w:tcMar>
            <w:vAlign w:val="center"/>
          </w:tcPr>
          <w:p>
            <w:pPr>
              <w:pStyle w:val="Tabellentext"/>
              <w:jc w:val="left"/>
            </w:pPr>
            <w:r>
              <w:t>Security Information and Event Management</w:t>
            </w:r>
          </w:p>
        </w:tc>
      </w:tr>
      <w:tr>
        <w:trPr>
          <w:cantSplit/>
        </w:trPr>
        <w:tc>
          <w:tcPr>
            <w:tcW w:type="dxa" w:w="1900"/>
            <w:tcMar>
              <w:top w:w="120" w:type="dxa"/>
              <w:bottom w:w="120" w:type="dxa"/>
              <w:start w:w="150" w:type="dxa"/>
              <w:end w:w="150" w:type="dxa"/>
            </w:tcMar>
            <w:vAlign w:val="center"/>
          </w:tcPr>
          <w:p>
            <w:pPr>
              <w:pStyle w:val="Tabellentext"/>
              <w:jc w:val="center"/>
            </w:pPr>
            <w:r>
              <w:t>TLS</w:t>
            </w:r>
          </w:p>
        </w:tc>
        <w:tc>
          <w:tcPr>
            <w:tcW w:type="dxa" w:w="7022"/>
            <w:tcMar>
              <w:top w:w="120" w:type="dxa"/>
              <w:bottom w:w="120" w:type="dxa"/>
              <w:start w:w="150" w:type="dxa"/>
              <w:end w:w="150" w:type="dxa"/>
            </w:tcMar>
            <w:vAlign w:val="center"/>
          </w:tcPr>
          <w:p>
            <w:pPr>
              <w:pStyle w:val="Tabellentext"/>
              <w:jc w:val="left"/>
            </w:pPr>
            <w:r>
              <w:t>Transport Layer Security</w:t>
            </w:r>
          </w:p>
        </w:tc>
      </w:tr>
      <w:tr>
        <w:trPr>
          <w:cantSplit/>
        </w:trPr>
        <w:tc>
          <w:tcPr>
            <w:tcW w:type="dxa" w:w="1900"/>
            <w:tcMar>
              <w:top w:w="120" w:type="dxa"/>
              <w:bottom w:w="120" w:type="dxa"/>
              <w:start w:w="150" w:type="dxa"/>
              <w:end w:w="150" w:type="dxa"/>
            </w:tcMar>
            <w:vAlign w:val="center"/>
          </w:tcPr>
          <w:p>
            <w:pPr>
              <w:pStyle w:val="Tabellentext"/>
              <w:jc w:val="center"/>
            </w:pPr>
            <w:r>
              <w:t>VPN</w:t>
            </w:r>
          </w:p>
        </w:tc>
        <w:tc>
          <w:tcPr>
            <w:tcW w:type="dxa" w:w="7022"/>
            <w:tcMar>
              <w:top w:w="120" w:type="dxa"/>
              <w:bottom w:w="120" w:type="dxa"/>
              <w:start w:w="150" w:type="dxa"/>
              <w:end w:w="150" w:type="dxa"/>
            </w:tcMar>
            <w:vAlign w:val="center"/>
          </w:tcPr>
          <w:p>
            <w:pPr>
              <w:pStyle w:val="Tabellentext"/>
              <w:jc w:val="left"/>
            </w:pPr>
            <w:r>
              <w:t>Virtual Private Network</w:t>
            </w:r>
          </w:p>
        </w:tc>
      </w:tr>
    </w:tbl>
    <w:sectPr>
      <w:headerReference w:type="default" r:id="rId9"/>
      <w:footerReference w:type="default" r:id="rId10"/>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LaufendeFußzeile"/>
      <w:tabs>
        <w:tab w:pos="9071" w:val="right"/>
      </w:tabs>
      <w:spacing w:before="60" w:after="0" w:line="240" w:lineRule="auto"/>
      <w:jc w:val="left"/>
      <w:pBdr>
        <w:top w:val="single" w:sz="4" w:space="5" w:color="AAB4BF"/>
      </w:pBdr>
    </w:pPr>
    <w:r>
      <w:rPr>
        <w:rFonts w:ascii="Calibri" w:hAnsi="Calibri"/>
        <w:color w:val="77838F"/>
        <w:sz w:val="16"/>
      </w:rPr>
      <w:t>ÖFFENTLICH</w:t>
    </w:r>
    <w:r>
      <w:rPr>
        <w:rFonts w:ascii="Calibri" w:hAnsi="Calibri"/>
        <w:color w:val="77838F"/>
        <w:sz w:val="16"/>
      </w:rPr>
      <w:tab/>
      <w:t xml:space="preserve">Seite </w:t>
    </w:r>
    <w:fldSimple w:instr="PAGE">
      <w:r>
        <w:rPr>
          <w:rFonts w:ascii="Calibri" w:hAnsi="Calibri"/>
          <w:sz w:val="16"/>
          <w:color w:val="77838F"/>
        </w:rPr>
        <w:t>1</w:t>
      </w:r>
    </w:fldSimple>
    <w:r>
      <w:rPr>
        <w:rFonts w:ascii="Calibri" w:hAnsi="Calibri"/>
        <w:color w:val="77838F"/>
        <w:sz w:val="16"/>
      </w:rPr>
      <w:t xml:space="preserve"> von </w:t>
    </w:r>
    <w:fldSimple w:instr="NUMPAGES">
      <w:r>
        <w:rPr>
          <w:rFonts w:ascii="Calibri" w:hAnsi="Calibri"/>
          <w:sz w:val="16"/>
          <w:color w:val="77838F"/>
        </w:rPr>
        <w:t>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4–5 und S. 11–12, https://www.bsi.bund.de/SharedDocs/Downloads/DE/BSI/KI/Kriterienkatalog_KI-Modelle_Bundesverwaltung.pdf?__blob=publicationFile&amp;v=3, abgerufen am 02.09.2026. | International Organization for Standardization / International Electrotechnical Commission: Information security, cybersecurity and privacy protection — Information security management systems — Requirements, ISO/IEC 27001:2022, 2022-10-01, öffentliche Metadaten; Zuordnung zu ISMS und Risikomanagement, https://www.iso.org/standard/27001, abgerufen am 02.09.2026.</w:t>
      </w:r>
    </w:p>
  </w:footnote>
  <w:footnote w:id="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allgemeine Einstufungs- und Handhabungsregeln, https://www.verwaltungsvorschriften-im-internet.de/bsvwvbund_13032023_SII554001405.htm, abgerufen am 02.09.2026. | Bundesministerium des Innern und für Heimat / Beratungszentrum für Künstliche Intelligenz: Leitlinien für den Einsatz Künstlicher Intelligenz in der Bundesverwaltung, Erstfassung, 2025-04-07, S. 26–27, https://www.bmi.bund.de/SharedDocs/downloads/DE/publikationen/themen/moderne-verwaltung/ki/BMI25020-leitlinien-ki-bundesverwaltung.html, abgerufen am 02.09.2026.</w:t>
      </w:r>
    </w:p>
  </w:footnote>
  <w:footnote w:id="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8–10, https://www.bsi.bund.de/SharedDocs/Downloads/DE/BSI/KI/Kriterienkatalog_KI-Modelle_Bundesverwaltung.pdf?__blob=publicationFile&amp;v=3, abgerufen am 02.09.2026. | Bundesministerium der Verteidigung: Künstliche Intelligenz, K-9000/102, Öffentliche Fassung, K-9000/102, Öffentliche Fassung, 2026-08-04, S. 24–28, https://www.bmvg.de/resource/blob/6143700/9954e2b6b993b17cd3d09ca31c506774/dl-ki-konzeption-data.pdf, abgerufen am 02.09.2026. | Europäische Union: Verordnung (EU) 2024/1689 über künstliche Intelligenz, ABl. L 2024/1689, 2024-07-12, Art. 9 und 26, https://eur-lex.europa.eu/eli/reg/2024/1689/oj, abgerufen am 02.09.2026.</w:t>
      </w:r>
    </w:p>
  </w:footnote>
  <w:footnote w:id="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8–10 und S. 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Europäische Union: Verordnung (EU) 2024/1689 über künstliche Intelligenz, ABl. L 2024/1689, 2024-07-12, Art. 4, https://eur-lex.europa.eu/eli/reg/2024/1689/oj, abgerufen am 02.09.2026.</w:t>
      </w:r>
    </w:p>
  </w:footnote>
  <w:footnote w:id="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 10 und 12, https://www.bsi.bund.de/SharedDocs/Downloads/DE/BSI/KI/Kriterienkatalog_KI-Modelle_Bundesverwaltung.pdf?__blob=publicationFile&amp;v=3, abgerufen am 02.09.2026. | Bundesministerium der Verteidigung: Künstliche Intelligenz, K-9000/102, Öffentliche Fassung, K-9000/102, Öffentliche Fassung, 2026-08-04, S. 24–25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Map-, Measure- und Manage-Aktionen, https://www.nist.gov/publications/artificial-intelligence-risk-management-framework-generative-artificial-intelligence, abgerufen am 02.09.2026.</w:t>
      </w:r>
    </w:p>
  </w:footnote>
  <w:footnote w:id="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Europäische Union: Verordnung (EU) 2024/1689 über künstliche Intelligenz, ABl. L 2024/1689, 2024-07-12, Art. 2–4, 26–27, https://eur-lex.europa.eu/eli/reg/2024/1689/oj,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Konferenz der unabhängigen Datenschutzaufsichtsbehörden des Bundes und der Länder: Künstliche Intelligenz und Datenschutz, Version 1.0, 2024-05-06, Auswahl bis Beendigung, https://www.datenschutzkonferenz-online.de/media/oh/20240506_DSK_Orientierungshilfe_KI_und_Datenschutz.pdf, abgerufen am 02.09.2026.</w:t>
      </w:r>
    </w:p>
  </w:footnote>
  <w:footnote w:id="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25–27, https://www.bmi.bund.de/SharedDocs/downloads/DE/publikationen/themen/moderne-verwaltung/ki/BMI25020-leitlinien-ki-bundesverwaltung.html, abgerufen am 02.09.2026. |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Einstufungs- und Handhabungsregeln, https://www.verwaltungsvorschriften-im-internet.de/bsvwvbund_13032023_SII554001405.htm, abgerufen am 02.09.2026. |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w:t>
      </w:r>
    </w:p>
  </w:footnote>
  <w:footnote w:id="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Bundesministerium der Verteidigung: Künstliche Intelligenz, K-9000/102, Öffentliche Fassung, K-9000/102, Öffentliche Fassung, 2026-08-04, S. 23–26, https://www.bmvg.de/resource/blob/6143700/9954e2b6b993b17cd3d09ca31c506774/dl-ki-konzeption-data.pdf, abgerufen am 02.09.2026. | European Union Agency for Cybersecurity: Multilayer Framework for Good Cybersecurity Practices for AI, Erstveröffentlichung, 2023-11-15, Multilayer framework, https://www.enisa.europa.eu/publications/multilayer-framework-for-good-cybersecurity-practices-for-ai, abgerufen am 02.09.2026.</w:t>
      </w:r>
    </w:p>
  </w:footnote>
  <w:footnote w:id="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25–28, https://www.bmi.bund.de/SharedDocs/downloads/DE/publikationen/themen/moderne-verwaltung/ki/BMI25020-leitlinien-ki-bundesverwaltung.html,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w:t>
      </w:r>
    </w:p>
  </w:footnote>
  <w:footnote w:id="1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The Kubernetes Authors: Kubernetes API Reference: NetworkPolicy v1, Online-Dokumentation, Abrufstand 02.09.2026, NetworkPolicySpec, ingress und egress, https://kubernetes.io/docs/reference/kubernetes-api/networking/network-policy-v1/, abgerufen am 02.09.2026. | Podman Project: podman-network, Online-Dokumentation, Abrufstand 02.09.2026, Network management, https://docs.podman.io/en/latest/markdown/podman-network.1.html,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w:t>
      </w:r>
    </w:p>
  </w:footnote>
  <w:footnote w:id="1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Docker, Inc.: Rootless mode, Online-Dokumentation, Abrufstand 02.09.2026, Rootless mode, https://docs.docker.com/engine/security/rootless/,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 | European Union Agency for Cybersecurity: Multilayer Framework for Good Cybersecurity Practices for AI, Erstveröffentlichung, 2023-11-15, Infrastruktur- und Komponentenebene, https://www.enisa.europa.eu/publications/multilayer-framework-for-good-cybersecurity-practices-for-ai, abgerufen am 02.09.2026.</w:t>
      </w:r>
    </w:p>
  </w:footnote>
  <w:footnote w:id="1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Ollama: Authentication, Online-Dokumentation, Abrufstand 02.09.2026, Local access, https://docs.ollama.com/api/authentication, abgerufen am 02.09.2026. | vLLM Project: Security, Online-Dokumentation, Abrufstand 02.09.2026, Security und API server, https://docs.vllm.ai/en/stable/usage/security/, abgerufen am 02.09.2026. | Open WebUI: API Endpoints, Online-Dokumentation, Abrufstand 02.09.2026, Authentication und API endpoints, https://docs.openwebui.com/reference/api-endpoints/, abgerufen am 02.09.2026. | Bundesamt für Sicherheit in der Informationstechnik: Kriterienkatalog des BSI zur Integration von extern bereitgestellten generativen KI-Modellen in eigene Anwendungen, Version 1.0, 2025-06-06, S. 12, https://www.bsi.bund.de/SharedDocs/Downloads/DE/BSI/KI/Kriterienkatalog_KI-Modelle_Bundesverwaltung.pdf?__blob=publicationFile&amp;v=3, abgerufen am 02.09.2026.</w:t>
      </w:r>
    </w:p>
  </w:footnote>
  <w:footnote w:id="1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vLLM Project: Security, Online-Dokumentation, Abrufstand 02.09.2026, Security und API server, https://docs.vllm.ai/en/stable/usage/security/, abgerufen am 02.09.2026. | OWASP Foundation: OWASP Top 10 for Large Language Model Applications, Ausgabe 2025, Abrufstand 02.09.2026, übermäßige Handlungsfreiheit und Ressourcenverbrauch, https://owasp.org/www-project-top-10-for-large-language-model-applications/, abgerufen am 02.09.2026.</w:t>
      </w:r>
    </w:p>
  </w:footnote>
  <w:footnote w:id="1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9–10,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und deployment,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1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25–32,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Metadaten zum KI-Systemlebenszyklus, https://www.iso.org/standard/81118.html, abgerufen am 02.09.2026.</w:t>
      </w:r>
    </w:p>
  </w:footnote>
  <w:footnote w:id="1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5 zur Abgrenzung von Modellentwicklung und Fine-Tuning, https://www.bsi.bund.de/SharedDocs/Downloads/DE/BSI/KI/Kriterienkatalog_KI-Modelle_Bundesverwaltung.pdf?__blob=publicationFile&amp;v=3, abgerufen am 02.09.2026. | Bundesministerium der Verteidigung: Künstliche Intelligenz, K-9000/102, Öffentliche Fassung, K-9000/102, Öffentliche Fassung, 2026-08-04, S. 25–32 zum kontrollierten Lebenszyklus,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1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OWASP Foundation: OWASP Top 10 for Large Language Model Applications, Ausgabe 2025, Abrufstand 02.09.2026, Prompt Injection und Ressourcenverbrauch, https://owasp.org/www-project-top-10-for-large-language-model-applications/, abgerufen am 02.09.2026.</w:t>
      </w:r>
    </w:p>
  </w:footnote>
  <w:footnote w:id="1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3–7, https://www.bfdi.bund.de/SharedDocs/Downloads/DE/DokumenteBfDI/Dokumente-allg/2025/Handreichung-KI.pdf?__blob=publicationFile&amp;v=3, abgerufen am 02.09.2026.</w:t>
      </w:r>
    </w:p>
  </w:footnote>
  <w:footnote w:id="1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Die Bundesbeauftragte für den Datenschutz und die Informationsfreiheit: KI in Behörden – Datenschutz von Anfang an mitdenken, Handreichung für die Bundesverwaltung, 2025-12-22, Kap. 4–7, https://www.bfdi.bund.de/SharedDocs/Downloads/DE/DokumenteBfDI/Dokumente-allg/2025/Handreichung-KI.pdf?__blob=publicationFile&amp;v=3, abgerufen am 02.09.2026.</w:t>
      </w:r>
    </w:p>
  </w:footnote>
  <w:footnote w:id="2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w:t>
      </w:r>
    </w:p>
  </w:footnote>
  <w:footnote w:id="2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2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Cline Bot Inc.: Cline Model Providers, Commit 0b0ca9b1fa95ed9f3e0891a34f1f9b3904309710, 2026-05-12, Provider- und Endpunktkonfiguration, https://github.com/cline/cline/blob/0b0ca9b1fa95ed9f3e0891a34f1f9b3904309710/docs/sdk/model-providers.mdx, abgerufen am 02.09.2026. | Anomaly Innovations Inc.: OpenCode Models, Version 2, Online-Dokumentation, Abrufstand 02.09.2026, lokale Modelle und Provider, https://opencode.ai/v2/docs/models, abgerufen am 02.09.2026.</w:t>
      </w:r>
    </w:p>
  </w:footnote>
  <w:footnote w:id="2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Open WebUI: Starting with OpenAI-compatible providers, Online-Dokumentation, Abrufstand 02.09.2026, OpenAI-kompatible Anbindung, https://docs.openwebui.com/getting-started/quick-start/connect-a-provider/starting-with-openai-compatible/, abgerufen am 02.09.2026. | Cline Bot Inc.: Cline Model Providers, Commit 0b0ca9b1fa95ed9f3e0891a34f1f9b3904309710, 2026-05-12, OpenAI-Compatible Providers, https://github.com/cline/cline/blob/0b0ca9b1fa95ed9f3e0891a34f1f9b3904309710/docs/sdk/model-providers.mdx, abgerufen am 02.09.2026. | Anomaly Innovations Inc.: OpenCode Models, Version 2, Online-Dokumentation, Abrufstand 02.09.2026, Local models, https://opencode.ai/v2/docs/models, abgerufen am 02.09.2026. | ggml-org: llama.cpp, Commit ccc8fd2baa64ab26c7210b02765d3604069ec7ee, 2026-08-23, llama-server-Verweise, https://github.com/ggml-org/llama.cpp/tree/ccc8fd2baa64ab26c7210b02765d3604069ec7ee, abgerufen am 02.09.2026.</w:t>
      </w:r>
    </w:p>
  </w:footnote>
  <w:footnote w:id="2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OWASP Foundation: OWASP Top 10 for Large Language Model Applications, Ausgabe 2025, Abrufstand 02.09.2026, Prompt Injection, https://owasp.org/www-project-top-10-for-large-language-model-applications/, abgerufen am 02.09.2026. | National Institute of Standards and Technology: Adversarial Machine Learning: A Taxonomy and Terminology of Attacks and Mitigations, NIST AI 100-2 E2025, 2025-03-24, adversariale Angriffe und Abhilfen, https://csrc.nist.gov/pubs/ai/100/2/e2025/final, abgerufen am 02.09.2026.</w:t>
      </w:r>
    </w:p>
  </w:footnote>
  <w:footnote w:id="2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9 und S. 12–16,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w:t>
      </w:r>
    </w:p>
  </w:footnote>
  <w:footnote w:id="2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OWASP Foundation: OWASP Top 10 for Large Language Model Applications, Ausgabe 2025, Abrufstand 02.09.2026, übermäßige Handlungsfreiheit und unsichere Ausgabe, https://owasp.org/www-project-top-10-for-large-language-model-applications/, abgerufen am 02.09.2026. | National Institute of Standards and Technology: Artificial Intelligence Risk Management Framework: Generative Artificial Intelligence Profile, NIST AI 600-1, 2024-07-26, Manage- und Measure-Aktionen, https://www.nist.gov/publications/artificial-intelligence-risk-management-framework-generative-artificial-intelligence, abgerufen am 02.09.2026.</w:t>
      </w:r>
    </w:p>
  </w:footnote>
  <w:footnote w:id="2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10–13,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deployment und operation,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2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National Institute of Standards and Technology: Adversarial Machine Learning: A Taxonomy and Terminology of Attacks and Mitigations, NIST AI 100-2 E2025, 2025-03-24, Taxonomie der Angriffe und Abhilfen, https://csrc.nist.gov/pubs/ai/100/2/e2025/final, abgerufen am 02.09.2026. | The MITRE Corporation: MITRE ATLAS, Laufend gepflegte Wissensbasis, Abrufstand 02.09.2026, Tactics and techniques, https://atlas.mitre.org/, abgerufen am 02.09.2026. | OWASP Foundation: OWASP Top 10 for Large Language Model Applications, Ausgabe 2025, Abrufstand 02.09.2026, LLM Top 10 2025, https://owasp.org/www-project-top-10-for-large-language-model-applications/, abgerufen am 02.09.2026.</w:t>
      </w:r>
    </w:p>
  </w:footnote>
  <w:footnote w:id="2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14–16, https://www.bsi.bund.de/SharedDocs/Downloads/DE/BSI/KI/Kriterienkatalog_KI-Modelle_Bundesverwaltung.pdf?__blob=publicationFile&amp;v=3, abgerufen am 02.09.2026. | OWASP Foundation: OWASP Top 10 for Large Language Model Applications, Ausgabe 2025, Abrufstand 02.09.2026, Ressourcenverbrauch, https://owasp.org/www-project-top-10-for-large-language-model-applications/,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 | National Institute of Standards and Technology: Artificial Intelligence Risk Management Framework: Generative Artificial Intelligence Profile, NIST AI 600-1, 2024-07-26, Measure-Aktionen, https://www.nist.gov/publications/artificial-intelligence-risk-management-framework-generative-artificial-intelligence, abgerufen am 02.09.2026. | International Organization for Standardization / International Electrotechnical Commission: Software engineering — SQuaRE — Quality model for AI systems, ISO/IEC 25059:2023, 2023-06-01, öffentliche Metadaten zum KI-Qualitätsmodell, https://www.iso.org/standard/80655.html, abgerufen am 02.09.2026.</w:t>
      </w:r>
    </w:p>
  </w:footnote>
  <w:footnote w:id="3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 und S. 11–12, https://www.bsi.bund.de/SharedDocs/Downloads/DE/BSI/KI/Kriterienkatalog_KI-Modelle_Bundesverwaltung.pdf?__blob=publicationFile&amp;v=3, abgerufen am 02.09.2026. | Bundesministerium der Verteidigung: Künstliche Intelligenz, K-9000/102, Öffentliche Fassung, K-9000/102, Öffentliche Fassung, 2026-08-04, S. 29–32 und S. 45–47,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3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12–13, https://www.bsi.bund.de/SharedDocs/Downloads/DE/BSI/KI/Kriterienkatalog_KI-Modelle_Bundesverwaltung.pdf?__blob=publicationFile&amp;v=3, abgerufen am 02.09.2026. | Bundesministerium der Verteidigung: Künstliche Intelligenz, K-9000/102, Öffentliche Fassung, K-9000/102, Öffentliche Fassung, 2026-08-04, S. 23–26 und S. 45–47, https://www.bmvg.de/resource/blob/6143700/9954e2b6b993b17cd3d09ca31c506774/dl-ki-konzeption-data.pdf,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3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der Verteidigung: Künstliche Intelligenz, K-9000/102, Öffentliche Fassung, K-9000/102, Öffentliche Fassung, 2026-08-04, S. 31–32 und S. 45–47, https://www.bmvg.de/resource/blob/6143700/9954e2b6b993b17cd3d09ca31c506774/dl-ki-konzeption-data.pdf, abgerufen am 02.09.2026. | Bundesamt für Sicherheit in der Informationstechnik: Kriterienkatalog des BSI zur Integration von extern bereitgestellten generativen KI-Modellen in eigene Anwendungen, Version 1.0, 2025-06-06, S. 8 und S. 12–16, https://www.bsi.bund.de/SharedDocs/Downloads/DE/BSI/KI/Kriterienkatalog_KI-Modelle_Bundesverwaltung.pdf?__blob=publicationFile&amp;v=3,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11–13, https://www.bsi.bund.de/SharedDocs/Downloads/DE/BSI/KI/Kriterienkatalog_KI-Modelle_Bundesverwaltung.pdf?__blob=publicationFile&amp;v=3, abgerufen am 02.09.2026. | UK National Cyber Security Centre und internationale Partner: Guidelines for Secure AI System Development, Version 1.0, 2023-11-26, Secure operation and maintenance, https://www.ncsc.gov.uk/collection/guidelines-secure-ai-system-development/about-this-document,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13, https://www.bsi.bund.de/SharedDocs/Downloads/DE/BSI/KI/Kriterienkatalog_KI-Modelle_Bundesverwaltung.pdf?__blob=publicationFile&amp;v=3, abgerufen am 02.09.2026. | Konferenz der unabhängigen Datenschutzaufsichtsbehörden des Bundes und der Länder: Künstliche Intelligenz und Datenschutz, Version 1.0, 2024-05-06, Beendigung, https://www.datenschutzkonferenz-online.de/media/oh/20240506_DSK_Orientierungshilfe_KI_und_Datenschutz.pdf,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4–5 und S. 9–12,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Europäische Union: Verordnung (EU) 2024/1689 über künstliche Intelligenz, ABl. L 2024/1689, 2024-07-12, Art. 26–27, https://eur-lex.europa.eu/eli/reg/2024/1689/oj, abgerufen am 02.09.2026.</w:t>
      </w:r>
    </w:p>
  </w:footnote>
  <w:footnote w:id="3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Cline Bot Inc.: Cline Model Providers, Commit 0b0ca9b1fa95ed9f3e0891a34f1f9b3904309710, 2026-05-12, Providerkonfiguration, https://github.com/cline/cline/blob/0b0ca9b1fa95ed9f3e0891a34f1f9b3904309710/docs/sdk/model-providers.mdx, abgerufen am 02.09.2026. | Anomaly Innovations Inc.: OpenCode Models, Version 2, Online-Dokumentation, Abrufstand 02.09.2026, Provider und lokale Modelle, https://opencode.ai/v2/docs/models, abgerufen am 02.09.2026. |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w:t>
      </w:r>
    </w:p>
  </w:footnote>
  <w:footnote w:id="3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der Verteidigung: Künstliche Intelligenz, K-9000/102, Öffentliche Fassung, K-9000/102, Öffentliche Fassung, 2026-08-04, S. 25–32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Measure- und Manage-Aktionen, https://www.nist.gov/publications/artificial-intelligence-risk-management-framework-generative-artificial-intelligence, abgerufen am 02.09.2026.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LaufendeKopfzeile"/>
      <w:tabs>
        <w:tab w:pos="9071" w:val="right"/>
      </w:tabs>
      <w:spacing w:after="40" w:line="240" w:lineRule="auto"/>
      <w:jc w:val="left"/>
    </w:pPr>
    <w:r>
      <w:rPr>
        <w:rFonts w:ascii="Calibri" w:hAnsi="Calibri"/>
        <w:b/>
        <w:color w:val="3F4A54"/>
        <w:sz w:val="16"/>
      </w:rPr>
      <w:t>Allgemeines KI-IT-Sicherheitskonzept</w:t>
    </w:r>
    <w:r>
      <w:rPr>
        <w:rFonts w:ascii="Calibri" w:hAnsi="Calibri"/>
        <w:color w:val="3F4A54"/>
        <w:sz w:val="16"/>
      </w:rPr>
      <w:tab/>
    </w:r>
    <w:r>
      <w:rPr>
        <w:rFonts w:ascii="Calibri" w:hAnsi="Calibri"/>
        <w:color w:val="3F4A54"/>
        <w:sz w:val="16"/>
      </w:rPr>
      <w:t>Version 0.1.0</w:t>
    </w:r>
  </w:p>
  <w:p>
    <w:pPr>
      <w:pStyle w:val="LaufendeKopfzeile"/>
      <w:spacing w:after="40" w:line="240" w:lineRule="auto"/>
      <w:jc w:val="left"/>
      <w:pBdr>
        <w:bottom w:val="single" w:sz="4" w:space="5" w:color="AAB4BF"/>
      </w:pBdr>
    </w:pPr>
    <w:r>
      <w:rPr>
        <w:rFonts w:ascii="Calibri" w:hAnsi="Calibri"/>
        <w:color w:val="77838F"/>
        <w:sz w:val="15"/>
      </w:rPr>
      <w:t>ÖFFENTLICH – organisationsneutrale Referenzvorlage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autoHyphenation w:val="true"/>
  <w:consecutiveHyphenLimit w:val="2"/>
  <w:hyphenationZone w:val="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Calibri" w:hAnsi="Calibri" w:eastAsia="Calibri"/>
      <w:color w:val="202830"/>
      <w:sz w:val="22"/>
      <w:lang w:val="de-DE" w:eastAsia="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320" w:after="160"/>
      <w:outlineLvl w:val="0"/>
    </w:pPr>
    <w:rPr>
      <w:rFonts w:asciiTheme="majorHAnsi" w:eastAsiaTheme="majorEastAsia" w:hAnsiTheme="majorHAnsi" w:cstheme="majorBidi" w:ascii="Calibri" w:hAnsi="Calibri" w:eastAsia="Calibri"/>
      <w:b/>
      <w:bCs/>
      <w:color w:val="2E74B5"/>
      <w:sz w:val="32"/>
      <w:szCs w:val="28"/>
      <w:lang w:val="de-DE"/>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120"/>
      <w:outlineLvl w:val="1"/>
    </w:pPr>
    <w:rPr>
      <w:rFonts w:asciiTheme="majorHAnsi" w:eastAsiaTheme="majorEastAsia" w:hAnsiTheme="majorHAnsi" w:cstheme="majorBidi" w:ascii="Calibri" w:hAnsi="Calibri" w:eastAsia="Calibri"/>
      <w:b/>
      <w:bCs/>
      <w:color w:val="2E74B5"/>
      <w:sz w:val="26"/>
      <w:szCs w:val="26"/>
      <w:lang w:val="de-DE"/>
    </w:rPr>
  </w:style>
  <w:style w:type="paragraph" w:styleId="Heading3">
    <w:name w:val="heading 3"/>
    <w:basedOn w:val="Normal"/>
    <w:next w:val="Normal"/>
    <w:link w:val="Heading3Char"/>
    <w:uiPriority w:val="9"/>
    <w:unhideWhenUsed/>
    <w:qFormat/>
    <w:rsid w:val="00FC693F"/>
    <w:pPr>
      <w:keepNext/>
      <w:keepLines/>
      <w:pageBreakBefore w:val="0"/>
      <w:widowControl/>
      <w:spacing w:before="160" w:after="80"/>
      <w:outlineLvl w:val="2"/>
    </w:pPr>
    <w:rPr>
      <w:rFonts w:asciiTheme="majorHAnsi" w:eastAsiaTheme="majorEastAsia" w:hAnsiTheme="majorHAnsi" w:cstheme="majorBidi" w:ascii="Calibri" w:hAnsi="Calibri" w:eastAsia="Calibri"/>
      <w:b/>
      <w:bCs/>
      <w:color w:val="1F4D78"/>
      <w:sz w:val="24"/>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76"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76"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lentext">
    <w:name w:val="Tabellentext"/>
    <w:basedOn w:val="Normal"/>
    <w:pPr>
      <w:widowControl/>
      <w:spacing w:before="0" w:after="0" w:line="264" w:lineRule="auto"/>
    </w:pPr>
    <w:rPr>
      <w:rFonts w:ascii="Calibri" w:hAnsi="Calibri"/>
      <w:b w:val="0"/>
      <w:color w:val="202830"/>
      <w:sz w:val="21"/>
    </w:rPr>
  </w:style>
  <w:style w:type="paragraph" w:customStyle="1" w:styleId="Tabellenkopf">
    <w:name w:val="Tabellenkopf"/>
    <w:basedOn w:val="Normal"/>
    <w:pPr>
      <w:widowControl/>
      <w:spacing w:before="0" w:after="0" w:line="264" w:lineRule="auto"/>
    </w:pPr>
    <w:rPr>
      <w:rFonts w:ascii="Calibri" w:hAnsi="Calibri"/>
      <w:b/>
      <w:color w:val="1F4D78"/>
      <w:sz w:val="21"/>
    </w:rPr>
  </w:style>
  <w:style w:type="paragraph" w:customStyle="1" w:styleId="Tabellenbeschriftung">
    <w:name w:val="Tabellenbeschriftung"/>
    <w:basedOn w:val="Normal"/>
    <w:pPr>
      <w:spacing w:before="100" w:after="180" w:line="252" w:lineRule="auto"/>
      <w:jc w:val="center"/>
    </w:pPr>
    <w:rPr>
      <w:rFonts w:ascii="Calibri" w:hAnsi="Calibri"/>
      <w:i/>
      <w:color w:val="3F4A54"/>
      <w:sz w:val="18"/>
    </w:rPr>
  </w:style>
  <w:style w:type="paragraph" w:customStyle="1" w:styleId="LaufendeKopfzeile">
    <w:name w:val="Laufende Kopfzeile"/>
    <w:basedOn w:val="Normal"/>
    <w:pPr>
      <w:spacing w:before="0" w:after="0" w:line="240" w:lineRule="auto"/>
    </w:pPr>
    <w:rPr>
      <w:rFonts w:ascii="Calibri" w:hAnsi="Calibri"/>
      <w:color w:val="77838F"/>
      <w:sz w:val="16"/>
    </w:rPr>
  </w:style>
  <w:style w:type="paragraph" w:customStyle="1" w:styleId="LaufendeFußzeile">
    <w:name w:val="Laufende Fußzeile"/>
    <w:basedOn w:val="Normal"/>
    <w:pPr>
      <w:spacing w:before="0" w:after="0" w:line="240" w:lineRule="auto"/>
    </w:pPr>
    <w:rPr>
      <w:rFonts w:ascii="Calibri" w:hAnsi="Calibri"/>
      <w:color w:val="77838F"/>
      <w:sz w:val="16"/>
    </w:rPr>
  </w:style>
  <w:style w:type="paragraph" w:customStyle="1" w:styleId="Dokumentstatus">
    <w:name w:val="Dokumentstatus"/>
    <w:basedOn w:val="Normal"/>
    <w:pPr>
      <w:spacing w:before="100" w:after="100"/>
      <w:jc w:val="center"/>
    </w:pPr>
    <w:rPr>
      <w:rFonts w:ascii="Calibri" w:hAnsi="Calibri"/>
      <w:b/>
      <w:color w:val="1F4D78"/>
      <w:sz w:val="20"/>
    </w:rPr>
  </w:style>
  <w:style w:type="character" w:styleId="FootnoteReference">
    <w:name w:val="footnote reference"/>
    <w:rPr>
      <w:vertAlign w:val="superscript"/>
    </w:rPr>
  </w:style>
  <w:style w:type="paragraph" w:styleId="FootnoteText">
    <w:name w:val="footnote text"/>
    <w:basedOn w:val="Normal"/>
    <w:pPr>
      <w:spacing w:after="40" w:line="252" w:lineRule="auto"/>
    </w:pPr>
    <w:rPr>
      <w:rFonts w:ascii="Calibri"/>
      <w:sz w:val="17"/>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mi.bund.de/SharedDocs/downloads/DE/publikationen/themen/moderne-verwaltung/ki/BMI25020-leitlinien-ki-bundesverwaltung.html" TargetMode="External"/><Relationship Id="rId12" Type="http://schemas.openxmlformats.org/officeDocument/2006/relationships/hyperlink" Target="https://www.bsi.bund.de/SharedDocs/Downloads/DE/BSI/KI/Kriterienkatalog_KI-Modelle_Bundesverwaltung.pdf?__blob=publicationFile&amp;v=3" TargetMode="External"/><Relationship Id="rId13" Type="http://schemas.openxmlformats.org/officeDocument/2006/relationships/hyperlink" Target="https://www.bmvg.de/resource/blob/6143700/9954e2b6b993b17cd3d09ca31c506774/dl-ki-konzeption-data.pdf" TargetMode="External"/><Relationship Id="rId14" Type="http://schemas.openxmlformats.org/officeDocument/2006/relationships/hyperlink" Target="https://github.com/BSI-Bund/Stand-der-Technik-Bibliothek/commit/8a97764ff4f23c2b7945c64344eecbf5a2053db2" TargetMode="External"/><Relationship Id="rId15" Type="http://schemas.openxmlformats.org/officeDocument/2006/relationships/hyperlink" Target="https://github.com/usnistgov/OSCAL/releases/download/v1.1.3/oscal_catalog_schema.json" TargetMode="External"/><Relationship Id="rId16" Type="http://schemas.openxmlformats.org/officeDocument/2006/relationships/hyperlink" Target="https://eur-lex.europa.eu/eli/reg/2024/1689/oj" TargetMode="External"/><Relationship Id="rId17" Type="http://schemas.openxmlformats.org/officeDocument/2006/relationships/hyperlink" Target="https://www.bfdi.bund.de/SharedDocs/Downloads/DE/DokumenteBfDI/Dokumente-allg/2025/Handreichung-KI.pdf?__blob=publicationFile&amp;v=3" TargetMode="External"/><Relationship Id="rId18" Type="http://schemas.openxmlformats.org/officeDocument/2006/relationships/hyperlink" Target="https://www.datenschutzkonferenz-online.de/media/oh/20240506_DSK_Orientierungshilfe_KI_und_Datenschutz.pdf" TargetMode="External"/><Relationship Id="rId19" Type="http://schemas.openxmlformats.org/officeDocument/2006/relationships/hyperlink" Target="https://www.datenschutzkonferenz-online.de/media/oh/DSK-OH_KI-Systeme.pdf" TargetMode="External"/><Relationship Id="rId20" Type="http://schemas.openxmlformats.org/officeDocument/2006/relationships/hyperlink" Target="https://www.datenschutzkonferenz-online.de/media/oh/DSK_OH_RAG.pdf" TargetMode="External"/><Relationship Id="rId21" Type="http://schemas.openxmlformats.org/officeDocument/2006/relationships/hyperlink" Target="https://www.nist.gov/publications/artificial-intelligence-risk-management-framework-generative-artificial-intelligence" TargetMode="External"/><Relationship Id="rId22" Type="http://schemas.openxmlformats.org/officeDocument/2006/relationships/hyperlink" Target="https://csrc.nist.gov/pubs/ai/100/2/e2025/final" TargetMode="External"/><Relationship Id="rId23" Type="http://schemas.openxmlformats.org/officeDocument/2006/relationships/hyperlink" Target="https://www.enisa.europa.eu/publications/multilayer-framework-for-good-cybersecurity-practices-for-ai" TargetMode="External"/><Relationship Id="rId24" Type="http://schemas.openxmlformats.org/officeDocument/2006/relationships/hyperlink" Target="https://www.ncsc.gov.uk/collection/guidelines-secure-ai-system-development/about-this-document" TargetMode="External"/><Relationship Id="rId25" Type="http://schemas.openxmlformats.org/officeDocument/2006/relationships/hyperlink" Target="https://owasp.org/www-project-top-10-for-large-language-model-applications/" TargetMode="External"/><Relationship Id="rId26" Type="http://schemas.openxmlformats.org/officeDocument/2006/relationships/hyperlink" Target="https://atlas.mitre.org/" TargetMode="External"/><Relationship Id="rId27" Type="http://schemas.openxmlformats.org/officeDocument/2006/relationships/hyperlink" Target="https://kubernetes.io/docs/reference/kubernetes-api/networking/network-policy-v1/" TargetMode="External"/><Relationship Id="rId28" Type="http://schemas.openxmlformats.org/officeDocument/2006/relationships/hyperlink" Target="https://docs.docker.com/engine/security/rootless/" TargetMode="External"/><Relationship Id="rId29" Type="http://schemas.openxmlformats.org/officeDocument/2006/relationships/hyperlink" Target="https://docs.podman.io/en/latest/markdown/podman-network.1.html" TargetMode="External"/><Relationship Id="rId30" Type="http://schemas.openxmlformats.org/officeDocument/2006/relationships/hyperlink" Target="https://docs.ollama.com/api/authentication" TargetMode="External"/><Relationship Id="rId31" Type="http://schemas.openxmlformats.org/officeDocument/2006/relationships/hyperlink" Target="https://docs.vllm.ai/en/stable/usage/security/" TargetMode="External"/><Relationship Id="rId32" Type="http://schemas.openxmlformats.org/officeDocument/2006/relationships/hyperlink" Target="https://docs.openwebui.com/getting-started/quick-start/connect-a-provider/starting-with-openai-compatible/" TargetMode="External"/><Relationship Id="rId33" Type="http://schemas.openxmlformats.org/officeDocument/2006/relationships/hyperlink" Target="https://docs.openwebui.com/reference/api-endpoints/" TargetMode="External"/><Relationship Id="rId34" Type="http://schemas.openxmlformats.org/officeDocument/2006/relationships/hyperlink" Target="https://github.com/cline/cline/blob/0b0ca9b1fa95ed9f3e0891a34f1f9b3904309710/docs/sdk/model-providers.mdx" TargetMode="External"/><Relationship Id="rId35" Type="http://schemas.openxmlformats.org/officeDocument/2006/relationships/hyperlink" Target="https://opencode.ai/v2/docs/models" TargetMode="External"/><Relationship Id="rId36" Type="http://schemas.openxmlformats.org/officeDocument/2006/relationships/hyperlink" Target="https://github.com/ggml-org/llama.cpp/tree/ccc8fd2baa64ab26c7210b02765d3604069ec7ee" TargetMode="External"/><Relationship Id="rId37" Type="http://schemas.openxmlformats.org/officeDocument/2006/relationships/hyperlink" Target="https://www.dakks.de/de/was-ist-akkreditierung.html" TargetMode="External"/><Relationship Id="rId38" Type="http://schemas.openxmlformats.org/officeDocument/2006/relationships/hyperlink" Target="https://www.gesetze-im-internet.de/bsig_2025/BJNR12D0B0025.html" TargetMode="External"/><Relationship Id="rId39" Type="http://schemas.openxmlformats.org/officeDocument/2006/relationships/hyperlink" Target="https://www.gesetze-im-internet.de/s_g/__4.html" TargetMode="External"/><Relationship Id="rId40" Type="http://schemas.openxmlformats.org/officeDocument/2006/relationships/hyperlink" Target="https://www.verwaltungsvorschriften-im-internet.de/bsvwvbund_13032023_SII554001405.htm" TargetMode="External"/><Relationship Id="rId41" Type="http://schemas.openxmlformats.org/officeDocument/2006/relationships/hyperlink" Target="https://www.iso.org/standard/27001" TargetMode="External"/><Relationship Id="rId42" Type="http://schemas.openxmlformats.org/officeDocument/2006/relationships/hyperlink" Target="https://www.iso.org/standard/75652.html" TargetMode="External"/><Relationship Id="rId43" Type="http://schemas.openxmlformats.org/officeDocument/2006/relationships/hyperlink" Target="https://www.iso.org/standard/42001" TargetMode="External"/><Relationship Id="rId44" Type="http://schemas.openxmlformats.org/officeDocument/2006/relationships/hyperlink" Target="https://www.iso.org/standard/77304.html" TargetMode="External"/><Relationship Id="rId45" Type="http://schemas.openxmlformats.org/officeDocument/2006/relationships/hyperlink" Target="https://www.iso.org/standard/42005" TargetMode="External"/><Relationship Id="rId46" Type="http://schemas.openxmlformats.org/officeDocument/2006/relationships/hyperlink" Target="https://www.iso.org/standard/81118.html" TargetMode="External"/><Relationship Id="rId47" Type="http://schemas.openxmlformats.org/officeDocument/2006/relationships/hyperlink" Target="https://www.iso.org/standard/81088.html" TargetMode="External"/><Relationship Id="rId48" Type="http://schemas.openxmlformats.org/officeDocument/2006/relationships/hyperlink" Target="https://www.iso.org/standard/80655.html" TargetMode="External"/><Relationship Id="rId49" Type="http://schemas.openxmlformats.org/officeDocument/2006/relationships/hyperlink" Target="https://github.com/BSI-Bund/Stand-der-Technik-Bibliothek/tree/8a97764ff4f23c2b7945c64344eecbf5a2053db2" TargetMode="Externa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KI-IT-Sicherheitskonzept</dc:title>
  <dc:subject>ÖFFENTLICH – organisationsneutrale Referenzvorlage</dc:subject>
  <dc:creator/>
  <cp:keywords>KI, Informationssicherheit, OSCAL, RAG, lokale Inferenz</cp:keywords>
  <dc:description>Organisationsneutrale Referenzvorlage</dc:description>
  <cp:lastModifiedBy/>
  <cp:revision>1</cp:revision>
  <dcterms:created xsi:type="dcterms:W3CDTF">2013-12-23T23:15:00Z</dcterms:created>
  <dcterms:modified xsi:type="dcterms:W3CDTF">2013-12-23T23:15:00Z</dcterms:modified>
  <cp:category/>
</cp:coreProperties>
</file>