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3" Type="http://schemas.openxmlformats.org/package/2006/relationships/metadata/core-properties" Target="docProps/core.xml"/>
  <Relationship Id="rId4" Type="http://schemas.openxmlformats.org/officeDocument/2006/relationships/extended-properties" Target="docProps/app.xml"/>
  <Relationship Id="rId1" Type="http://schemas.openxmlformats.org/officeDocument/2006/relationships/officeDocument" Target="word/document.xml"/>
  <Relationship Id="rId2" Type="http://schemas.openxmlformats.org/package/2006/relationships/metadata/thumbnail" Target="docProps/thumbnail.jpeg"/>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i/>
          <w:sz w:val="18"/>
        </w:rPr>
        <w:t>Alb-Shkenca Conference, September 2026</w:t>
      </w:r>
    </w:p>
    <w:p>
      <w:pPr>
        <w:spacing w:after="80"/>
        <w:jc w:val="center"/>
      </w:pPr>
      <w:r>
        <w:rPr>
          <w:b/>
          <w:sz w:val="26"/>
        </w:rPr>
        <w:t>Bi-objective optimization of graph structures through concurrent decomposition and assembly: A comparative study of fifteen Hill-Climbing variants</w:t>
      </w:r>
    </w:p>
    <w:p>
      <w:pPr>
        <w:spacing w:after="40"/>
        <w:jc w:val="center"/>
      </w:pPr>
      <w:r>
        <w:rPr>
          <w:b/>
          <w:sz w:val="22"/>
        </w:rPr>
        <w:t>MSc. Ass. Adrian Ymeri</w:t>
      </w:r>
    </w:p>
    <w:p>
      <w:pPr>
        <w:spacing w:after="40"/>
        <w:jc w:val="center"/>
      </w:pPr>
      <w:r>
        <w:rPr>
          <w:i/>
          <w:sz w:val="20"/>
        </w:rPr>
        <w:t>Department of Computer Engineering, Faculty of Electrical and Computer Engineering, University of Prishtina "Hasan Prishtina", Prishtina, Kosovo</w:t>
      </w:r>
    </w:p>
    <w:p>
      <w:pPr>
        <w:spacing w:after="200"/>
        <w:jc w:val="center"/>
      </w:pPr>
      <w:r>
        <w:rPr>
          <w:sz w:val="20"/>
        </w:rPr>
        <w:t>adrian.ymeri@uni-pr.edu</w:t>
      </w:r>
    </w:p>
    <w:p>
      <w:pPr>
        <w:spacing w:after="20"/>
        <w:ind w:left="227" w:right="227"/>
        <w:jc w:val="both"/>
      </w:pPr>
      <w:r>
        <w:rPr>
          <w:b/>
          <w:i/>
          <w:sz w:val="19"/>
        </w:rPr>
        <w:t xml:space="preserve">Abstract. </w:t>
      </w:r>
      <w:r>
        <w:rPr>
          <w:sz w:val="19"/>
        </w:rPr>
        <w:t>The torso decomposition problem, posed as ESA's SpOC-3 optimisation challenge (ESA Advanced Concepts Team, 2024), asks for a vertex elimination ordering π and a threshold t that together expose a large, low-width torso (the residual subgraph) in an undirected graph G = (V, E); we study its bi-objective form, related to chordal completion and treewidth, on the standard torso construction of structural graph theory (Robertson and Seymour, 1986; Diestel, 2017). The torso Γ(π, t) is the graph induced on the |V| − t vertices ordered last, augmented with the fill-in edges created as π[0], …, π[t − 1] are eliminated in turn. The two minimised objectives are the elimination width w(π, t) and the threshold t; since the torso keeps |V| − t vertices, minimising t maximises the torso size, trading it against width under the hard bound w(π, t) ≤ 500. A solution is a finite set of decision vectors {(π_k, t_k)}, scored by the 2-D hypervolume of the non-dominated subset of its fitness points (w, t) against the reference (|V|, |V|): the standard multi-objective indicator.</w:t>
      </w:r>
    </w:p>
    <w:p>
      <w:pPr>
        <w:spacing w:after="20"/>
        <w:ind w:left="227" w:right="227"/>
        <w:jc w:val="both"/>
      </w:pPr>
      <w:r>
        <w:rPr>
          <w:sz w:val="19"/>
        </w:rPr>
        <w:t>We present a controlled comparative study of fifteen single-trajectory Hill-Climbing variants (hc1–hc15) that span the classical local-search taxonomy and isolate one design factor at a time: the acceptance rule (Pareto dominance, hypervolume improvement, stochastic best-of-K), the warm start (random, minimum-degree, minimum-fill, torso-aware), the operator catalogue (swap, shift, segment reversal, 2-opt, 3-opt, Or-opt, per-t gap-fill and a coordinated K-vertex bottleneck relocation), the search-control strategy (random restarts, Late Acceptance, Iterated Local Search, Tabu Search) and the evaluation engine (full re-evaluation versus an incremental bitset evaluator). The final variant, hc15, deliberately composes the two strongest individual choices, hypervolume-improvement acceptance and the incremental evaluator, to test whether their separate gains add. All variants share one fitness function, one independently verified hypervolume routine, identical random seeds and identical per-instance wall-clock budgets (25 / 12 / 25 s on the official instances; 1 s on each synthetic instance), so every reported score difference is attributable to an algorithmic choice rather than to implementation drift.</w:t>
      </w:r>
    </w:p>
    <w:p>
      <w:pPr>
        <w:spacing w:after="20"/>
        <w:ind w:left="227" w:right="227"/>
        <w:jc w:val="both"/>
      </w:pPr>
      <w:r>
        <w:rPr>
          <w:sz w:val="19"/>
        </w:rPr>
        <w:t>On the three official benchmark instances, small (|V| = 1,357, mean degree 3.4), medium (|V| = 1,399, mean degree 19.7) and large (|V| = 2,426, mean degree 209.3, already above the 500-width cap), the strongest single-seed results on the two sparser instances come from the operator-rich and acceptance-aware variants: hc5 reaches −1,814,961 on small (99.18 % of the public-leaderboard top) and Tabu Search (hc13) reaches −1,609,194 on medium (92.21 %), with hypervolume-improvement acceptance (hc9) within 36 units of the small-instance best (−1,814,925, 99.18 %) and −1,607,963 on medium (92.14 %). On the dense instance Tabu Search (hc13) leads the seed-42 comparison at −4,800,196 (87.39 %), with hc11, hc7 and hc5 clustered within roughly 4,097 hypervolume units. The same crossover appears on a 20-instance synthetic Erdős–Rényi grid (|V| ∈ [200, 1,000], mean degree 3–35), where hypervolume acceptance dominates the sparse and mid-density cells while the incremental evaluator and structural moves take the densest ones. The outcome decomposes cleanly along a single density axis: hypervolume-aligned acceptance dominates at low density, structural problem-aware moves dominate at high density, and the same density variable predicts the residual gap to the leaderboard top, which we attribute to exact or near-exact treewidth solvers run on parallel hardware.</w:t>
      </w:r>
    </w:p>
    <w:p>
      <w:pPr>
        <w:spacing w:after="20"/>
        <w:ind w:left="227" w:right="227"/>
        <w:jc w:val="both"/>
      </w:pPr>
      <w:r>
        <w:rPr>
          <w:sz w:val="19"/>
        </w:rPr>
        <w:t>Three further results are methodological. First, Late Acceptance (hc8), Iterated Local Search (hc11) and Tabu Search (hc13) reach only parity with the operator-rich climber (hc5): in a Pareto-archive setting the archive already supplies the diversity that these single-trajectory escape mechanisms are designed to manufacture, so their characteristic counters never fire, a reproducible null result. Second, the coordinated K-vertex bottleneck-relocation operator (hc7) is the genuine winner on the dense instance, where the multi-way ties at the maximum elimination width cannot be broken by any single-vertex move. Third, the incremental bitset evaluator (hc12) reproduces hc5's hypervolume at 1.7–5.4× the iteration throughput, and stochastic first-improvement (hc5) outperforms stochastic best-improvement (hc14) once the evaluator, not the neighbourhood, is the wall-clock bottleneck.</w:t>
      </w:r>
    </w:p>
    <w:p>
      <w:pPr>
        <w:spacing w:after="20"/>
        <w:ind w:left="227" w:right="227"/>
        <w:jc w:val="both"/>
      </w:pPr>
      <w:r>
        <w:rPr>
          <w:sz w:val="19"/>
        </w:rPr>
        <w:t>Significance is established with a Friedman omnibus test across the thirteen archive-based variants on the 20-instance synthetic grid (χ² = 112.99, p &lt; 10⁻¹⁸), a Nemenyi post-hoc comparison at critical difference 4.08 (Demšar, 2006), and a twelve-seed robustness sweep on the official instances. The sweep confirms hypervolume-improvement acceptance as the most reliable rule on the sparse instances; hc15 attains the best per-seed mean of the headline group on small and medium and beats hc9 on a majority of seeds, yet the margin lies within the seed-to-seed spread and the difference from hc9 is not statistically significant (exact two-sided Wilcoxon p = 0.18 and 0.15). We therefore retain hc9 as the significance-backed sparse-instance headline and report hc15 as a promising but not-yet-significant refinement: evidence that the acceptance rule, not the evaluation engine, carries the result. The contribution is a reproducible local-search baseline with transferable design lessons, the benchmark for the planned Simulated Annealing, NSGA-II and evolutionary-search chapters.</w:t>
      </w:r>
    </w:p>
    <w:p>
      <w:pPr>
        <w:spacing w:before="80" w:after="20"/>
      </w:pPr>
      <w:r>
        <w:rPr>
          <w:b/>
          <w:sz w:val="24"/>
        </w:rPr>
        <w:t>1. Introduction</w:t>
      </w:r>
    </w:p>
    <w:p>
      <w:pPr>
        <w:spacing w:after="40"/>
        <w:ind w:firstLine="283"/>
        <w:jc w:val="both"/>
      </w:pPr>
      <w:r>
        <w:rPr>
          <w:sz w:val="21"/>
        </w:rPr>
        <w:t>Torso decomposition is a graph-theoretic construction from Robertson and Seymour's Graph Minors series (Robertson and Seymour, 1986; Diestel, 2017, Ch. 12); we study it here as a bi-objective optimisation problem, drawing on chordal completion via vertex elimination orderings (Parter, 1961; Rose, 1972), treewidth (Bodlaender, 1994), and the hypervolume indicator as the scoring function (Zitzler and Thiele, 1999; Beume, Naujoks and Emmerich, 2007). The variant studied here treats the decomposition as a Pareto-optimisation problem: instead of fixing the width and maximising the torso (equivalently, minimising the eliminated set), the algorithm is required to expose the entire trade-off curve and is scored by the area it dominates.</w:t>
      </w:r>
    </w:p>
    <w:p>
      <w:pPr>
        <w:spacing w:after="40"/>
        <w:ind w:firstLine="283"/>
        <w:jc w:val="both"/>
      </w:pPr>
      <w:r>
        <w:rPr>
          <w:sz w:val="21"/>
        </w:rPr>
        <w:t>This formulation has three algorithmic consequences. First, lateral moves (those that preserve both objectives) enlarge the dominated area and are useful even though they leave each individual objective unchanged. Second, the acceptance rule becomes a first-class design choice rather than a convergence detail, and one of the questions of this study is whether the acceptance rule should mirror the scoring indicator. Third, the hard constraint w(π, t) ≤ 500 makes a non-trivial fraction of candidate moves infeasible, which interacts with the warm-start strategy and with the perturbation operators.</w:t>
      </w:r>
    </w:p>
    <w:p>
      <w:pPr>
        <w:spacing w:after="40"/>
        <w:ind w:firstLine="283"/>
        <w:jc w:val="both"/>
      </w:pPr>
      <w:r>
        <w:rPr>
          <w:sz w:val="21"/>
        </w:rPr>
        <w:t>The contribution of this paper is empirical and methodological. We implement fifteen Hill-Climbing variants under a shared fitness function and a shared hypervolume routine (the computation of which is itself a non-trivial problem with a substantial recent literature; Guerreiro, Fonseca and Paquete, 2021; Shang, Ishibuchi, He and Pang, 2021), run a canonical fourteen-variant scoreboard on three official instances and on a 20-instance synthetic Erdős–Rényi grid spanning five sizes and four densities, and add a fifteenth, composed variant evaluated on the official instances and on a twelve-seed robustness sweep. We report the full results table together with a discussion of which design choices pay off in which regime. The work establishes the local-search baselines that the planned follow-up chapters on Simulated Annealing, NSGA-II, and hypervolume-driven evolutionary search will need to beat.</w:t>
      </w:r>
    </w:p>
    <w:p>
      <w:pPr>
        <w:spacing w:before="80" w:after="20"/>
      </w:pPr>
      <w:r>
        <w:rPr>
          <w:b/>
          <w:sz w:val="24"/>
        </w:rPr>
        <w:t>2. Problem statement</w:t>
      </w:r>
    </w:p>
    <w:p>
      <w:pPr>
        <w:spacing w:after="40"/>
        <w:ind w:firstLine="283"/>
        <w:jc w:val="both"/>
      </w:pPr>
      <w:r>
        <w:rPr>
          <w:sz w:val="21"/>
        </w:rPr>
        <w:t>Let G = (V, E) be an undirected simple graph with n = |V| vertices, and let π : {0, … , n − 1} → V be a permutation of V (an elimination ordering, with π[0] eliminated first). For an integer threshold t ∈ {0, … , n − 1}, set S(π, t) = {π[0], … , π[t − 1]} and T(π, t) = V \ S(π, t). The term torso is taken from Robertson and Seymour's Graph Minors series (Diestel 2017, Ch. 12). Operationally, Γ(π, t) is the graph on T obtained by the elimination-game construction: process π[0], … , π[t − 1] in order; at each step delete the current vertex u and add a clique on its still-present neighbours (the fill-in edges of the chordal completion of the prefix). The resulting graph restricted to T is Γ(π, t); equivalently, it is the torso of bag T in the tree-decomposition implied by the elimination order.</w:t>
      </w:r>
    </w:p>
    <w:p>
      <w:pPr>
        <w:spacing w:after="40"/>
        <w:ind w:firstLine="283"/>
        <w:jc w:val="both"/>
      </w:pPr>
      <w:r>
        <w:rPr>
          <w:sz w:val="21"/>
        </w:rPr>
        <w:t>The two minimised objectives are the elimination width f₁(π, t) = w(π, t) = max{deg_i(π[i]) : i = t, … , n − 1}, where deg_i(v) is the degree of v in the dynamically constructed elimination graph at step i, and the threshold f₂(π, t) = t, the number of eliminated vertices. Since the torso retains |T| = n − t vertices, minimising t maximises the torso size, so the pair (w, t) realises the challenge's goal of a large torso of small width. The quantity w(π, t) is one less than the largest clique generated while eliminating the suffix π[t : n]; for a full ordering (t = 0) it is the elimination width of π and satisfies tw(G) ≤ w(π), with equality at the optimal ordering (Parter 1961; Rose 1972; Bodlaender 1994). The SpOC-3-specific feasibility constraint (ESA Advanced Concepts Team, 2024) is max_i deg_i(π[i]) ≤ 500 over all i ∈ {0, …, n−1} (the cap fires in the head as well as the suffix; violating (π, t) yields the sentinel (501, t)). A submission is a finite set of decision vectors {(π_k, t_k)}_{k = 1}^{K}; each evaluates to a feasible fitness point (w(π_k, t_k), t_k) ∈ {0, … , n}², and the public score is the negated two-dimensional hypervolume (Zitzler and Thiele 1999) of the non-dominated subset of these points with respect to the reference point R = (n, n), so that lower −HV is better.</w:t>
      </w:r>
    </w:p>
    <w:p>
      <w:pPr>
        <w:spacing w:before="80" w:after="20"/>
      </w:pPr>
      <w:r>
        <w:rPr>
          <w:b/>
          <w:sz w:val="24"/>
        </w:rPr>
        <w:t>3. Method: fifteen Hill-Climbing variants</w:t>
      </w:r>
    </w:p>
    <w:p>
      <w:pPr>
        <w:spacing w:after="40"/>
        <w:ind w:firstLine="283"/>
        <w:jc w:val="both"/>
      </w:pPr>
      <w:r>
        <w:rPr>
          <w:sz w:val="21"/>
        </w:rPr>
        <w:t>The fifteen variants are organised into five families that each isolate one algorithmic axis. All fifteen share the defining property of single-trajectory local search: a single incumbent solution, neighbourhood moves, and no population, recombination or cooling schedule, which is precisely what admits Late Acceptance (hc8), Iterated Local Search (hc11) and Tabu Search (hc13) as Hill-Climbing relatives while excluding population-based methods (NSGA-II, SMS-EMOA) and Simulated Annealing, deferred to later chapters. Family 1 (acceptance rule) contains hc1 (Pareto-dominance descent, the minimal baseline), hc2 (random restarts of hc1), hc9 (accept iff the candidate strictly increases the archive hypervolume: the indicator-based acceptance rule of IBEA / SMS-EMOA adapted to a single trajectory; Zitzler and Künzli, 2004; Beume, Naujoks and Emmerich, 2007), and hc14 (stochastic best-improvement: at each step, sample K = 16 neighbours and accept the best if it strictly improves; Hoos and Stützle, 2004). Family 2 (archive) contains hc3, which maintains an explicit Pareto archive and reports an HSSP top-K subset (Bringmann, Friedrich and Klitzke, 2014). Family 3 (warm start) contains hc4 (min-degree elimination ordering, the classical sparse-matrix heuristic surveyed in George and Liu, 1989) and hc10 (per-t torso-aware warm start that recomputes the construction for each candidate threshold).</w:t>
      </w:r>
    </w:p>
    <w:p>
      <w:pPr>
        <w:spacing w:after="40"/>
        <w:ind w:firstLine="283"/>
        <w:jc w:val="both"/>
      </w:pPr>
      <w:r>
        <w:rPr>
          <w:sz w:val="21"/>
        </w:rPr>
        <w:t>Family 4 (operator catalogue) contains hc5 (multi-operator local search using swap, shift, segment reverse, 2-opt and 3-opt; Lin, 1965; Lin and Kernighan, 1973), hc6 (per-t gap fill targeting the bottleneck threshold), and hc7 (coordinated K-vertex bottleneck-relocation where K is drawn uniformly from {2, …, |ties|} at the current bottleneck). Family 5 (search control) contains hc8 (Late Acceptance Hill Climbing with list length L = max(100, ⌊n/5⌋); Burke and Bykov, 2017), hc11 (Iterated Local Search with stagnation window K_stag = 500 and perturbation strength s = 5 long-block-move/reverse kicks applied to best-so-far; Lourenço, Martin and Stützle, 2003), hc12 (a bitset-based incremental evaluator that re-walks only the suffix changed by the operator), and hc13 (Tabu Search with vertex-pair attribute, tenure τ = ⌊√n⌋, and an archive-extension aspiration criterion; Glover, 1989). The 3-opt operator is enabled in hc5, hc8–hc11, hc13 and hc14 (the variants whose axis is not the operator catalogue); the remaining variants (hc6, hc7 and hc12) deliberately keep the pre-3-opt set so that their characteristic axis is the only difference from hc5. All variants run single-threaded in Python 3 + NumPy on a commodity workstation; the wall-clock budget includes warm-start construction. Measured iteration rates on the small instance are ≈ 5.4× higher for hc12 than for the full evaluator used by hc1–hc11, hc13 and hc14. A fifteenth variant, hc15, sits at the intersection of Family 1 and Family 5: it runs hc9’s hypervolume-improvement acceptance rule on hc12’s incremental evaluator, so that the cheap per-move width estimate and the indicator-aligned acceptance criterion are combined in a single trajectory; it introduces no new operator and is therefore a clean test of whether the two strongest individual design choices compose.</w:t>
      </w:r>
    </w:p>
    <w:p>
      <w:pPr>
        <w:spacing w:before="80" w:after="20"/>
      </w:pPr>
      <w:r>
        <w:rPr>
          <w:b/>
          <w:sz w:val="24"/>
        </w:rPr>
        <w:t>4. Results</w:t>
      </w:r>
    </w:p>
    <w:tbl>
      <w:tblPr>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9D9D9"/>
            <w:tcBorders>
              <w:top w:val="single" w:sz="4" w:color="999999"/>
              <w:left w:val="single" w:sz="4" w:color="999999"/>
              <w:bottom w:val="single" w:sz="4" w:color="999999"/>
              <w:right w:val="single" w:sz="4" w:color="999999"/>
            </w:tcBorders>
          </w:tcPr>
          <w:p>
            <w:pPr>
              <w:jc w:val="center"/>
            </w:pPr>
            <w:r/>
            <w:r>
              <w:rPr>
                <w:b/>
                <w:sz w:val="18"/>
              </w:rPr>
              <w:t>Variant</w:t>
            </w:r>
          </w:p>
        </w:tc>
        <w:tc>
          <w:tcPr>
            <w:tcW w:type="dxa" w:w="1700"/>
            <w:shd w:val="clear" w:color="auto" w:fill="D9D9D9"/>
            <w:tcBorders>
              <w:top w:val="single" w:sz="4" w:color="999999"/>
              <w:left w:val="single" w:sz="4" w:color="999999"/>
              <w:bottom w:val="single" w:sz="4" w:color="999999"/>
              <w:right w:val="single" w:sz="4" w:color="999999"/>
            </w:tcBorders>
          </w:tcPr>
          <w:p>
            <w:pPr>
              <w:jc w:val="center"/>
            </w:pPr>
            <w:r/>
            <w:r>
              <w:rPr>
                <w:b/>
                <w:sz w:val="18"/>
              </w:rPr>
              <w:t>Description</w:t>
            </w:r>
          </w:p>
        </w:tc>
        <w:tc>
          <w:tcPr>
            <w:tcW w:type="dxa" w:w="1700"/>
            <w:shd w:val="clear" w:color="auto" w:fill="D9D9D9"/>
            <w:tcBorders>
              <w:top w:val="single" w:sz="4" w:color="999999"/>
              <w:left w:val="single" w:sz="4" w:color="999999"/>
              <w:bottom w:val="single" w:sz="4" w:color="999999"/>
              <w:right w:val="single" w:sz="4" w:color="999999"/>
            </w:tcBorders>
          </w:tcPr>
          <w:p>
            <w:pPr>
              <w:jc w:val="center"/>
            </w:pPr>
            <w:r/>
            <w:r>
              <w:rPr>
                <w:b/>
                <w:sz w:val="18"/>
              </w:rPr>
              <w:t>Small (−HV)</w:t>
            </w:r>
          </w:p>
        </w:tc>
        <w:tc>
          <w:tcPr>
            <w:tcW w:type="dxa" w:w="1700"/>
            <w:shd w:val="clear" w:color="auto" w:fill="D9D9D9"/>
            <w:tcBorders>
              <w:top w:val="single" w:sz="4" w:color="999999"/>
              <w:left w:val="single" w:sz="4" w:color="999999"/>
              <w:bottom w:val="single" w:sz="4" w:color="999999"/>
              <w:right w:val="single" w:sz="4" w:color="999999"/>
            </w:tcBorders>
          </w:tcPr>
          <w:p>
            <w:pPr>
              <w:jc w:val="center"/>
            </w:pPr>
            <w:r/>
            <w:r>
              <w:rPr>
                <w:b/>
                <w:sz w:val="18"/>
              </w:rPr>
              <w:t>Medium (−HV)</w:t>
            </w:r>
          </w:p>
        </w:tc>
        <w:tc>
          <w:tcPr>
            <w:tcW w:type="dxa" w:w="1700"/>
            <w:shd w:val="clear" w:color="auto" w:fill="D9D9D9"/>
            <w:tcBorders>
              <w:top w:val="single" w:sz="4" w:color="999999"/>
              <w:left w:val="single" w:sz="4" w:color="999999"/>
              <w:bottom w:val="single" w:sz="4" w:color="999999"/>
              <w:right w:val="single" w:sz="4" w:color="999999"/>
            </w:tcBorders>
          </w:tcPr>
          <w:p>
            <w:pPr>
              <w:jc w:val="center"/>
            </w:pPr>
            <w:r/>
            <w:r>
              <w:rPr>
                <w:b/>
                <w:sz w:val="18"/>
              </w:rPr>
              <w:t>Large (−HV)</w:t>
            </w:r>
          </w:p>
        </w:tc>
        <w:tc>
          <w:tcPr>
            <w:tcW w:type="dxa" w:w="1700"/>
            <w:shd w:val="clear" w:color="auto" w:fill="D9D9D9"/>
            <w:tcBorders>
              <w:top w:val="single" w:sz="4" w:color="999999"/>
              <w:left w:val="single" w:sz="4" w:color="999999"/>
              <w:bottom w:val="single" w:sz="4" w:color="999999"/>
              <w:right w:val="single" w:sz="4" w:color="999999"/>
            </w:tcBorders>
          </w:tcPr>
          <w:p>
            <w:pPr>
              <w:jc w:val="center"/>
            </w:pPr>
            <w:r/>
            <w:r>
              <w:rPr>
                <w:b/>
                <w:sz w:val="18"/>
              </w:rPr>
              <w:t>Synth. wins / 20</w:t>
            </w:r>
          </w:p>
        </w:tc>
      </w:tr>
      <w:tr>
        <w:tc>
          <w:tcPr>
            <w:tcW w:type="dxa" w:w="1700"/>
            <w:tcBorders>
              <w:top w:val="single" w:sz="4" w:color="999999"/>
              <w:left w:val="single" w:sz="4" w:color="999999"/>
              <w:bottom w:val="single" w:sz="4" w:color="999999"/>
              <w:right w:val="single" w:sz="4" w:color="999999"/>
            </w:tcBorders>
          </w:tcPr>
          <w:p>
            <w:pPr>
              <w:jc w:val="center"/>
            </w:pPr>
            <w:r/>
            <w:r>
              <w:rPr>
                <w:b/>
                <w:i w:val="0"/>
                <w:sz w:val="18"/>
              </w:rPr>
              <w:t>hc1</w:t>
            </w:r>
          </w:p>
        </w:tc>
        <w:tc>
          <w:tcPr>
            <w:tcW w:type="dxa" w:w="1700"/>
            <w:tcBorders>
              <w:top w:val="single" w:sz="4" w:color="999999"/>
              <w:left w:val="single" w:sz="4" w:color="999999"/>
              <w:bottom w:val="single" w:sz="4" w:color="999999"/>
              <w:right w:val="single" w:sz="4" w:color="999999"/>
            </w:tcBorders>
          </w:tcPr>
          <w:p>
            <w:pPr>
              <w:jc w:val="left"/>
            </w:pPr>
            <w:r/>
            <w:r>
              <w:rPr>
                <w:b w:val="0"/>
                <w:i/>
                <w:sz w:val="18"/>
              </w:rPr>
              <w:t>initial baseline</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-256,620</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-1,082,090</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-4,670,050</w:t>
            </w:r>
          </w:p>
        </w:tc>
        <w:tc>
          <w:tcPr>
            <w:tcW w:type="dxa" w:w="1700"/>
            <w:tcBorders>
              <w:top w:val="single" w:sz="4" w:color="999999"/>
              <w:left w:val="single" w:sz="4" w:color="999999"/>
              <w:bottom w:val="single" w:sz="4" w:color="999999"/>
              <w:right w:val="single" w:sz="4" w:color="999999"/>
            </w:tcBorders>
          </w:tcPr>
          <w:p>
            <w:pPr>
              <w:jc w:val="center"/>
            </w:pPr>
            <w:r/>
            <w:r>
              <w:rPr>
                <w:b w:val="0"/>
                <w:i w:val="0"/>
                <w:sz w:val="18"/>
              </w:rPr>
              <w:t>0</w:t>
            </w:r>
          </w:p>
        </w:tc>
      </w:tr>
      <w:tr>
        <w:tc>
          <w:tcPr>
            <w:tcW w:type="dxa" w:w="1700"/>
            <w:tcBorders>
              <w:top w:val="single" w:sz="4" w:color="999999"/>
              <w:left w:val="single" w:sz="4" w:color="999999"/>
              <w:bottom w:val="single" w:sz="4" w:color="999999"/>
              <w:right w:val="single" w:sz="4" w:color="999999"/>
            </w:tcBorders>
          </w:tcPr>
          <w:p>
            <w:pPr>
              <w:jc w:val="center"/>
            </w:pPr>
            <w:r/>
            <w:r>
              <w:rPr>
                <w:b/>
                <w:i w:val="0"/>
                <w:sz w:val="18"/>
              </w:rPr>
              <w:t>hc2</w:t>
            </w:r>
          </w:p>
        </w:tc>
        <w:tc>
          <w:tcPr>
            <w:tcW w:type="dxa" w:w="1700"/>
            <w:tcBorders>
              <w:top w:val="single" w:sz="4" w:color="999999"/>
              <w:left w:val="single" w:sz="4" w:color="999999"/>
              <w:bottom w:val="single" w:sz="4" w:color="999999"/>
              <w:right w:val="single" w:sz="4" w:color="999999"/>
            </w:tcBorders>
          </w:tcPr>
          <w:p>
            <w:pPr>
              <w:jc w:val="left"/>
            </w:pPr>
            <w:r/>
            <w:r>
              <w:rPr>
                <w:b w:val="0"/>
                <w:i/>
                <w:sz w:val="18"/>
              </w:rPr>
              <w:t>random restarts</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-1,734,246</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-1,256,302</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-4,670,050</w:t>
            </w:r>
          </w:p>
        </w:tc>
        <w:tc>
          <w:tcPr>
            <w:tcW w:type="dxa" w:w="1700"/>
            <w:tcBorders>
              <w:top w:val="single" w:sz="4" w:color="999999"/>
              <w:left w:val="single" w:sz="4" w:color="999999"/>
              <w:bottom w:val="single" w:sz="4" w:color="999999"/>
              <w:right w:val="single" w:sz="4" w:color="999999"/>
            </w:tcBorders>
          </w:tcPr>
          <w:p>
            <w:pPr>
              <w:jc w:val="center"/>
            </w:pPr>
            <w:r/>
            <w:r>
              <w:rPr>
                <w:b w:val="0"/>
                <w:i w:val="0"/>
                <w:sz w:val="18"/>
              </w:rPr>
              <w:t>3</w:t>
            </w:r>
          </w:p>
        </w:tc>
      </w:tr>
      <w:tr>
        <w:tc>
          <w:tcPr>
            <w:tcW w:type="dxa" w:w="1700"/>
            <w:tcBorders>
              <w:top w:val="single" w:sz="4" w:color="999999"/>
              <w:left w:val="single" w:sz="4" w:color="999999"/>
              <w:bottom w:val="single" w:sz="4" w:color="999999"/>
              <w:right w:val="single" w:sz="4" w:color="999999"/>
            </w:tcBorders>
          </w:tcPr>
          <w:p>
            <w:pPr>
              <w:jc w:val="center"/>
            </w:pPr>
            <w:r/>
            <w:r>
              <w:rPr>
                <w:b/>
                <w:i w:val="0"/>
                <w:sz w:val="18"/>
              </w:rPr>
              <w:t>hc3</w:t>
            </w:r>
          </w:p>
        </w:tc>
        <w:tc>
          <w:tcPr>
            <w:tcW w:type="dxa" w:w="1700"/>
            <w:tcBorders>
              <w:top w:val="single" w:sz="4" w:color="999999"/>
              <w:left w:val="single" w:sz="4" w:color="999999"/>
              <w:bottom w:val="single" w:sz="4" w:color="999999"/>
              <w:right w:val="single" w:sz="4" w:color="999999"/>
            </w:tcBorders>
          </w:tcPr>
          <w:p>
            <w:pPr>
              <w:jc w:val="left"/>
            </w:pPr>
            <w:r/>
            <w:r>
              <w:rPr>
                <w:b w:val="0"/>
                <w:i/>
                <w:sz w:val="18"/>
              </w:rPr>
              <w:t>Pareto archive</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-1,683,669</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w:t>
            </w:r>
          </w:p>
        </w:tc>
        <w:tc>
          <w:tcPr>
            <w:tcW w:type="dxa" w:w="1700"/>
            <w:tcBorders>
              <w:top w:val="single" w:sz="4" w:color="999999"/>
              <w:left w:val="single" w:sz="4" w:color="999999"/>
              <w:bottom w:val="single" w:sz="4" w:color="999999"/>
              <w:right w:val="single" w:sz="4" w:color="999999"/>
            </w:tcBorders>
          </w:tcPr>
          <w:p>
            <w:pPr>
              <w:jc w:val="center"/>
            </w:pPr>
            <w:r/>
            <w:r>
              <w:rPr>
                <w:b w:val="0"/>
                <w:i w:val="0"/>
                <w:sz w:val="18"/>
              </w:rPr>
              <w:t>0</w:t>
            </w:r>
          </w:p>
        </w:tc>
      </w:tr>
      <w:tr>
        <w:tc>
          <w:tcPr>
            <w:tcW w:type="dxa" w:w="1700"/>
            <w:tcBorders>
              <w:top w:val="single" w:sz="4" w:color="999999"/>
              <w:left w:val="single" w:sz="4" w:color="999999"/>
              <w:bottom w:val="single" w:sz="4" w:color="999999"/>
              <w:right w:val="single" w:sz="4" w:color="999999"/>
            </w:tcBorders>
          </w:tcPr>
          <w:p>
            <w:pPr>
              <w:jc w:val="center"/>
            </w:pPr>
            <w:r/>
            <w:r>
              <w:rPr>
                <w:b/>
                <w:i w:val="0"/>
                <w:sz w:val="18"/>
              </w:rPr>
              <w:t>hc4</w:t>
            </w:r>
          </w:p>
        </w:tc>
        <w:tc>
          <w:tcPr>
            <w:tcW w:type="dxa" w:w="1700"/>
            <w:tcBorders>
              <w:top w:val="single" w:sz="4" w:color="999999"/>
              <w:left w:val="single" w:sz="4" w:color="999999"/>
              <w:bottom w:val="single" w:sz="4" w:color="999999"/>
              <w:right w:val="single" w:sz="4" w:color="999999"/>
            </w:tcBorders>
          </w:tcPr>
          <w:p>
            <w:pPr>
              <w:jc w:val="left"/>
            </w:pPr>
            <w:r/>
            <w:r>
              <w:rPr>
                <w:b w:val="0"/>
                <w:i/>
                <w:sz w:val="18"/>
              </w:rPr>
              <w:t>min-degree warm start</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-1,814,329</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-1,605,381</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-4,788,226</w:t>
            </w:r>
          </w:p>
        </w:tc>
        <w:tc>
          <w:tcPr>
            <w:tcW w:type="dxa" w:w="1700"/>
            <w:tcBorders>
              <w:top w:val="single" w:sz="4" w:color="999999"/>
              <w:left w:val="single" w:sz="4" w:color="999999"/>
              <w:bottom w:val="single" w:sz="4" w:color="999999"/>
              <w:right w:val="single" w:sz="4" w:color="999999"/>
            </w:tcBorders>
          </w:tcPr>
          <w:p>
            <w:pPr>
              <w:jc w:val="center"/>
            </w:pPr>
            <w:r/>
            <w:r>
              <w:rPr>
                <w:b w:val="0"/>
                <w:i w:val="0"/>
                <w:sz w:val="18"/>
              </w:rPr>
              <w:t>0</w:t>
            </w:r>
          </w:p>
        </w:tc>
      </w:tr>
      <w:tr>
        <w:tc>
          <w:tcPr>
            <w:tcW w:type="dxa" w:w="1700"/>
            <w:tcBorders>
              <w:top w:val="single" w:sz="4" w:color="999999"/>
              <w:left w:val="single" w:sz="4" w:color="999999"/>
              <w:bottom w:val="single" w:sz="4" w:color="999999"/>
              <w:right w:val="single" w:sz="4" w:color="999999"/>
            </w:tcBorders>
          </w:tcPr>
          <w:p>
            <w:pPr>
              <w:jc w:val="center"/>
            </w:pPr>
            <w:r/>
            <w:r>
              <w:rPr>
                <w:b/>
                <w:i w:val="0"/>
                <w:sz w:val="18"/>
              </w:rPr>
              <w:t>hc5</w:t>
            </w:r>
          </w:p>
        </w:tc>
        <w:tc>
          <w:tcPr>
            <w:tcW w:type="dxa" w:w="1700"/>
            <w:tcBorders>
              <w:top w:val="single" w:sz="4" w:color="999999"/>
              <w:left w:val="single" w:sz="4" w:color="999999"/>
              <w:bottom w:val="single" w:sz="4" w:color="999999"/>
              <w:right w:val="single" w:sz="4" w:color="999999"/>
            </w:tcBorders>
          </w:tcPr>
          <w:p>
            <w:pPr>
              <w:jc w:val="left"/>
            </w:pPr>
            <w:r/>
            <w:r>
              <w:rPr>
                <w:b w:val="0"/>
                <w:i/>
                <w:sz w:val="18"/>
              </w:rPr>
              <w:t>multi-operator (2/3-opt)</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-1,814,961</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-1,607,014</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-4,796,099</w:t>
            </w:r>
          </w:p>
        </w:tc>
        <w:tc>
          <w:tcPr>
            <w:tcW w:type="dxa" w:w="1700"/>
            <w:tcBorders>
              <w:top w:val="single" w:sz="4" w:color="999999"/>
              <w:left w:val="single" w:sz="4" w:color="999999"/>
              <w:bottom w:val="single" w:sz="4" w:color="999999"/>
              <w:right w:val="single" w:sz="4" w:color="999999"/>
            </w:tcBorders>
          </w:tcPr>
          <w:p>
            <w:pPr>
              <w:jc w:val="center"/>
            </w:pPr>
            <w:r/>
            <w:r>
              <w:rPr>
                <w:b w:val="0"/>
                <w:i w:val="0"/>
                <w:sz w:val="18"/>
              </w:rPr>
              <w:t>0</w:t>
            </w:r>
          </w:p>
        </w:tc>
      </w:tr>
      <w:tr>
        <w:tc>
          <w:tcPr>
            <w:tcW w:type="dxa" w:w="1700"/>
            <w:tcBorders>
              <w:top w:val="single" w:sz="4" w:color="999999"/>
              <w:left w:val="single" w:sz="4" w:color="999999"/>
              <w:bottom w:val="single" w:sz="4" w:color="999999"/>
              <w:right w:val="single" w:sz="4" w:color="999999"/>
            </w:tcBorders>
          </w:tcPr>
          <w:p>
            <w:pPr>
              <w:jc w:val="center"/>
            </w:pPr>
            <w:r/>
            <w:r>
              <w:rPr>
                <w:b/>
                <w:i w:val="0"/>
                <w:sz w:val="18"/>
              </w:rPr>
              <w:t>hc6</w:t>
            </w:r>
          </w:p>
        </w:tc>
        <w:tc>
          <w:tcPr>
            <w:tcW w:type="dxa" w:w="1700"/>
            <w:tcBorders>
              <w:top w:val="single" w:sz="4" w:color="999999"/>
              <w:left w:val="single" w:sz="4" w:color="999999"/>
              <w:bottom w:val="single" w:sz="4" w:color="999999"/>
              <w:right w:val="single" w:sz="4" w:color="999999"/>
            </w:tcBorders>
          </w:tcPr>
          <w:p>
            <w:pPr>
              <w:jc w:val="left"/>
            </w:pPr>
            <w:r/>
            <w:r>
              <w:rPr>
                <w:b w:val="0"/>
                <w:i/>
                <w:sz w:val="18"/>
              </w:rPr>
              <w:t>per-t gap-fill</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-1,814,329</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-1,600,965</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-4,778,553</w:t>
            </w:r>
          </w:p>
        </w:tc>
        <w:tc>
          <w:tcPr>
            <w:tcW w:type="dxa" w:w="1700"/>
            <w:tcBorders>
              <w:top w:val="single" w:sz="4" w:color="999999"/>
              <w:left w:val="single" w:sz="4" w:color="999999"/>
              <w:bottom w:val="single" w:sz="4" w:color="999999"/>
              <w:right w:val="single" w:sz="4" w:color="999999"/>
            </w:tcBorders>
          </w:tcPr>
          <w:p>
            <w:pPr>
              <w:jc w:val="center"/>
            </w:pPr>
            <w:r/>
            <w:r>
              <w:rPr>
                <w:b w:val="0"/>
                <w:i w:val="0"/>
                <w:sz w:val="18"/>
              </w:rPr>
              <w:t>0</w:t>
            </w:r>
          </w:p>
        </w:tc>
      </w:tr>
      <w:tr>
        <w:tc>
          <w:tcPr>
            <w:tcW w:type="dxa" w:w="1700"/>
            <w:tcBorders>
              <w:top w:val="single" w:sz="4" w:color="999999"/>
              <w:left w:val="single" w:sz="4" w:color="999999"/>
              <w:bottom w:val="single" w:sz="4" w:color="999999"/>
              <w:right w:val="single" w:sz="4" w:color="999999"/>
            </w:tcBorders>
          </w:tcPr>
          <w:p>
            <w:pPr>
              <w:jc w:val="center"/>
            </w:pPr>
            <w:r/>
            <w:r>
              <w:rPr>
                <w:b/>
                <w:i w:val="0"/>
                <w:sz w:val="18"/>
              </w:rPr>
              <w:t>hc7</w:t>
            </w:r>
          </w:p>
        </w:tc>
        <w:tc>
          <w:tcPr>
            <w:tcW w:type="dxa" w:w="1700"/>
            <w:tcBorders>
              <w:top w:val="single" w:sz="4" w:color="999999"/>
              <w:left w:val="single" w:sz="4" w:color="999999"/>
              <w:bottom w:val="single" w:sz="4" w:color="999999"/>
              <w:right w:val="single" w:sz="4" w:color="999999"/>
            </w:tcBorders>
          </w:tcPr>
          <w:p>
            <w:pPr>
              <w:jc w:val="left"/>
            </w:pPr>
            <w:r/>
            <w:r>
              <w:rPr>
                <w:b w:val="0"/>
                <w:i/>
                <w:sz w:val="18"/>
              </w:rPr>
              <w:t>K-vertex bottleneck-relocate</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-1,814,722</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-1,608,251</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-4,797,998</w:t>
            </w:r>
          </w:p>
        </w:tc>
        <w:tc>
          <w:tcPr>
            <w:tcW w:type="dxa" w:w="1700"/>
            <w:tcBorders>
              <w:top w:val="single" w:sz="4" w:color="999999"/>
              <w:left w:val="single" w:sz="4" w:color="999999"/>
              <w:bottom w:val="single" w:sz="4" w:color="999999"/>
              <w:right w:val="single" w:sz="4" w:color="999999"/>
            </w:tcBorders>
          </w:tcPr>
          <w:p>
            <w:pPr>
              <w:jc w:val="center"/>
            </w:pPr>
            <w:r/>
            <w:r>
              <w:rPr>
                <w:b w:val="0"/>
                <w:i w:val="0"/>
                <w:sz w:val="18"/>
              </w:rPr>
              <w:t>0</w:t>
            </w:r>
          </w:p>
        </w:tc>
      </w:tr>
      <w:tr>
        <w:tc>
          <w:tcPr>
            <w:tcW w:type="dxa" w:w="1700"/>
            <w:tcBorders>
              <w:top w:val="single" w:sz="4" w:color="999999"/>
              <w:left w:val="single" w:sz="4" w:color="999999"/>
              <w:bottom w:val="single" w:sz="4" w:color="999999"/>
              <w:right w:val="single" w:sz="4" w:color="999999"/>
            </w:tcBorders>
          </w:tcPr>
          <w:p>
            <w:pPr>
              <w:jc w:val="center"/>
            </w:pPr>
            <w:r/>
            <w:r>
              <w:rPr>
                <w:b/>
                <w:i w:val="0"/>
                <w:sz w:val="18"/>
              </w:rPr>
              <w:t>hc8</w:t>
            </w:r>
          </w:p>
        </w:tc>
        <w:tc>
          <w:tcPr>
            <w:tcW w:type="dxa" w:w="1700"/>
            <w:tcBorders>
              <w:top w:val="single" w:sz="4" w:color="999999"/>
              <w:left w:val="single" w:sz="4" w:color="999999"/>
              <w:bottom w:val="single" w:sz="4" w:color="999999"/>
              <w:right w:val="single" w:sz="4" w:color="999999"/>
            </w:tcBorders>
          </w:tcPr>
          <w:p>
            <w:pPr>
              <w:jc w:val="left"/>
            </w:pPr>
            <w:r/>
            <w:r>
              <w:rPr>
                <w:b w:val="0"/>
                <w:i/>
                <w:sz w:val="18"/>
              </w:rPr>
              <w:t>Late Acceptance (LAHC)</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-1,814,604</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-1,604,654</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-4,786,316</w:t>
            </w:r>
          </w:p>
        </w:tc>
        <w:tc>
          <w:tcPr>
            <w:tcW w:type="dxa" w:w="1700"/>
            <w:tcBorders>
              <w:top w:val="single" w:sz="4" w:color="999999"/>
              <w:left w:val="single" w:sz="4" w:color="999999"/>
              <w:bottom w:val="single" w:sz="4" w:color="999999"/>
              <w:right w:val="single" w:sz="4" w:color="999999"/>
            </w:tcBorders>
          </w:tcPr>
          <w:p>
            <w:pPr>
              <w:jc w:val="center"/>
            </w:pPr>
            <w:r/>
            <w:r>
              <w:rPr>
                <w:b w:val="0"/>
                <w:i w:val="0"/>
                <w:sz w:val="18"/>
              </w:rPr>
              <w:t>0</w:t>
            </w:r>
          </w:p>
        </w:tc>
      </w:tr>
      <w:tr>
        <w:tc>
          <w:tcPr>
            <w:tcW w:type="dxa" w:w="1700"/>
            <w:tcBorders>
              <w:top w:val="single" w:sz="4" w:color="999999"/>
              <w:left w:val="single" w:sz="4" w:color="999999"/>
              <w:bottom w:val="single" w:sz="4" w:color="999999"/>
              <w:right w:val="single" w:sz="4" w:color="999999"/>
            </w:tcBorders>
          </w:tcPr>
          <w:p>
            <w:pPr>
              <w:jc w:val="center"/>
            </w:pPr>
            <w:r/>
            <w:r>
              <w:rPr>
                <w:b/>
                <w:i w:val="0"/>
                <w:sz w:val="18"/>
              </w:rPr>
              <w:t>hc9</w:t>
            </w:r>
          </w:p>
        </w:tc>
        <w:tc>
          <w:tcPr>
            <w:tcW w:type="dxa" w:w="1700"/>
            <w:tcBorders>
              <w:top w:val="single" w:sz="4" w:color="999999"/>
              <w:left w:val="single" w:sz="4" w:color="999999"/>
              <w:bottom w:val="single" w:sz="4" w:color="999999"/>
              <w:right w:val="single" w:sz="4" w:color="999999"/>
            </w:tcBorders>
          </w:tcPr>
          <w:p>
            <w:pPr>
              <w:jc w:val="left"/>
            </w:pPr>
            <w:r/>
            <w:r>
              <w:rPr>
                <w:b w:val="0"/>
                <w:i/>
                <w:sz w:val="18"/>
              </w:rPr>
              <w:t>HV-improvement acceptance</w:t>
            </w:r>
          </w:p>
        </w:tc>
        <w:tc>
          <w:tcPr>
            <w:tcW w:type="dxa" w:w="1700"/>
            <w:tcBorders>
              <w:top w:val="single" w:sz="4" w:color="999999"/>
              <w:left w:val="single" w:sz="4" w:color="999999"/>
              <w:bottom w:val="single" w:sz="4" w:color="999999"/>
              <w:right w:val="single" w:sz="4" w:color="999999"/>
            </w:tcBorders>
          </w:tcPr>
          <w:p>
            <w:pPr>
              <w:jc w:val="right"/>
            </w:pPr>
            <w:r/>
            <w:r>
              <w:rPr>
                <w:b/>
                <w:i w:val="0"/>
                <w:sz w:val="18"/>
              </w:rPr>
              <w:t>-1,814,925</w:t>
            </w:r>
          </w:p>
        </w:tc>
        <w:tc>
          <w:tcPr>
            <w:tcW w:type="dxa" w:w="1700"/>
            <w:tcBorders>
              <w:top w:val="single" w:sz="4" w:color="999999"/>
              <w:left w:val="single" w:sz="4" w:color="999999"/>
              <w:bottom w:val="single" w:sz="4" w:color="999999"/>
              <w:right w:val="single" w:sz="4" w:color="999999"/>
            </w:tcBorders>
          </w:tcPr>
          <w:p>
            <w:pPr>
              <w:jc w:val="right"/>
            </w:pPr>
            <w:r/>
            <w:r>
              <w:rPr>
                <w:b/>
                <w:i w:val="0"/>
                <w:sz w:val="18"/>
              </w:rPr>
              <w:t>-1,607,963</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-4,793,573</w:t>
            </w:r>
          </w:p>
        </w:tc>
        <w:tc>
          <w:tcPr>
            <w:tcW w:type="dxa" w:w="1700"/>
            <w:tcBorders>
              <w:top w:val="single" w:sz="4" w:color="999999"/>
              <w:left w:val="single" w:sz="4" w:color="999999"/>
              <w:bottom w:val="single" w:sz="4" w:color="999999"/>
              <w:right w:val="single" w:sz="4" w:color="999999"/>
            </w:tcBorders>
          </w:tcPr>
          <w:p>
            <w:pPr>
              <w:jc w:val="center"/>
            </w:pPr>
            <w:r>
              <w:t>10</w:t>
            </w:r>
            <w:r>
              <w:rPr>
                <w:b/>
                <w:i w:val="0"/>
                <w:sz w:val="18"/>
              </w:rPr>
            </w:r>
          </w:p>
        </w:tc>
      </w:tr>
      <w:tr>
        <w:tc>
          <w:tcPr>
            <w:tcW w:type="dxa" w:w="1700"/>
            <w:tcBorders>
              <w:top w:val="single" w:sz="4" w:color="999999"/>
              <w:left w:val="single" w:sz="4" w:color="999999"/>
              <w:bottom w:val="single" w:sz="4" w:color="999999"/>
              <w:right w:val="single" w:sz="4" w:color="999999"/>
            </w:tcBorders>
          </w:tcPr>
          <w:p>
            <w:pPr>
              <w:jc w:val="center"/>
            </w:pPr>
            <w:r/>
            <w:r>
              <w:rPr>
                <w:b/>
                <w:i w:val="0"/>
                <w:sz w:val="18"/>
              </w:rPr>
              <w:t>hc10</w:t>
            </w:r>
          </w:p>
        </w:tc>
        <w:tc>
          <w:tcPr>
            <w:tcW w:type="dxa" w:w="1700"/>
            <w:tcBorders>
              <w:top w:val="single" w:sz="4" w:color="999999"/>
              <w:left w:val="single" w:sz="4" w:color="999999"/>
              <w:bottom w:val="single" w:sz="4" w:color="999999"/>
              <w:right w:val="single" w:sz="4" w:color="999999"/>
            </w:tcBorders>
          </w:tcPr>
          <w:p>
            <w:pPr>
              <w:jc w:val="left"/>
            </w:pPr>
            <w:r/>
            <w:r>
              <w:rPr>
                <w:b w:val="0"/>
                <w:i/>
                <w:sz w:val="18"/>
              </w:rPr>
              <w:t>torso-aware warm start</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-1,811,842</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-1,603,546</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-4,725,645</w:t>
            </w:r>
          </w:p>
        </w:tc>
        <w:tc>
          <w:tcPr>
            <w:tcW w:type="dxa" w:w="1700"/>
            <w:tcBorders>
              <w:top w:val="single" w:sz="4" w:color="999999"/>
              <w:left w:val="single" w:sz="4" w:color="999999"/>
              <w:bottom w:val="single" w:sz="4" w:color="999999"/>
              <w:right w:val="single" w:sz="4" w:color="999999"/>
            </w:tcBorders>
          </w:tcPr>
          <w:p>
            <w:pPr>
              <w:jc w:val="center"/>
            </w:pPr>
            <w:r>
              <w:t>1</w:t>
            </w:r>
            <w:r>
              <w:rPr>
                <w:b w:val="0"/>
                <w:i w:val="0"/>
                <w:sz w:val="18"/>
              </w:rPr>
            </w:r>
          </w:p>
        </w:tc>
      </w:tr>
      <w:tr>
        <w:tc>
          <w:tcPr>
            <w:tcW w:type="dxa" w:w="1700"/>
            <w:tcBorders>
              <w:top w:val="single" w:sz="4" w:color="999999"/>
              <w:left w:val="single" w:sz="4" w:color="999999"/>
              <w:bottom w:val="single" w:sz="4" w:color="999999"/>
              <w:right w:val="single" w:sz="4" w:color="999999"/>
            </w:tcBorders>
          </w:tcPr>
          <w:p>
            <w:pPr>
              <w:jc w:val="center"/>
            </w:pPr>
            <w:r/>
            <w:r>
              <w:rPr>
                <w:b/>
                <w:i w:val="0"/>
                <w:sz w:val="18"/>
              </w:rPr>
              <w:t>hc11</w:t>
            </w:r>
          </w:p>
        </w:tc>
        <w:tc>
          <w:tcPr>
            <w:tcW w:type="dxa" w:w="1700"/>
            <w:tcBorders>
              <w:top w:val="single" w:sz="4" w:color="999999"/>
              <w:left w:val="single" w:sz="4" w:color="999999"/>
              <w:bottom w:val="single" w:sz="4" w:color="999999"/>
              <w:right w:val="single" w:sz="4" w:color="999999"/>
            </w:tcBorders>
          </w:tcPr>
          <w:p>
            <w:pPr>
              <w:jc w:val="left"/>
            </w:pPr>
            <w:r/>
            <w:r>
              <w:rPr>
                <w:b w:val="0"/>
                <w:i/>
                <w:sz w:val="18"/>
              </w:rPr>
              <w:t>Iterated Local Search</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-1,814,911</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-1,607,892</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-4,799,384</w:t>
            </w:r>
          </w:p>
        </w:tc>
        <w:tc>
          <w:tcPr>
            <w:tcW w:type="dxa" w:w="1700"/>
            <w:tcBorders>
              <w:top w:val="single" w:sz="4" w:color="999999"/>
              <w:left w:val="single" w:sz="4" w:color="999999"/>
              <w:bottom w:val="single" w:sz="4" w:color="999999"/>
              <w:right w:val="single" w:sz="4" w:color="999999"/>
            </w:tcBorders>
          </w:tcPr>
          <w:p>
            <w:pPr>
              <w:jc w:val="center"/>
            </w:pPr>
            <w:r/>
            <w:r>
              <w:rPr>
                <w:b w:val="0"/>
                <w:i w:val="0"/>
                <w:sz w:val="18"/>
              </w:rPr>
              <w:t>0</w:t>
            </w:r>
          </w:p>
        </w:tc>
      </w:tr>
      <w:tr>
        <w:tc>
          <w:tcPr>
            <w:tcW w:type="dxa" w:w="1700"/>
            <w:tcBorders>
              <w:top w:val="single" w:sz="4" w:color="999999"/>
              <w:left w:val="single" w:sz="4" w:color="999999"/>
              <w:bottom w:val="single" w:sz="4" w:color="999999"/>
              <w:right w:val="single" w:sz="4" w:color="999999"/>
            </w:tcBorders>
          </w:tcPr>
          <w:p>
            <w:pPr>
              <w:jc w:val="center"/>
            </w:pPr>
            <w:r/>
            <w:r>
              <w:rPr>
                <w:b/>
                <w:i w:val="0"/>
                <w:sz w:val="18"/>
              </w:rPr>
              <w:t>hc12</w:t>
            </w:r>
          </w:p>
        </w:tc>
        <w:tc>
          <w:tcPr>
            <w:tcW w:type="dxa" w:w="1700"/>
            <w:tcBorders>
              <w:top w:val="single" w:sz="4" w:color="999999"/>
              <w:left w:val="single" w:sz="4" w:color="999999"/>
              <w:bottom w:val="single" w:sz="4" w:color="999999"/>
              <w:right w:val="single" w:sz="4" w:color="999999"/>
            </w:tcBorders>
          </w:tcPr>
          <w:p>
            <w:pPr>
              <w:jc w:val="left"/>
            </w:pPr>
            <w:r/>
            <w:r>
              <w:rPr>
                <w:b w:val="0"/>
                <w:i/>
                <w:sz w:val="18"/>
              </w:rPr>
              <w:t>incremental evaluator</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-1,814,515</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-1,603,494</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-4,788,920</w:t>
            </w:r>
          </w:p>
        </w:tc>
        <w:tc>
          <w:tcPr>
            <w:tcW w:type="dxa" w:w="1700"/>
            <w:tcBorders>
              <w:top w:val="single" w:sz="4" w:color="999999"/>
              <w:left w:val="single" w:sz="4" w:color="999999"/>
              <w:bottom w:val="single" w:sz="4" w:color="999999"/>
              <w:right w:val="single" w:sz="4" w:color="999999"/>
            </w:tcBorders>
          </w:tcPr>
          <w:p>
            <w:pPr>
              <w:jc w:val="center"/>
            </w:pPr>
            <w:r>
              <w:t>6</w:t>
            </w:r>
            <w:r>
              <w:rPr>
                <w:b w:val="0"/>
                <w:i w:val="0"/>
                <w:sz w:val="18"/>
              </w:rPr>
            </w:r>
          </w:p>
        </w:tc>
      </w:tr>
      <w:tr>
        <w:tc>
          <w:tcPr>
            <w:tcW w:type="dxa" w:w="1700"/>
            <w:tcBorders>
              <w:top w:val="single" w:sz="4" w:color="999999"/>
              <w:left w:val="single" w:sz="4" w:color="999999"/>
              <w:bottom w:val="single" w:sz="4" w:color="999999"/>
              <w:right w:val="single" w:sz="4" w:color="999999"/>
            </w:tcBorders>
          </w:tcPr>
          <w:p>
            <w:pPr>
              <w:jc w:val="center"/>
            </w:pPr>
            <w:r/>
            <w:r>
              <w:rPr>
                <w:b/>
                <w:i w:val="0"/>
                <w:sz w:val="18"/>
              </w:rPr>
              <w:t>hc13</w:t>
            </w:r>
          </w:p>
        </w:tc>
        <w:tc>
          <w:tcPr>
            <w:tcW w:type="dxa" w:w="1700"/>
            <w:tcBorders>
              <w:top w:val="single" w:sz="4" w:color="999999"/>
              <w:left w:val="single" w:sz="4" w:color="999999"/>
              <w:bottom w:val="single" w:sz="4" w:color="999999"/>
              <w:right w:val="single" w:sz="4" w:color="999999"/>
            </w:tcBorders>
          </w:tcPr>
          <w:p>
            <w:pPr>
              <w:jc w:val="left"/>
            </w:pPr>
            <w:r/>
            <w:r>
              <w:rPr>
                <w:b w:val="0"/>
                <w:i/>
                <w:sz w:val="18"/>
              </w:rPr>
              <w:t>Tabu Search</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-1,814,547</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-1,609,194</w:t>
            </w:r>
          </w:p>
        </w:tc>
        <w:tc>
          <w:tcPr>
            <w:tcW w:type="dxa" w:w="1700"/>
            <w:tcBorders>
              <w:top w:val="single" w:sz="4" w:color="999999"/>
              <w:left w:val="single" w:sz="4" w:color="999999"/>
              <w:bottom w:val="single" w:sz="4" w:color="999999"/>
              <w:right w:val="single" w:sz="4" w:color="999999"/>
            </w:tcBorders>
          </w:tcPr>
          <w:p>
            <w:pPr>
              <w:jc w:val="right"/>
            </w:pPr>
            <w:r/>
            <w:r>
              <w:rPr>
                <w:b/>
                <w:i w:val="0"/>
                <w:sz w:val="18"/>
              </w:rPr>
              <w:t>-4,800,196</w:t>
            </w:r>
          </w:p>
        </w:tc>
        <w:tc>
          <w:tcPr>
            <w:tcW w:type="dxa" w:w="1700"/>
            <w:tcBorders>
              <w:top w:val="single" w:sz="4" w:color="999999"/>
              <w:left w:val="single" w:sz="4" w:color="999999"/>
              <w:bottom w:val="single" w:sz="4" w:color="999999"/>
              <w:right w:val="single" w:sz="4" w:color="999999"/>
            </w:tcBorders>
          </w:tcPr>
          <w:p>
            <w:pPr>
              <w:jc w:val="center"/>
            </w:pPr>
            <w:r/>
            <w:r>
              <w:rPr>
                <w:b w:val="0"/>
                <w:i w:val="0"/>
                <w:sz w:val="18"/>
              </w:rPr>
              <w:t>0</w:t>
            </w:r>
          </w:p>
        </w:tc>
      </w:tr>
      <w:tr>
        <w:tc>
          <w:tcPr>
            <w:tcW w:type="dxa" w:w="1700"/>
            <w:tcBorders>
              <w:top w:val="single" w:sz="4" w:color="999999"/>
              <w:left w:val="single" w:sz="4" w:color="999999"/>
              <w:bottom w:val="single" w:sz="4" w:color="999999"/>
              <w:right w:val="single" w:sz="4" w:color="999999"/>
            </w:tcBorders>
          </w:tcPr>
          <w:p>
            <w:pPr>
              <w:jc w:val="center"/>
            </w:pPr>
            <w:r/>
            <w:r>
              <w:rPr>
                <w:b/>
                <w:i w:val="0"/>
                <w:sz w:val="18"/>
              </w:rPr>
              <w:t>hc14</w:t>
            </w:r>
          </w:p>
        </w:tc>
        <w:tc>
          <w:tcPr>
            <w:tcW w:type="dxa" w:w="1700"/>
            <w:tcBorders>
              <w:top w:val="single" w:sz="4" w:color="999999"/>
              <w:left w:val="single" w:sz="4" w:color="999999"/>
              <w:bottom w:val="single" w:sz="4" w:color="999999"/>
              <w:right w:val="single" w:sz="4" w:color="999999"/>
            </w:tcBorders>
          </w:tcPr>
          <w:p>
            <w:pPr>
              <w:jc w:val="left"/>
            </w:pPr>
            <w:r/>
            <w:r>
              <w:rPr>
                <w:b w:val="0"/>
                <w:i/>
                <w:sz w:val="18"/>
              </w:rPr>
              <w:t>stochastic steepest-ascent</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-1,814,518</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-1,603,500</w:t>
            </w:r>
          </w:p>
        </w:tc>
        <w:tc>
          <w:tcPr>
            <w:tcW w:type="dxa" w:w="1700"/>
            <w:tcBorders>
              <w:top w:val="single" w:sz="4" w:color="999999"/>
              <w:left w:val="single" w:sz="4" w:color="999999"/>
              <w:bottom w:val="single" w:sz="4" w:color="999999"/>
              <w:right w:val="single" w:sz="4" w:color="999999"/>
            </w:tcBorders>
          </w:tcPr>
          <w:p>
            <w:pPr>
              <w:jc w:val="right"/>
            </w:pPr>
            <w:r/>
            <w:r>
              <w:rPr>
                <w:b w:val="0"/>
                <w:i w:val="0"/>
                <w:sz w:val="18"/>
              </w:rPr>
              <w:t>-4,779,874</w:t>
            </w:r>
          </w:p>
        </w:tc>
        <w:tc>
          <w:tcPr>
            <w:tcW w:type="dxa" w:w="1700"/>
            <w:tcBorders>
              <w:top w:val="single" w:sz="4" w:color="999999"/>
              <w:left w:val="single" w:sz="4" w:color="999999"/>
              <w:bottom w:val="single" w:sz="4" w:color="999999"/>
              <w:right w:val="single" w:sz="4" w:color="999999"/>
            </w:tcBorders>
          </w:tcPr>
          <w:p>
            <w:pPr>
              <w:jc w:val="center"/>
            </w:pPr>
            <w:r/>
            <w:r>
              <w:rPr>
                <w:b w:val="0"/>
                <w:i w:val="0"/>
                <w:sz w:val="18"/>
              </w:rPr>
              <w:t>—</w:t>
            </w:r>
          </w:p>
        </w:tc>
      </w:tr>
      <w:tr>
        <w:tc>
          <w:tcPr>
            <w:tcW w:type="dxa" w:w="1700"/>
            <w:shd w:val="clear" w:color="auto" w:fill="E8E8E8"/>
            <w:tcBorders>
              <w:top w:val="single" w:sz="4" w:color="999999"/>
              <w:left w:val="single" w:sz="4" w:color="999999"/>
              <w:bottom w:val="single" w:sz="4" w:color="999999"/>
              <w:right w:val="single" w:sz="4" w:color="999999"/>
            </w:tcBorders>
          </w:tcPr>
          <w:p>
            <w:pPr>
              <w:jc w:val="center"/>
            </w:pPr>
            <w:r/>
            <w:r>
              <w:rPr>
                <w:b/>
                <w:i/>
                <w:sz w:val="18"/>
              </w:rPr>
              <w:t>—</w:t>
            </w:r>
          </w:p>
        </w:tc>
        <w:tc>
          <w:tcPr>
            <w:tcW w:type="dxa" w:w="1700"/>
            <w:shd w:val="clear" w:color="auto" w:fill="E8E8E8"/>
            <w:tcBorders>
              <w:top w:val="single" w:sz="4" w:color="999999"/>
              <w:left w:val="single" w:sz="4" w:color="999999"/>
              <w:bottom w:val="single" w:sz="4" w:color="999999"/>
              <w:right w:val="single" w:sz="4" w:color="999999"/>
            </w:tcBorders>
          </w:tcPr>
          <w:p>
            <w:pPr>
              <w:jc w:val="left"/>
            </w:pPr>
            <w:r/>
            <w:r>
              <w:rPr>
                <w:b/>
                <w:i/>
                <w:sz w:val="18"/>
              </w:rPr>
              <w:t>Leaderboard top</w:t>
            </w:r>
          </w:p>
        </w:tc>
        <w:tc>
          <w:tcPr>
            <w:tcW w:type="dxa" w:w="1700"/>
            <w:shd w:val="clear" w:color="auto" w:fill="E8E8E8"/>
            <w:tcBorders>
              <w:top w:val="single" w:sz="4" w:color="999999"/>
              <w:left w:val="single" w:sz="4" w:color="999999"/>
              <w:bottom w:val="single" w:sz="4" w:color="999999"/>
              <w:right w:val="single" w:sz="4" w:color="999999"/>
            </w:tcBorders>
          </w:tcPr>
          <w:p>
            <w:pPr>
              <w:jc w:val="right"/>
            </w:pPr>
            <w:r/>
            <w:r>
              <w:rPr>
                <w:b/>
                <w:i/>
                <w:sz w:val="18"/>
              </w:rPr>
              <w:t>-1,829,919</w:t>
            </w:r>
          </w:p>
        </w:tc>
        <w:tc>
          <w:tcPr>
            <w:tcW w:type="dxa" w:w="1700"/>
            <w:shd w:val="clear" w:color="auto" w:fill="E8E8E8"/>
            <w:tcBorders>
              <w:top w:val="single" w:sz="4" w:color="999999"/>
              <w:left w:val="single" w:sz="4" w:color="999999"/>
              <w:bottom w:val="single" w:sz="4" w:color="999999"/>
              <w:right w:val="single" w:sz="4" w:color="999999"/>
            </w:tcBorders>
          </w:tcPr>
          <w:p>
            <w:pPr>
              <w:jc w:val="right"/>
            </w:pPr>
            <w:r/>
            <w:r>
              <w:rPr>
                <w:b/>
                <w:i/>
                <w:sz w:val="18"/>
              </w:rPr>
              <w:t>-1,745,122</w:t>
            </w:r>
          </w:p>
        </w:tc>
        <w:tc>
          <w:tcPr>
            <w:tcW w:type="dxa" w:w="1700"/>
            <w:shd w:val="clear" w:color="auto" w:fill="E8E8E8"/>
            <w:tcBorders>
              <w:top w:val="single" w:sz="4" w:color="999999"/>
              <w:left w:val="single" w:sz="4" w:color="999999"/>
              <w:bottom w:val="single" w:sz="4" w:color="999999"/>
              <w:right w:val="single" w:sz="4" w:color="999999"/>
            </w:tcBorders>
          </w:tcPr>
          <w:p>
            <w:pPr>
              <w:jc w:val="right"/>
            </w:pPr>
            <w:r/>
            <w:r>
              <w:rPr>
                <w:b/>
                <w:i/>
                <w:sz w:val="18"/>
              </w:rPr>
              <w:t>-5,493,062</w:t>
            </w:r>
          </w:p>
        </w:tc>
        <w:tc>
          <w:tcPr>
            <w:tcW w:type="dxa" w:w="1700"/>
            <w:shd w:val="clear" w:color="auto" w:fill="E8E8E8"/>
            <w:tcBorders>
              <w:top w:val="single" w:sz="4" w:color="999999"/>
              <w:left w:val="single" w:sz="4" w:color="999999"/>
              <w:bottom w:val="single" w:sz="4" w:color="999999"/>
              <w:right w:val="single" w:sz="4" w:color="999999"/>
            </w:tcBorders>
          </w:tcPr>
          <w:p>
            <w:pPr>
              <w:jc w:val="center"/>
            </w:pPr>
            <w:r/>
            <w:r>
              <w:rPr>
                <w:b w:val="0"/>
                <w:i/>
                <w:sz w:val="18"/>
              </w:rPr>
              <w:t>—</w:t>
            </w:r>
          </w:p>
        </w:tc>
      </w:tr>
    </w:tbl>
    <w:p>
      <w:pPr>
        <w:spacing w:before="40" w:after="160"/>
        <w:jc w:val="both"/>
      </w:pPr>
      <w:r>
        <w:rPr>
          <w:i/>
          <w:sz w:val="18"/>
        </w:rPr>
        <w:t>Table 1. Master results table: official hypervolume scores (−HV; lower is better) for each of the 14 Hill-Climbing variants on the three official instances, plus the number of wins by per-cell mean over 3 seeds on the 20-instance synthetic Erdős–Rényi benchmark. The best score in each column is in bold; the shaded bottom row gives the public leaderboard top for the same column. "—" means: hc3 on medium and large does not reach a feasible point within the 1-s budget from a random initialisation, and hc14 is not run on the synthetic benchmark. (Leaderboard tops as observed in May 2026.)</w:t>
      </w:r>
    </w:p>
    <w:p>
      <w:pPr>
        <w:spacing w:before="80" w:after="20"/>
      </w:pPr>
      <w:r>
        <w:rPr>
          <w:b/>
          <w:sz w:val="24"/>
        </w:rPr>
        <w:t>5. Discussion</w:t>
      </w:r>
    </w:p>
    <w:p>
      <w:pPr>
        <w:spacing w:after="40"/>
        <w:ind w:firstLine="283"/>
        <w:jc w:val="both"/>
      </w:pPr>
      <w:r>
        <w:rPr>
          <w:sz w:val="21"/>
        </w:rPr>
        <w:t>Comparing the best Hill-Climbing result against the shaded leaderboard row at the bottom of Table 1, the fraction of leaderboard hypervolume recovered falls from 99.18 % on small (hc5, gap = 14,958) to 92.21 % on medium (hc13, gap = 135,928) to 87.39 % on large (hc13, gap = 692,866). The trend is consistent with the public leaderboard tops on denser instances having been produced by exact or near-exact treewidth solvers, the state of the art for which has advanced markedly in recent years (Tamaki, 2022, 2023), on parallel hardware, rather than by single-thread local search of the kind studied here. Two further checks corroborate this reading. First, taking the non-dominated union of all fourteen variants’ archived points, a portfolio (virtual-best) submission that is valid because the hypervolume score depends only on the point set, not on which run produced each point, lifts the recovered fraction to 99.19 % on small, 92.33 % on medium and 87.75 % on large, gains of 138, 2,147 and 19,749 hypervolume units that grow with density because different variants own different threshold regions of the front. Second, an independent minor-min-width treewidth lower bound (Bodlaender and Koster, 2011) equals the best achieved full-graph (t = 0) elimination width on the dense instance (499 = 499, the active width cap) while remaining loose on the sparser ones, confirming that the residual large-instance gap is structural: no elimination ordering can decompose the full graph below the cap, rather than a budget artifact of single-thread search.</w:t>
      </w:r>
    </w:p>
    <w:p>
      <w:pPr>
        <w:spacing w:after="40"/>
        <w:ind w:firstLine="283"/>
        <w:jc w:val="both"/>
      </w:pPr>
      <w:r>
        <w:rPr>
          <w:sz w:val="21"/>
        </w:rPr>
        <w:t>Reading down the columns of Table 1, the largest single jump on every instance is the min-degree warm start (hc4); from hc4 onward all subsequent variants stay within ≈ 0.2 % of that warm-start ceiling. On small the operator-rich variant hc5 takes the seed-42 win and on medium Tabu Search (hc13) does, with hypervolume-improvement acceptance (hc9) within 36 units of the small-instance best and the most reliable variant across seeds and the synthetic grid; on large four variants, hc13, hc11, hc7 and hc5, cluster within 4,097 hypervolume units, with Tabu Search (hc13) winning the seed-42 head-to-head. The same pattern appears on the synthetic benchmark, where hc9 wins 10 of 20 cells by mean score (the sparse to mid-density cells), the incremental evaluator hc12 wins 6 (the higher-density and larger cells, where moves-per-second is the binding constraint), the per-t torso-aware warm start hc10 wins 1 (the sparsest n = 500 cell), and the random-restart baseline hc2 takes the remaining 3.</w:t>
      </w:r>
    </w:p>
    <w:p>
      <w:pPr>
        <w:spacing w:after="40"/>
        <w:ind w:firstLine="283"/>
        <w:jc w:val="both"/>
      </w:pPr>
      <w:r>
        <w:rPr>
          <w:sz w:val="21"/>
        </w:rPr>
        <w:t>The three remaining cells, (n, avg deg) = (750, 35), (1000, 18) and (1000, 35), have treewidth above the 500-width hard cap, so no elimination ordering is feasible for any variant. Every warm-start variant therefore enters the loop with an over-width permutation and, finding no in-cap point within the one-second budget, returns the deterministic over-width fallback (width 501) via the shared core.ensure_seeded path. All variants tie here; hc2 takes the nominal win on the lexicographic tiebreak. (Earlier code raised an exception on these cells; fixed 29 May 2026.)</w:t>
      </w:r>
    </w:p>
    <w:p>
      <w:pPr>
        <w:spacing w:before="80" w:after="40"/>
        <w:jc w:val="center"/>
      </w:pPr>
      <w:r>
        <w:drawing>
          <wp:inline xmlns:a="http://schemas.openxmlformats.org/drawingml/2006/main" xmlns:pic="http://schemas.openxmlformats.org/drawingml/2006/picture">
            <wp:extent cx="2520000" cy="1386000"/>
            <wp:docPr id="1" name="Picture 1"/>
            <wp:cNvGraphicFramePr>
              <a:graphicFrameLocks noChangeAspect="1"/>
            </wp:cNvGraphicFramePr>
            <a:graphic>
              <a:graphicData uri="http://schemas.openxmlformats.org/drawingml/2006/picture">
                <pic:pic>
                  <pic:nvPicPr>
                    <pic:cNvPr id="0" name="convergence_large_inline.png"/>
                    <pic:cNvPicPr/>
                  </pic:nvPicPr>
                  <pic:blipFill>
                    <a:blip r:embed="rId9"/>
                    <a:stretch>
                      <a:fillRect/>
                    </a:stretch>
                  </pic:blipFill>
                  <pic:spPr>
                    <a:xfrm>
                      <a:off x="0" y="0"/>
                      <a:ext cx="2520000" cy="1386000"/>
                    </a:xfrm>
                    <a:prstGeom prst="rect"/>
                  </pic:spPr>
                </pic:pic>
              </a:graphicData>
            </a:graphic>
          </wp:inline>
        </w:drawing>
      </w:r>
    </w:p>
    <w:p>
      <w:pPr>
        <w:spacing w:before="40" w:after="160"/>
        <w:jc w:val="both"/>
      </w:pPr>
      <w:r>
        <w:rPr>
          <w:i/>
          <w:sz w:val="18"/>
        </w:rPr>
        <w:t>Figure 1. Archive-hypervolume vs wall time on large-graph (seed = 42, 25-s budget).</w:t>
      </w:r>
    </w:p>
    <w:p>
      <w:pPr>
        <w:spacing w:after="40"/>
        <w:ind w:firstLine="283"/>
        <w:jc w:val="both"/>
      </w:pPr>
      <w:r>
        <w:rPr>
          <w:sz w:val="21"/>
        </w:rPr>
        <w:t>Multi-seed runs over seeds {42, 1, …, 11} for {hc5, hc9, hc11, hc14} on all three official instances (144 runs) give two-sided exact Wilcoxon signed-rank p ≤ 5 × 10⁻⁴ for hc9 vs each of hc5, hc11, hc14 on small and medium (hc9 sample standard deviations σ = 1,701 / 4,393 / 2,650 on small / medium / large). On large hc9 (mean −4,794,047) ties hc5 and hc11 (p = 0.23) but still beats hc14 (p ≤ 5 × 10⁻⁴). A fifteenth variant, hc15, formed by running hc9’s hypervolume-improvement acceptance on hc12’s incremental evaluator, was evaluated on the same twelve seeds: it attains the best mean of the headline group on small (−1,814,872) and medium (−1,609,238) and beats hc9 head-to-head on 7 of 11 and 8 of 11 seeds respectively, but the margin is within the seed-to-seed spread and the difference from hc9 is not significant (exact Wilcoxon two-sided p = 0.18 on small, 0.15 on medium); hc9 therefore remains the significance-backed sparse-instance headline, with hc15 a promising but not-yet-significant refinement indicating that the acceptance rule, not the evaluator, carries the result. On the synthetic benchmark Friedman strongly rejects the equal-rank null (χ² = 112.99, df = 12, p &lt; 10⁻¹⁸); by Nemenyi at α = 0.05 (CD = 4.08; Demšar, 2006), hc9 (mean rank 2.73) is significantly better than hc1, hc2, hc3, hc4, hc6 and hc8, but not significantly better than hc5, hc7, hc10, hc11, hc12 or hc13. A Holm-corrected pairwise Wilcoxon post-hoc (Demšar, 2006) with hc9 as control sharpens the per-instance reading: hc9 significantly outperforms hc5, hc11 and hc14 on both small and medium (Holm-adjusted p ≤ 0.014), is statistically indistinguishable from hc15 on every instance (Holm p ≥ 0.15), and on the dense instance is itself significantly beaten by hc5 (Holm p = 0.004) even as it still beats hc14: the same density crossover the single-seed scoreboard shows. Figure 1 illustrates the three distinct convergence shapes: hc9 grows smoothly, hc11 advances in step-like jumps after each perturbation, and hc7 plateaus then jumps when the coordinated K-vertex move relocates a bottleneck cluster.</w:t>
      </w:r>
    </w:p>
    <w:p>
      <w:pPr>
        <w:spacing w:before="80" w:after="20"/>
      </w:pPr>
      <w:r>
        <w:rPr>
          <w:b/>
          <w:sz w:val="24"/>
        </w:rPr>
        <w:t>6. Conclusion</w:t>
      </w:r>
    </w:p>
    <w:p>
      <w:pPr>
        <w:spacing w:after="40"/>
        <w:ind w:firstLine="283"/>
        <w:jc w:val="both"/>
      </w:pPr>
      <w:r>
        <w:rPr>
          <w:sz w:val="21"/>
        </w:rPr>
        <w:t>Across 42 official, 780 synthetic and 180 multi-seed runs (1,002 in total), the two design choices that determine performance are the acceptance rule on sparse and mid-density instances and the operator set on dense instances. The sparse-versus-dense split is reproducible across seeds and is explained by a single structural variable, graph density. Combining the variants’ archives into a single non-dominated portfolio recovers more hypervolume than any individual variant on every instance (up to 99.19 / 92.33 / 87.75 % of the leaderboard tops), so the variants are complementary rather than redundant. The fifteen variants and their results provide a controlled baseline for the planned follow-up chapters on Simulated Annealing, NSGA-II and hypervolume-driven evolutionary search, which will need to match the dense-instance performance obtained here by structural moves while preserving the sparse-instance performance obtained by hypervolume acceptance. The source code, the saved submissions and the correctness suite that re-evaluates every reported number will be released in a public repository upon publication of this paper.</w:t>
      </w:r>
    </w:p>
    <w:p>
      <w:pPr>
        <w:spacing w:before="160"/>
        <w:jc w:val="both"/>
      </w:pPr>
      <w:r>
        <w:rPr>
          <w:b/>
          <w:sz w:val="20"/>
        </w:rPr>
        <w:t xml:space="preserve">Keywords: </w:t>
      </w:r>
      <w:r>
        <w:rPr>
          <w:i/>
          <w:sz w:val="20"/>
        </w:rPr>
        <w:t>bi-objective optimisation; torso decomposition; Hill Climbing; elimination ordering; chordal completion; treewidth; hypervolume indicator; Pareto archive; local search; combinatorial optimisation; 3-opt; tabu search</w:t>
      </w:r>
    </w:p>
    <w:p>
      <w:pPr>
        <w:spacing w:before="80" w:after="20"/>
      </w:pPr>
      <w:r>
        <w:rPr>
          <w:b/>
          <w:sz w:val="24"/>
        </w:rPr>
        <w:t>References</w:t>
      </w:r>
    </w:p>
    <w:p>
      <w:pPr>
        <w:spacing w:after="0" w:line="228" w:lineRule="auto"/>
        <w:ind w:left="283" w:hanging="283"/>
        <w:jc w:val="both"/>
      </w:pPr>
      <w:r>
        <w:rPr>
          <w:sz w:val="14"/>
        </w:rPr>
        <w:t>[1] Beume, N., Naujoks, B. and Emmerich, M. (2007). SMS-EMOA: Multiobjective selection based on dominated hypervolume. European Journal of Operational Research, 181(3), 1653–1669.</w:t>
      </w:r>
    </w:p>
    <w:p>
      <w:pPr>
        <w:spacing w:after="0" w:line="228" w:lineRule="auto"/>
        <w:ind w:left="283" w:hanging="283"/>
        <w:jc w:val="both"/>
      </w:pPr>
      <w:r>
        <w:rPr>
          <w:sz w:val="14"/>
        </w:rPr>
        <w:t>[2] Bodlaender, H. L. (1994). A tourist guide through treewidth. Acta Cybernetica, 11(1–2), 1–21.</w:t>
      </w:r>
    </w:p>
    <w:p>
      <w:pPr>
        <w:spacing w:after="0" w:line="228" w:lineRule="auto"/>
        <w:ind w:left="283" w:hanging="283"/>
        <w:jc w:val="both"/>
      </w:pPr>
      <w:r>
        <w:rPr>
          <w:sz w:val="14"/>
        </w:rPr>
        <w:t>[3] Bodlaender, H. L. and Koster, A. M. C. A. (2011). Treewidth computations II. Lower bounds. Information and Computation, 209(7), 1103–1119.</w:t>
      </w:r>
    </w:p>
    <w:p>
      <w:pPr>
        <w:spacing w:after="0" w:line="228" w:lineRule="auto"/>
        <w:ind w:left="283" w:hanging="283"/>
        <w:jc w:val="both"/>
      </w:pPr>
      <w:r>
        <w:rPr>
          <w:sz w:val="14"/>
        </w:rPr>
        <w:t>[4] Bringmann, K., Friedrich, T. and Klitzke, P. (2014). Generic postprocessing via subset selection for hypervolume and epsilon-indicator. In: Proc. PPSN XIII, LNCS 8672, pp. 518–527. Springer.</w:t>
      </w:r>
    </w:p>
    <w:p>
      <w:pPr>
        <w:spacing w:after="0" w:line="228" w:lineRule="auto"/>
        <w:ind w:left="283" w:hanging="283"/>
        <w:jc w:val="both"/>
      </w:pPr>
      <w:r>
        <w:rPr>
          <w:sz w:val="14"/>
        </w:rPr>
        <w:t>[5] Burke, E. K. and Bykov, Y. (2017). The late acceptance Hill-Climbing heuristic. European Journal of Operational Research, 258(1), 70–78.</w:t>
      </w:r>
    </w:p>
    <w:p>
      <w:pPr>
        <w:spacing w:after="0" w:line="228" w:lineRule="auto"/>
        <w:ind w:left="283" w:hanging="283"/>
        <w:jc w:val="both"/>
      </w:pPr>
      <w:r>
        <w:rPr>
          <w:sz w:val="14"/>
        </w:rPr>
        <w:t>[6] Demšar, J. (2006). Statistical comparisons of classifiers over multiple data sets. Journal of Machine Learning Research, 7, 1–30.</w:t>
      </w:r>
    </w:p>
    <w:p>
      <w:pPr>
        <w:spacing w:after="0" w:line="228" w:lineRule="auto"/>
        <w:ind w:left="283" w:hanging="283"/>
        <w:jc w:val="both"/>
      </w:pPr>
      <w:r>
        <w:rPr>
          <w:sz w:val="14"/>
        </w:rPr>
        <w:t>[7] Diestel, R. (2017). Graph Theory (5th ed.), Chapter 12: Minors, Trees and WQO. Springer.</w:t>
      </w:r>
    </w:p>
    <w:p>
      <w:pPr>
        <w:spacing w:after="0" w:line="228" w:lineRule="auto"/>
        <w:ind w:left="283" w:hanging="283"/>
        <w:jc w:val="both"/>
      </w:pPr>
      <w:r>
        <w:rPr>
          <w:sz w:val="14"/>
        </w:rPr>
        <w:t>[8] ESA Advanced Concepts Team (2024). SpOC-3 Torso Decompositions challenge. https://optimize.esa.int/challenge/spoc-3-torso-decompositions/.</w:t>
      </w:r>
    </w:p>
    <w:p>
      <w:pPr>
        <w:spacing w:after="0" w:line="228" w:lineRule="auto"/>
        <w:ind w:left="283" w:hanging="283"/>
        <w:jc w:val="both"/>
      </w:pPr>
      <w:r>
        <w:rPr>
          <w:sz w:val="14"/>
        </w:rPr>
        <w:t>[9] George, A. and Liu, J. W. H. (1989). The evolution of the minimum degree ordering algorithm. SIAM Review, 31(1), 1–19.</w:t>
      </w:r>
    </w:p>
    <w:p>
      <w:pPr>
        <w:spacing w:after="0" w:line="228" w:lineRule="auto"/>
        <w:ind w:left="283" w:hanging="283"/>
        <w:jc w:val="both"/>
      </w:pPr>
      <w:r>
        <w:rPr>
          <w:sz w:val="14"/>
        </w:rPr>
        <w:t>[10] Glover, F. (1989). Tabu Search — Part I. ORSA Journal on Computing, 1(3), 190–206.</w:t>
      </w:r>
    </w:p>
    <w:p>
      <w:pPr>
        <w:spacing w:after="0" w:line="228" w:lineRule="auto"/>
        <w:ind w:left="283" w:hanging="283"/>
        <w:jc w:val="both"/>
      </w:pPr>
      <w:r>
        <w:rPr>
          <w:sz w:val="14"/>
        </w:rPr>
        <w:t>[11] Guerreiro, A. P., Fonseca, C. M. and Paquete, L. (2021). The hypervolume indicator: Computational problems and algorithms. ACM Computing Surveys, 54(6), Article 119, 1–42.</w:t>
      </w:r>
    </w:p>
    <w:p>
      <w:pPr>
        <w:spacing w:after="0" w:line="228" w:lineRule="auto"/>
        <w:ind w:left="283" w:hanging="283"/>
        <w:jc w:val="both"/>
      </w:pPr>
      <w:r>
        <w:rPr>
          <w:sz w:val="14"/>
        </w:rPr>
        <w:t>[12] Hoos, H. H. and Stützle, T. (2004). Stochastic Local Search: Foundations and Applications. Morgan Kaufmann.</w:t>
      </w:r>
    </w:p>
    <w:p>
      <w:pPr>
        <w:spacing w:after="0" w:line="228" w:lineRule="auto"/>
        <w:ind w:left="283" w:hanging="283"/>
        <w:jc w:val="both"/>
      </w:pPr>
      <w:r>
        <w:rPr>
          <w:sz w:val="14"/>
        </w:rPr>
        <w:t>[13] Lin, S. (1965). Computer solutions of the traveling salesman problem. Bell System Technical Journal, 44(10), 2245–2269.</w:t>
      </w:r>
    </w:p>
    <w:p>
      <w:pPr>
        <w:spacing w:after="0" w:line="228" w:lineRule="auto"/>
        <w:ind w:left="283" w:hanging="283"/>
        <w:jc w:val="both"/>
      </w:pPr>
      <w:r>
        <w:rPr>
          <w:sz w:val="14"/>
        </w:rPr>
        <w:t>[14] Lin, S. and Kernighan, B. W. (1973). An effective heuristic algorithm for the traveling-salesman problem. Operations Research, 21(2), 498–516.</w:t>
      </w:r>
    </w:p>
    <w:p>
      <w:pPr>
        <w:spacing w:after="0" w:line="228" w:lineRule="auto"/>
        <w:ind w:left="283" w:hanging="283"/>
        <w:jc w:val="both"/>
      </w:pPr>
      <w:r>
        <w:rPr>
          <w:sz w:val="14"/>
        </w:rPr>
        <w:t>[15] Lourenço, H. R., Martin, O. C. and Stützle, T. (2003). Iterated Local Search. In: Handbook of Metaheuristics, F. Glover and G. A. Kochenberger (eds.), pp. 320–353. Kluwer.</w:t>
      </w:r>
    </w:p>
    <w:p>
      <w:pPr>
        <w:spacing w:after="0" w:line="228" w:lineRule="auto"/>
        <w:ind w:left="283" w:hanging="283"/>
        <w:jc w:val="both"/>
      </w:pPr>
      <w:r>
        <w:rPr>
          <w:sz w:val="14"/>
        </w:rPr>
        <w:t>[16] Parter, S. (1961). The use of linear graphs in Gauss elimination. SIAM Review, 3(2), 119–130.</w:t>
      </w:r>
    </w:p>
    <w:p>
      <w:pPr>
        <w:spacing w:after="0" w:line="228" w:lineRule="auto"/>
        <w:ind w:left="283" w:hanging="283"/>
        <w:jc w:val="both"/>
      </w:pPr>
      <w:r>
        <w:rPr>
          <w:sz w:val="14"/>
        </w:rPr>
        <w:t>[17] Robertson, N. and Seymour, P. D. (1986). Graph minors. II. Algorithmic aspects of tree-width. Journal of Algorithms, 7(3), 309–322.</w:t>
      </w:r>
    </w:p>
    <w:p>
      <w:pPr>
        <w:spacing w:after="0" w:line="228" w:lineRule="auto"/>
        <w:ind w:left="283" w:hanging="283"/>
        <w:jc w:val="both"/>
      </w:pPr>
      <w:r>
        <w:rPr>
          <w:sz w:val="14"/>
        </w:rPr>
        <w:t>[18] Rose, D. J. (1972). A graph-theoretic study of the numerical solution of sparse positive definite systems of linear equations. In: Graph Theory and Computing, R. C. Read (ed.), pp. 183–217. Academic Press.</w:t>
      </w:r>
    </w:p>
    <w:p>
      <w:pPr>
        <w:spacing w:after="0" w:line="228" w:lineRule="auto"/>
        <w:ind w:left="283" w:hanging="283"/>
        <w:jc w:val="both"/>
      </w:pPr>
      <w:r>
        <w:rPr>
          <w:sz w:val="14"/>
        </w:rPr>
        <w:t>[19] Shang, K., Ishibuchi, H., He, L. and Pang, L. M. (2021). A survey on the hypervolume indicator in evolutionary multiobjective optimization. IEEE Transactions on Evolutionary Computation, 25(1), 1–20.</w:t>
      </w:r>
    </w:p>
    <w:p>
      <w:pPr>
        <w:spacing w:after="0" w:line="228" w:lineRule="auto"/>
        <w:ind w:left="283" w:hanging="283"/>
        <w:jc w:val="both"/>
      </w:pPr>
      <w:r>
        <w:rPr>
          <w:sz w:val="14"/>
        </w:rPr>
        <w:t>[20] Tamaki, H. (2022). Heuristic computation of exact treewidth. In: Proc. 20th International Symposium on Experimental Algorithms (SEA 2022), LIPIcs vol. 233, Article 17. Schloss Dagstuhl.</w:t>
      </w:r>
    </w:p>
    <w:p>
      <w:pPr>
        <w:spacing w:after="0" w:line="228" w:lineRule="auto"/>
        <w:ind w:left="283" w:hanging="283"/>
        <w:jc w:val="both"/>
      </w:pPr>
      <w:r>
        <w:rPr>
          <w:sz w:val="14"/>
        </w:rPr>
        <w:t>[21] Tamaki, H. (2023). A contraction-recursive algorithm for treewidth. In: Proc. 18th International Symposium on Parameterized and Exact Computation (IPEC 2023), LIPIcs vol. 285, Article 34. Schloss Dagstuhl.</w:t>
      </w:r>
    </w:p>
    <w:p>
      <w:pPr>
        <w:spacing w:after="0" w:line="228" w:lineRule="auto"/>
        <w:ind w:left="283" w:hanging="283"/>
        <w:jc w:val="both"/>
      </w:pPr>
      <w:r>
        <w:rPr>
          <w:sz w:val="14"/>
        </w:rPr>
        <w:t>[22] Zitzler, E. and Künzli, S. (2004). Indicator-based selection in multiobjective search. In: Proc. PPSN VIII, LNCS 3242, pp. 832–842. Springer.</w:t>
      </w:r>
    </w:p>
    <w:p>
      <w:pPr>
        <w:spacing w:after="0" w:line="228" w:lineRule="auto"/>
        <w:ind w:left="283" w:hanging="283"/>
        <w:jc w:val="both"/>
      </w:pPr>
      <w:r>
        <w:rPr>
          <w:sz w:val="14"/>
        </w:rPr>
        <w:t>[23] Zitzler, E. and Thiele, L. (1999). Multiobjective evolutionary algorithms: A comparative case study and the strength Pareto approach. IEEE Transactions on Evolutionary Computation, 3(4), 257–271.</w:t>
      </w:r>
    </w:p>
    <w:sectPr w:rsidR="00FC693F" w:rsidRPr="0006063C" w:rsidSect="00034616">
      <w:pgSz w:w="12240" w:h="15840"/>
      <w:pgMar w:top="850" w:right="1020"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
  <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