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Relationships xmlns="http://schemas.openxmlformats.org/package/2006/relationships">
  <Relationship Id="rId3" Type="http://schemas.openxmlformats.org/package/2006/relationships/metadata/core-properties" Target="docProps/core.xml"/>
  <Relationship Id="rId4" Type="http://schemas.openxmlformats.org/officeDocument/2006/relationships/extended-properties" Target="docProps/app.xml"/>
  <Relationship Id="rId1" Type="http://schemas.openxmlformats.org/officeDocument/2006/relationships/officeDocument" Target="word/document.xml"/>
  <Relationship Id="rId2" Type="http://schemas.openxmlformats.org/package/2006/relationships/metadata/thumbnail" Target="docProps/thumbnail.jpeg"/>
</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i/>
          <w:sz w:val="18"/>
        </w:rPr>
        <w:t>Konferenca Alb-Shkenca, Shtator 2026</w:t>
      </w:r>
    </w:p>
    <w:p>
      <w:pPr>
        <w:spacing w:after="80"/>
        <w:jc w:val="center"/>
      </w:pPr>
      <w:r>
        <w:rPr>
          <w:b/>
          <w:sz w:val="26"/>
        </w:rPr>
        <w:t>Optimizimi me dy objektiva i strukturave të grafeve përmes dekompozimit dhe rikombinimit të njëkohshëm: Studim krahasues i pesëmbëdhjetë varianteve të Hill-Climbing</w:t>
      </w:r>
    </w:p>
    <w:p>
      <w:pPr>
        <w:spacing w:after="40"/>
        <w:jc w:val="center"/>
      </w:pPr>
      <w:r>
        <w:rPr>
          <w:b/>
          <w:sz w:val="22"/>
        </w:rPr>
        <w:t>MSc. Ass. Adrian Ymeri</w:t>
      </w:r>
    </w:p>
    <w:p>
      <w:pPr>
        <w:spacing w:after="40"/>
        <w:jc w:val="center"/>
      </w:pPr>
      <w:r>
        <w:rPr>
          <w:i/>
          <w:sz w:val="20"/>
        </w:rPr>
        <w:t>Departamenti i Inxhinierisë Kompjuterike, Fakulteti i Inxhinierisë Elektrike dhe Kompjuterike, Universiteti i Prishtinës "Hasan Prishtina", Prishtinë, Kosovë</w:t>
      </w:r>
    </w:p>
    <w:p>
      <w:pPr>
        <w:spacing w:after="200"/>
        <w:jc w:val="center"/>
      </w:pPr>
      <w:r>
        <w:rPr>
          <w:sz w:val="20"/>
        </w:rPr>
        <w:t>adrian.ymeri@uni-pr.edu</w:t>
      </w:r>
    </w:p>
    <w:p>
      <w:pPr>
        <w:spacing w:after="20"/>
        <w:ind w:left="227" w:right="227"/>
        <w:jc w:val="both"/>
      </w:pPr>
      <w:r>
        <w:rPr>
          <w:b/>
          <w:i/>
          <w:sz w:val="18"/>
        </w:rPr>
        <w:t xml:space="preserve">Abstrakt. </w:t>
      </w:r>
      <w:r>
        <w:rPr>
          <w:sz w:val="18"/>
        </w:rPr>
        <w:t>Problemi i dekompozimit të torsove, i parashtruar si sfida e optimizimit SpOC-3 e ESA-s (ESA Advanced Concepts Team, 2024), kërkon një renditje eliminimi të kulmeve π dhe një prag t që së bashku ekspozojnë një tors të madh me gjerësi të vogël (nëngrafin e mbetur) në një graf të padrejtuar G = (V, E); e studiojmë formën e tij me dy objektiva, të lidhur me plotësimin akordor dhe gjerësinë e pemës (treewidth), mbi konstruksionin standard të torsit nga teoria strukturore e grafeve (Robertson dhe Seymour, 1986; Diestel, 2017). Torsi Γ(π, t) është grafi i induktuar mbi |V| − t kulmet e renditura të fundit, i plotësuar me brinjët plotësuese të krijuara kur π[0], …, π[t − 1] eliminohen me radhë. Dy objektivat e minimizuara janë gjerësia e eliminimit w(π, t) dhe pragu t; meqë torsi ruan |V| − t kulme, minimizimi i t maksimizon madhësinë e torsit, duke e balancuar atë kundër gjerësisë nën kufirin e fortë w(π, t) ≤ 500. Një zgjidhje është bashkësi e fundme vektorësh vendimi {(π_k, t_k)}, e vlerësuar me hipervolumin dy-dimensional të nën-bashkësisë jo-të-dominuar të pikave (w, t) ndaj referencës (|V|, |V|): indikatori standard në vlerësimin multi-objektiv.</w:t>
      </w:r>
    </w:p>
    <w:p>
      <w:pPr>
        <w:spacing w:after="20"/>
        <w:ind w:left="227" w:right="227"/>
        <w:jc w:val="both"/>
      </w:pPr>
      <w:r>
        <w:rPr>
          <w:sz w:val="18"/>
        </w:rPr>
        <w:t>Paraqesim një studim krahasues të kontrolluar të pesëmbëdhjetë varianteve njëtrajektoresh të Hill-Climbing (hc1–hc15) që mbulojnë taksonominë klasike të kërkimit lokal, duke ndryshuar nga një faktor në një kohë: rregullin e pranimit (dominim Pareto, përmirësim i hipervolumit, më-i-mirë-i-K stokastik), fillimin e ngrohtë (i rastësishëm, min-degree, torso-i vetëdijshëm), katalogun e operatorëve (këmbim, zhvendosje, përmbysje segmenti, 2-opt, 3-opt, mbushje boshllëku për-t, zhvendosje e koordinuar K-kulme me ngarkesë), strategjinë e kontrollit të kërkimit (rinisje të rastësishme, Late Acceptance, Iterated Local Search, Tabu Search) dhe motorin e vlerësimit (rivlerësim i plotë kundër vlerësim inkremental me bitset). Varianti i fundit, hc15, ndërton qëllimisht dy zgjedhjet individuale më të forta, rregullin e pranimit me përmirësim të hipervolumit të hc9 mbi vlerësuesin inkremental me bitset të hc12, për të testuar nëse përfitimet e tyre kombinohen. Të gjitha variantet ndajnë një funksion të vetëm fitness-i, një rutinë të vetme hipervolumi, të njëjtën farë dhe të njëjtin buxhet kohë muri për-instancë (25 / 12 / 25 s në instancat zyrtare small / medium / large; 1 s në çdo instancë sintetike), kështu që dallimet e raportuara në pikë janë të atribuueshme zgjedhjeve algoritmike.</w:t>
      </w:r>
    </w:p>
    <w:p>
      <w:pPr>
        <w:spacing w:after="20"/>
        <w:ind w:left="227" w:right="227"/>
        <w:jc w:val="both"/>
      </w:pPr>
      <w:r>
        <w:rPr>
          <w:sz w:val="18"/>
        </w:rPr>
        <w:t>Në tri instancat zyrtare të benchmark-ut, small (|V| = 1,357, shkallë mesatare 3.4), medium (|V| = 1,399, shkallë mesatare 19.7) dhe large (|V| = 2,426, shkallë mesatare 209.3, tashmë mbi kufirin 500 të gjerësisë), rezultatet më të mira me një farë në të dyja instancat më të rralla vijnë nga variantet e pasura me operatorë dhe me pranim të orientuar nga hipervolumi: hc5 arrin −1,814,961 në small (99.18 % e majës publike të leaderboard-it) dhe Tabu Search (hc13) arrin −1,609,194 në medium (92.21 %), ndërsa pranimi me përmirësim të hipervolumit (hc9) qëndron brenda 36 njësive nga maja në small (−1,814,925, 99.18 %) dhe −1,607,963 në medium (92.14 %). Në instancën e dendur large, Tabu Search (hc13) merr drejtimin me −4,800,196 (87.39 %), pak më përpara hc11, hc7 dhe hc5, që grumbullohen brenda 4,097 njësive të hipervolumit. I njëjti model qëndron edhe në rrjetën sintetike Erdős–Rényi me 20 instanca (13 × 20 × 3 = 780 ekzekutime të kontrolluara): hc9 fiton 10 qeliza, hc12 gjashtë, hc2 tri dhe hc10 një. Rezultatet shtrihen përgjatë një boshti dendësie: pranimi i hipervolumit dominon në dendësi të ulët, lëvizjet strukturore në dendësi të lartë, dhe i njëjti variabël parashikon edhe madhësinë e hendekut ndaj majës së leaderboard-it.</w:t>
      </w:r>
    </w:p>
    <w:p>
      <w:pPr>
        <w:spacing w:after="20"/>
        <w:ind w:left="227" w:right="227"/>
        <w:jc w:val="both"/>
      </w:pPr>
      <w:r>
        <w:rPr>
          <w:sz w:val="18"/>
        </w:rPr>
        <w:t>Përtej renditjes kryesore dalin tri gjetje metodologjike. Late Acceptance (hc8), Iterated Local Search (hc11) dhe Tabu Search (hc13) arrijnë vetëm barazi me ngjitësin me operatorë të pasur (hc5): në mjedisin multi-objektiv, arkivi Pareto tashmë prodhon diversitetin që këto mekanizma arratisjeje synojnë ta ofrojnë, kështu që numëruesit e tyre karakteristikë nuk aktivizohen kurrë: një rezultat nul i riprodhueshëm. Përkundrazi, lëvizjet strukturore të vetëdijshme për problemin ndihmojnë: operatori i zhvendosjes së koordinuar K-kulmëshe (hc7) është fituesi i vërtetë në instancën e dendur, ku barazimet shumëkahëshe te gjerësia maksimale nuk thyhen dot nga asnjë lëvizje njëkulmëshe. Vlerësuesi inkremental me bitset (hc12) riprodhon hipervolumin e hc5 me 1.7–5.4× xhiron e iteracioneve, dhe më-i-miri-i-parë stokastik (hc5) e tejkalon më-i-mirin-absolut (hc14) kur vlerësuesi është pengesa kryesore.</w:t>
      </w:r>
    </w:p>
    <w:p>
      <w:pPr>
        <w:spacing w:after="20"/>
        <w:ind w:left="227" w:right="227"/>
        <w:jc w:val="both"/>
      </w:pPr>
      <w:r>
        <w:rPr>
          <w:sz w:val="18"/>
        </w:rPr>
        <w:t>Rëndësia statistikore vlerësohet me një test Friedman mbi trembëdhjetë variantet e bazuara në arkiv (χ² = 112.99, p &lt; 10⁻¹⁸) dhe një krahasim pasues Nemenyi me diferencë kritike 4.08 (Demšar, 2006). Një varg dymbëdhjetë-farash konfirmon se pranimi me përmirësim të hipervolumit mbetet zgjedhja më e besueshme në instancat e rralla. Një variant i pesëmbëdhjetë, hc15, që ekzekuton rregullin e pranimit të hc9 mbi vlerësuesin inkremental të hc12, arrin mesataren më të mirë në small dhe medium dhe e mund hc9 në shumicën e farave, por marzhi qëndron brenda shpërndarjes farë-për-farë dhe dallimi nuk është statistikisht i rëndësishëm (Wilcoxon dykahësh p = 0.18 dhe 0.15); pra hc9 mbetet kryefjala e mbështetur me rëndësi, ndërsa hc15 mbetet përmirësim premtues por ende-jo-i-rëndësishëm: provë se rregulli i pranimit, e jo motori i vlerësimit, e bart rezultatin.</w:t>
      </w:r>
    </w:p>
    <w:p>
      <w:pPr>
        <w:spacing w:before="80" w:after="20"/>
      </w:pPr>
      <w:r>
        <w:rPr>
          <w:b/>
          <w:sz w:val="24"/>
        </w:rPr>
        <w:t>1. Hyrje</w:t>
      </w:r>
    </w:p>
    <w:p>
      <w:pPr>
        <w:spacing w:after="40"/>
        <w:ind w:firstLine="283"/>
        <w:jc w:val="both"/>
      </w:pPr>
      <w:r>
        <w:rPr>
          <w:sz w:val="20"/>
        </w:rPr>
        <w:t>Dekompozimi i torsove është një ndërtim teorik i grafeve nga seritë Graph Minors të Robertson dhe Seymour (Robertson dhe Seymour, 1986; Diestel, 2017, Kap. 12); e studiojmë këtu si problem optimizimi me dy objektiva, duke u mbështetur në plotësimin akordor përmes renditjeve të eliminimit të kulmeve (Parter, 1961; Rose, 1972), gjerësinë e pemës (Bodlaender, 1994), dhe indikatorin e hipervolumit si funksion vlerësimi (Zitzler dhe Thiele, 1999; Beume, Naujoks dhe Emmerich, 2007). Varianti i studiuar këtu e trajton dekompozimin si problem Pareto-optimizimi: në vend që të fiksohet gjerësia dhe të maksimizohet torsi (njëlloj, të minimizohet bashkësia e eliminuar), algoritmi kërkohet të ekspozojë të gjithë kurbën e këmbimeve dhe vlerësohet sipas sipërfaqes që ai dominon.</w:t>
      </w:r>
    </w:p>
    <w:p>
      <w:pPr>
        <w:spacing w:after="40"/>
        <w:ind w:firstLine="283"/>
        <w:jc w:val="both"/>
      </w:pPr>
      <w:r>
        <w:rPr>
          <w:sz w:val="20"/>
        </w:rPr>
        <w:t>Ky formulim ka tri pasoja algoritmike. Së pari, lëvizjet anësore (ato që ruajnë të dyja objektivat) e zgjerojnë sipërfaqen e dominuar dhe janë të dobishme megjithëse nuk ndryshojnë asnjë objektiv veç e veç. Së dyti, rregulli i pranimit bëhet zgjedhje dizajni e rangut të parë, e jo një detaj konvergjence; një nga pyetjet e këtij studimi është nëse rregulli i pranimit duhet të pasqyrojë indikatorin e scorimit. Së treti, kufiri i fortë w(π, t) ≤ 500 e bën të pamundur një pjesë jo-trivial të lëvizjeve, gjë që ndërvepron me strategjinë e fillimit-të-ngrohtë dhe me operatorët e perturbimit.</w:t>
      </w:r>
    </w:p>
    <w:p>
      <w:pPr>
        <w:spacing w:after="40"/>
        <w:ind w:firstLine="283"/>
        <w:jc w:val="both"/>
      </w:pPr>
      <w:r>
        <w:rPr>
          <w:sz w:val="20"/>
        </w:rPr>
        <w:t>Kontributi i këtij punimi është empirik dhe metodologjik. Implementojmë pesëmbëdhjetë variante të Hill-Climbing nën një funksion fitness-i të përbashkët dhe një rutinë të përbashkët hipervolumi (Guerreiro, Fonseca dhe Paquete, 2021; Shang, Ishibuchi, He dhe Pang, 2021), ekzekutojmë një tabelë kanonike prej katërmbëdhjetë variantesh në tri instanca zyrtare dhe në një rrjetë sintetike prej 20 instancash Erdős–Rényi që mbulon pesë madhësi dhe katër dendësi, dhe shtojmë një variant të pesëmbëdhjetë, të kombinuar, të vlerësuar mbi instancat zyrtare dhe mbi një varg robustësie me dymbëdhjetë fara. Raportojmë tabelën e plotë të rezultateve 14 × 3 + 13 × 20 së bashku me një diskutim se cilat zgjedhje dizajni shpërblehen në cilin regjim. Puna vendos linjat bazë të kërkimit lokal që kapitujt vijues mbi Simulated Annealing, NSGA-II dhe kërkimin evolucionar të drejtuar nga hipervolumi do të duhet t'i tejkalojnë.</w:t>
      </w:r>
    </w:p>
    <w:p>
      <w:pPr>
        <w:spacing w:before="80" w:after="20"/>
      </w:pPr>
      <w:r>
        <w:rPr>
          <w:b/>
          <w:sz w:val="24"/>
        </w:rPr>
        <w:t>2. Formulimi i problemit</w:t>
      </w:r>
    </w:p>
    <w:p>
      <w:pPr>
        <w:spacing w:after="40"/>
        <w:ind w:firstLine="283"/>
        <w:jc w:val="both"/>
      </w:pPr>
      <w:r>
        <w:rPr>
          <w:sz w:val="20"/>
        </w:rPr>
        <w:t>Le të jetë G = (V, E) një graf i thjeshtë i padrejtuar me n = |V| kulme dhe π : {0, … , n − 1} → V një ndërrim i V (një renditje eliminimi, ku π[0] eliminohet i pari). Për një prag të plotë t ∈ {0, … , n − 1}, vendosim S(π, t) = {π[0], … , π[t − 1]} dhe T(π, t) = V \ S(π, t). Termi torso është marrë nga seritë Graph Minors të Robertson dhe Seymour (Diestel 2017, Kap. 12). Në mënyrë operacionale, Γ(π, t) është grafi mbi T që merret me ndërtimin elimination-game: përpunoji π[0], … , π[t − 1] me radhë; në çdo hap fshihet kulmi aktual u dhe shtohet një klikë mbi fqinjët e tij që janë ende të pranishëm (brinjët plotësuese të plotësimit akordor të prefiksit). Grafi rezultues i kufizuar në T është Γ(π, t); ekuivalentisht, ai është torsi i kupës T në dekompozimin e pemës të nënkuptuar nga renditja e eliminimit.</w:t>
      </w:r>
    </w:p>
    <w:p>
      <w:pPr>
        <w:spacing w:after="40"/>
        <w:ind w:firstLine="283"/>
        <w:jc w:val="both"/>
      </w:pPr>
      <w:r>
        <w:rPr>
          <w:sz w:val="20"/>
        </w:rPr>
        <w:t>Dy objektivat e minimizuara janë gjerësia e eliminimit f₁(π, t) = w(π, t) = max{deg_i(π[i]) : i = t, … , n − 1}, ku deg_i(v) është shkalla e v në grafin e eliminimit të ndërtuar dinamikisht në hapin i, dhe pragu f₂(π, t) = t, numri i kulmeve të eliminuara. Meqë torsi ruan |T| = n − t kulme, minimizimi i t maksimizon madhësinë e torsit, kështu që çifti (w, t) realizon qëllimin e sfidës: një tors të madh me gjerësi të vogël. Madhësia w(π, t) është një më pak se klika më e madhe e gjeneruar gjatë eliminimit të prapashtesës π[t : n]; për një renditje të plotë (t = 0) ajo është gjerësia e eliminimit e π dhe plotëson tw(G) ≤ w(π), me barazi në renditjen optimale (Parter 1961; Rose 1972; Bodlaender 1994). Kushti i fizibilitetit, specifik për SpOC-3 (ESA Advanced Concepts Team, 2024), është një kufi i fortë mbi shkallën në çdo hap eliminimi: max_{0 ≤ i ≤ n−1} deg_i(π[i]) ≤ 500 (kufiri aktivizohet edhe në kokë edhe në prapashtesë; çdo (π, t) që e shkel kthen pikën sentinel (501, t)). Një paraqitje është bashkësi e fundme vektorësh vendimi {(π_k, t_k)}_{k = 1}^{K}; secili jep një pikë të fizibilitueshme (f₁(π_k, t_k), f₂(π_k, t_k)) ∈ {0, … , n}², dhe pika publike është hipervolumi dy-dimensional i negativuar (Zitzler dhe Thiele 1999) i nën-bashkësisë jo-të-dominuar të këtyre pikave ndaj pikës referuese R = (n, n), kështu që −HV më e ulët është më e mirë.</w:t>
      </w:r>
    </w:p>
    <w:p>
      <w:pPr>
        <w:spacing w:before="80" w:after="20"/>
      </w:pPr>
      <w:r>
        <w:rPr>
          <w:b/>
          <w:sz w:val="24"/>
        </w:rPr>
        <w:t>3. Metoda: pesëmbëdhjetë variante të Hill-Climbing</w:t>
      </w:r>
    </w:p>
    <w:p>
      <w:pPr>
        <w:spacing w:after="40"/>
        <w:ind w:firstLine="283"/>
        <w:jc w:val="both"/>
      </w:pPr>
      <w:r>
        <w:rPr>
          <w:sz w:val="20"/>
        </w:rPr>
        <w:t>Pesëmbëdhjetë variantet janë organizuar në pesë familje që izolojnë nga një bosht algoritmik secila. Të pesëmbëdhjetë ndajnë vetinë përcaktuese të kërkimit lokal me një trajektore: një zgjidhje të vetme aktuale, lëvizje në fqinjësi, dhe asnjë popullatë, rikombinim apo orar ftohjeje, gjë që pikërisht i pranon Late Acceptance (hc8), Iterated Local Search (hc11) dhe Tabu Search (hc13) si të afërm të Hill-Climbing, ndërsa përjashton metodat e bazuara në popullatë (NSGA-II, SMS-EMOA) dhe Simulated Annealing, të shtyra për kapitujt e mëvonshëm. Familja 1 (rregulli i pranimit) përmban hc1 (zbritje me dominim Pareto, linja bazë minimale), hc2 (rinisje të rastësishme të hc1), hc9 (prano vetëm nëse kandidati e rrit rreptësisht hipervolumin e arkivit: rregulli i pranimit i bazuar në indikator i IBEA / SMS-EMOA i përshtatur për një trajektore të vetme; Zitzler dhe Künzli, 2004; Beume, Naujoks dhe Emmerich, 2007), dhe hc14 (më-i-mirë-stokastik: në çdo hap merren në mostër K = 16 fqinjë dhe pranohet më i miri nëse e përmirëson rreptësisht; Hoos dhe Stützle, 2004). Familja 2 (arkivi) përmban hc3, që mban një arkiv eksplicit Pareto dhe raporton një nën-bashkësi top-K të tipit HSSP (Bringmann, Friedrich dhe Klitzke, 2014). Familja 3 (fillimi i ngrohtë) përmban hc4 (renditje eliminimi me min-degree, heuristika klasike e matricave të rralla e përshkruar nga George dhe Liu, 1989) dhe hc10 (fillim i ngrohtë torso-i vetëdijshëm për-t që rillogarit ndërtimin për çdo prag të mundshëm).</w:t>
      </w:r>
    </w:p>
    <w:p>
      <w:pPr>
        <w:spacing w:after="40"/>
        <w:ind w:firstLine="283"/>
        <w:jc w:val="both"/>
      </w:pPr>
      <w:r>
        <w:rPr>
          <w:sz w:val="20"/>
        </w:rPr>
        <w:t>Familja 4 (katalogu i operatorëve) përmban hc5 (kërkim lokal multi-operator që përdor këmbim, zhvendosje, përmbysje segmenti, 2-opt dhe 3-opt; Lin, 1965; Lin dhe Kernighan, 1973), hc6 (mbushje boshllëku për-t që targeton pragun fyt-të-ngushtë), dhe hc7 (zhvendosje e koordinuar K-kulme ku K merret në mostër uniforme nga {2, …, |barazimet|} në fyt-të-ngushtin aktual). Familja 5 (kontrolli i kërkimit) përmban hc8 (Late Acceptance Hill Climbing me gjatësi liste L = max(100, ⌊n/5⌋); Burke dhe Bykov, 2017), hc11 (Iterated Local Search me dritare ngecjeje K_stag = 500 dhe fuqi perturbimi s = 5; Lourenço, Martin dhe Stützle, 2003), hc12 (vlerësues inkremental me bitset që rivlerëson vetëm prapashtesën e ndryshuar) dhe hc13 (Tabu Search me atribut çifti kulmesh, kohëzgjatje τ = ⌊√n⌋, aspirim me zgjerim arkivi; Glover, 1989). Operatori 3-opt aktivizohet në hc5, hc8–hc11, hc13 dhe hc14; variantet e tjera (hc6, hc7 dhe hc12) e mbajnë qëllimisht grupin para-3-opt që boshti i tyre të jetë i vetmi dallim nga hc5. Një variant i pesëmbëdhjetë, hc15, qëndron në kryqëzimin e Familjes 1 dhe Familjes 5: ai ekzekuton rregullin e pranimit me përmirësim të hipervolumit të hc9 mbi vlerësuesin inkremental të hc12, me fillim të ngrohtë automatik (min-fill në instancat small/medium, min-degree në ato të dendura): një test i pastër nëse dy zgjedhjet individuale më të forta kombinohen. Të gjitha variantet ekzekutohen njëfilshëm në Python 3 + NumPy në një stacion pune të zakonshëm; buxheti i kohës-muri përfshin ndërtimin e fillimit-të-ngrohtë, dhe hc12 ekzekuton ≈ 5.4× më shumë iteracione/sekondë se vlerësuesi i plotë.</w:t>
      </w:r>
    </w:p>
    <w:p>
      <w:pPr>
        <w:spacing w:before="80" w:after="20"/>
      </w:pPr>
      <w:r>
        <w:rPr>
          <w:b/>
          <w:sz w:val="24"/>
        </w:rPr>
        <w:t>4. Rezultatet</w:t>
      </w:r>
    </w:p>
    <w:tbl>
      <w:tblPr>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9D9D9"/>
            <w:tcBorders>
              <w:top w:val="single" w:sz="4" w:color="999999"/>
              <w:left w:val="single" w:sz="4" w:color="999999"/>
              <w:bottom w:val="single" w:sz="4" w:color="999999"/>
              <w:right w:val="single" w:sz="4" w:color="999999"/>
            </w:tcBorders>
          </w:tcPr>
          <w:p>
            <w:pPr>
              <w:jc w:val="center"/>
            </w:pPr>
            <w:r/>
            <w:r>
              <w:rPr>
                <w:b/>
                <w:sz w:val="18"/>
              </w:rPr>
              <w:t>Varianti</w:t>
            </w:r>
          </w:p>
        </w:tc>
        <w:tc>
          <w:tcPr>
            <w:tcW w:type="dxa" w:w="1700"/>
            <w:shd w:val="clear" w:color="auto" w:fill="D9D9D9"/>
            <w:tcBorders>
              <w:top w:val="single" w:sz="4" w:color="999999"/>
              <w:left w:val="single" w:sz="4" w:color="999999"/>
              <w:bottom w:val="single" w:sz="4" w:color="999999"/>
              <w:right w:val="single" w:sz="4" w:color="999999"/>
            </w:tcBorders>
          </w:tcPr>
          <w:p>
            <w:pPr>
              <w:jc w:val="center"/>
            </w:pPr>
            <w:r/>
            <w:r>
              <w:rPr>
                <w:b/>
                <w:sz w:val="18"/>
              </w:rPr>
              <w:t>Përshkrimi</w:t>
            </w:r>
          </w:p>
        </w:tc>
        <w:tc>
          <w:tcPr>
            <w:tcW w:type="dxa" w:w="1700"/>
            <w:shd w:val="clear" w:color="auto" w:fill="D9D9D9"/>
            <w:tcBorders>
              <w:top w:val="single" w:sz="4" w:color="999999"/>
              <w:left w:val="single" w:sz="4" w:color="999999"/>
              <w:bottom w:val="single" w:sz="4" w:color="999999"/>
              <w:right w:val="single" w:sz="4" w:color="999999"/>
            </w:tcBorders>
          </w:tcPr>
          <w:p>
            <w:pPr>
              <w:jc w:val="center"/>
            </w:pPr>
            <w:r/>
            <w:r>
              <w:rPr>
                <w:b/>
                <w:sz w:val="18"/>
              </w:rPr>
              <w:t>Small (−HV)</w:t>
            </w:r>
          </w:p>
        </w:tc>
        <w:tc>
          <w:tcPr>
            <w:tcW w:type="dxa" w:w="1700"/>
            <w:shd w:val="clear" w:color="auto" w:fill="D9D9D9"/>
            <w:tcBorders>
              <w:top w:val="single" w:sz="4" w:color="999999"/>
              <w:left w:val="single" w:sz="4" w:color="999999"/>
              <w:bottom w:val="single" w:sz="4" w:color="999999"/>
              <w:right w:val="single" w:sz="4" w:color="999999"/>
            </w:tcBorders>
          </w:tcPr>
          <w:p>
            <w:pPr>
              <w:jc w:val="center"/>
            </w:pPr>
            <w:r/>
            <w:r>
              <w:rPr>
                <w:b/>
                <w:sz w:val="18"/>
              </w:rPr>
              <w:t>Medium (−HV)</w:t>
            </w:r>
          </w:p>
        </w:tc>
        <w:tc>
          <w:tcPr>
            <w:tcW w:type="dxa" w:w="1700"/>
            <w:shd w:val="clear" w:color="auto" w:fill="D9D9D9"/>
            <w:tcBorders>
              <w:top w:val="single" w:sz="4" w:color="999999"/>
              <w:left w:val="single" w:sz="4" w:color="999999"/>
              <w:bottom w:val="single" w:sz="4" w:color="999999"/>
              <w:right w:val="single" w:sz="4" w:color="999999"/>
            </w:tcBorders>
          </w:tcPr>
          <w:p>
            <w:pPr>
              <w:jc w:val="center"/>
            </w:pPr>
            <w:r/>
            <w:r>
              <w:rPr>
                <w:b/>
                <w:sz w:val="18"/>
              </w:rPr>
              <w:t>Large (−HV)</w:t>
            </w:r>
          </w:p>
        </w:tc>
        <w:tc>
          <w:tcPr>
            <w:tcW w:type="dxa" w:w="1700"/>
            <w:shd w:val="clear" w:color="auto" w:fill="D9D9D9"/>
            <w:tcBorders>
              <w:top w:val="single" w:sz="4" w:color="999999"/>
              <w:left w:val="single" w:sz="4" w:color="999999"/>
              <w:bottom w:val="single" w:sz="4" w:color="999999"/>
              <w:right w:val="single" w:sz="4" w:color="999999"/>
            </w:tcBorders>
          </w:tcPr>
          <w:p>
            <w:pPr>
              <w:jc w:val="center"/>
            </w:pPr>
            <w:r/>
            <w:r>
              <w:rPr>
                <w:b/>
                <w:sz w:val="18"/>
              </w:rPr>
              <w:t>Fitore sint. / 20</w:t>
            </w:r>
          </w:p>
        </w:tc>
      </w:tr>
      <w:tr>
        <w:tc>
          <w:tcPr>
            <w:tcW w:type="dxa" w:w="1700"/>
            <w:tcBorders>
              <w:top w:val="single" w:sz="4" w:color="999999"/>
              <w:left w:val="single" w:sz="4" w:color="999999"/>
              <w:bottom w:val="single" w:sz="4" w:color="999999"/>
              <w:right w:val="single" w:sz="4" w:color="999999"/>
            </w:tcBorders>
          </w:tcPr>
          <w:p>
            <w:pPr>
              <w:jc w:val="center"/>
            </w:pPr>
            <w:r/>
            <w:r>
              <w:rPr>
                <w:b/>
                <w:i w:val="0"/>
                <w:sz w:val="18"/>
              </w:rPr>
              <w:t>hc1</w:t>
            </w:r>
          </w:p>
        </w:tc>
        <w:tc>
          <w:tcPr>
            <w:tcW w:type="dxa" w:w="1700"/>
            <w:tcBorders>
              <w:top w:val="single" w:sz="4" w:color="999999"/>
              <w:left w:val="single" w:sz="4" w:color="999999"/>
              <w:bottom w:val="single" w:sz="4" w:color="999999"/>
              <w:right w:val="single" w:sz="4" w:color="999999"/>
            </w:tcBorders>
          </w:tcPr>
          <w:p>
            <w:pPr>
              <w:jc w:val="left"/>
            </w:pPr>
            <w:r/>
            <w:r>
              <w:rPr>
                <w:b w:val="0"/>
                <w:i/>
                <w:sz w:val="18"/>
              </w:rPr>
              <w:t>linja bazë fillestare</w:t>
            </w:r>
          </w:p>
        </w:tc>
        <w:tc>
          <w:tcPr>
            <w:tcW w:type="dxa" w:w="1700"/>
            <w:tcBorders>
              <w:top w:val="single" w:sz="4" w:color="999999"/>
              <w:left w:val="single" w:sz="4" w:color="999999"/>
              <w:bottom w:val="single" w:sz="4" w:color="999999"/>
              <w:right w:val="single" w:sz="4" w:color="999999"/>
            </w:tcBorders>
          </w:tcPr>
          <w:p>
            <w:pPr>
              <w:jc w:val="right"/>
            </w:pPr>
            <w:r/>
            <w:r>
              <w:rPr>
                <w:b w:val="0"/>
                <w:i w:val="0"/>
                <w:sz w:val="18"/>
              </w:rPr>
              <w:t>-256,620</w:t>
            </w:r>
          </w:p>
        </w:tc>
        <w:tc>
          <w:tcPr>
            <w:tcW w:type="dxa" w:w="1700"/>
            <w:tcBorders>
              <w:top w:val="single" w:sz="4" w:color="999999"/>
              <w:left w:val="single" w:sz="4" w:color="999999"/>
              <w:bottom w:val="single" w:sz="4" w:color="999999"/>
              <w:right w:val="single" w:sz="4" w:color="999999"/>
            </w:tcBorders>
          </w:tcPr>
          <w:p>
            <w:pPr>
              <w:jc w:val="right"/>
            </w:pPr>
            <w:r/>
            <w:r>
              <w:rPr>
                <w:b w:val="0"/>
                <w:i w:val="0"/>
                <w:sz w:val="18"/>
              </w:rPr>
              <w:t>-1,082,090</w:t>
            </w:r>
          </w:p>
        </w:tc>
        <w:tc>
          <w:tcPr>
            <w:tcW w:type="dxa" w:w="1700"/>
            <w:tcBorders>
              <w:top w:val="single" w:sz="4" w:color="999999"/>
              <w:left w:val="single" w:sz="4" w:color="999999"/>
              <w:bottom w:val="single" w:sz="4" w:color="999999"/>
              <w:right w:val="single" w:sz="4" w:color="999999"/>
            </w:tcBorders>
          </w:tcPr>
          <w:p>
            <w:pPr>
              <w:jc w:val="right"/>
            </w:pPr>
            <w:r/>
            <w:r>
              <w:rPr>
                <w:b w:val="0"/>
                <w:i w:val="0"/>
                <w:sz w:val="18"/>
              </w:rPr>
              <w:t>-4,670,050</w:t>
            </w:r>
          </w:p>
        </w:tc>
        <w:tc>
          <w:tcPr>
            <w:tcW w:type="dxa" w:w="1700"/>
            <w:tcBorders>
              <w:top w:val="single" w:sz="4" w:color="999999"/>
              <w:left w:val="single" w:sz="4" w:color="999999"/>
              <w:bottom w:val="single" w:sz="4" w:color="999999"/>
              <w:right w:val="single" w:sz="4" w:color="999999"/>
            </w:tcBorders>
          </w:tcPr>
          <w:p>
            <w:pPr>
              <w:jc w:val="center"/>
            </w:pPr>
            <w:r/>
            <w:r>
              <w:rPr>
                <w:b w:val="0"/>
                <w:i w:val="0"/>
                <w:sz w:val="18"/>
              </w:rPr>
              <w:t>0</w:t>
            </w:r>
          </w:p>
        </w:tc>
      </w:tr>
      <w:tr>
        <w:tc>
          <w:tcPr>
            <w:tcW w:type="dxa" w:w="1700"/>
            <w:tcBorders>
              <w:top w:val="single" w:sz="4" w:color="999999"/>
              <w:left w:val="single" w:sz="4" w:color="999999"/>
              <w:bottom w:val="single" w:sz="4" w:color="999999"/>
              <w:right w:val="single" w:sz="4" w:color="999999"/>
            </w:tcBorders>
          </w:tcPr>
          <w:p>
            <w:pPr>
              <w:jc w:val="center"/>
            </w:pPr>
            <w:r/>
            <w:r>
              <w:rPr>
                <w:b/>
                <w:i w:val="0"/>
                <w:sz w:val="18"/>
              </w:rPr>
              <w:t>hc2</w:t>
            </w:r>
          </w:p>
        </w:tc>
        <w:tc>
          <w:tcPr>
            <w:tcW w:type="dxa" w:w="1700"/>
            <w:tcBorders>
              <w:top w:val="single" w:sz="4" w:color="999999"/>
              <w:left w:val="single" w:sz="4" w:color="999999"/>
              <w:bottom w:val="single" w:sz="4" w:color="999999"/>
              <w:right w:val="single" w:sz="4" w:color="999999"/>
            </w:tcBorders>
          </w:tcPr>
          <w:p>
            <w:pPr>
              <w:jc w:val="left"/>
            </w:pPr>
            <w:r/>
            <w:r>
              <w:rPr>
                <w:b w:val="0"/>
                <w:i/>
                <w:sz w:val="18"/>
              </w:rPr>
              <w:t>rinisje të rastësishme</w:t>
            </w:r>
          </w:p>
        </w:tc>
        <w:tc>
          <w:tcPr>
            <w:tcW w:type="dxa" w:w="1700"/>
            <w:tcBorders>
              <w:top w:val="single" w:sz="4" w:color="999999"/>
              <w:left w:val="single" w:sz="4" w:color="999999"/>
              <w:bottom w:val="single" w:sz="4" w:color="999999"/>
              <w:right w:val="single" w:sz="4" w:color="999999"/>
            </w:tcBorders>
          </w:tcPr>
          <w:p>
            <w:pPr>
              <w:jc w:val="right"/>
            </w:pPr>
            <w:r/>
            <w:r>
              <w:rPr>
                <w:b w:val="0"/>
                <w:i w:val="0"/>
                <w:sz w:val="18"/>
              </w:rPr>
              <w:t>-1,734,246</w:t>
            </w:r>
          </w:p>
        </w:tc>
        <w:tc>
          <w:tcPr>
            <w:tcW w:type="dxa" w:w="1700"/>
            <w:tcBorders>
              <w:top w:val="single" w:sz="4" w:color="999999"/>
              <w:left w:val="single" w:sz="4" w:color="999999"/>
              <w:bottom w:val="single" w:sz="4" w:color="999999"/>
              <w:right w:val="single" w:sz="4" w:color="999999"/>
            </w:tcBorders>
          </w:tcPr>
          <w:p>
            <w:pPr>
              <w:jc w:val="right"/>
            </w:pPr>
            <w:r/>
            <w:r>
              <w:rPr>
                <w:b w:val="0"/>
                <w:i w:val="0"/>
                <w:sz w:val="18"/>
              </w:rPr>
              <w:t>-1,256,302</w:t>
            </w:r>
          </w:p>
        </w:tc>
        <w:tc>
          <w:tcPr>
            <w:tcW w:type="dxa" w:w="1700"/>
            <w:tcBorders>
              <w:top w:val="single" w:sz="4" w:color="999999"/>
              <w:left w:val="single" w:sz="4" w:color="999999"/>
              <w:bottom w:val="single" w:sz="4" w:color="999999"/>
              <w:right w:val="single" w:sz="4" w:color="999999"/>
            </w:tcBorders>
          </w:tcPr>
          <w:p>
            <w:pPr>
              <w:jc w:val="right"/>
            </w:pPr>
            <w:r/>
            <w:r>
              <w:rPr>
                <w:b w:val="0"/>
                <w:i w:val="0"/>
                <w:sz w:val="18"/>
              </w:rPr>
              <w:t>-4,670,050</w:t>
            </w:r>
          </w:p>
        </w:tc>
        <w:tc>
          <w:tcPr>
            <w:tcW w:type="dxa" w:w="1700"/>
            <w:tcBorders>
              <w:top w:val="single" w:sz="4" w:color="999999"/>
              <w:left w:val="single" w:sz="4" w:color="999999"/>
              <w:bottom w:val="single" w:sz="4" w:color="999999"/>
              <w:right w:val="single" w:sz="4" w:color="999999"/>
            </w:tcBorders>
          </w:tcPr>
          <w:p>
            <w:pPr>
              <w:jc w:val="center"/>
            </w:pPr>
            <w:r/>
            <w:r>
              <w:rPr>
                <w:b w:val="0"/>
                <w:i w:val="0"/>
                <w:sz w:val="18"/>
              </w:rPr>
              <w:t>3</w:t>
            </w:r>
          </w:p>
        </w:tc>
      </w:tr>
      <w:tr>
        <w:tc>
          <w:tcPr>
            <w:tcW w:type="dxa" w:w="1700"/>
            <w:tcBorders>
              <w:top w:val="single" w:sz="4" w:color="999999"/>
              <w:left w:val="single" w:sz="4" w:color="999999"/>
              <w:bottom w:val="single" w:sz="4" w:color="999999"/>
              <w:right w:val="single" w:sz="4" w:color="999999"/>
            </w:tcBorders>
          </w:tcPr>
          <w:p>
            <w:pPr>
              <w:jc w:val="center"/>
            </w:pPr>
            <w:r/>
            <w:r>
              <w:rPr>
                <w:b/>
                <w:i w:val="0"/>
                <w:sz w:val="18"/>
              </w:rPr>
              <w:t>hc3</w:t>
            </w:r>
          </w:p>
        </w:tc>
        <w:tc>
          <w:tcPr>
            <w:tcW w:type="dxa" w:w="1700"/>
            <w:tcBorders>
              <w:top w:val="single" w:sz="4" w:color="999999"/>
              <w:left w:val="single" w:sz="4" w:color="999999"/>
              <w:bottom w:val="single" w:sz="4" w:color="999999"/>
              <w:right w:val="single" w:sz="4" w:color="999999"/>
            </w:tcBorders>
          </w:tcPr>
          <w:p>
            <w:pPr>
              <w:jc w:val="left"/>
            </w:pPr>
            <w:r/>
            <w:r>
              <w:rPr>
                <w:b w:val="0"/>
                <w:i/>
                <w:sz w:val="18"/>
              </w:rPr>
              <w:t>arkiv Pareto</w:t>
            </w:r>
          </w:p>
        </w:tc>
        <w:tc>
          <w:tcPr>
            <w:tcW w:type="dxa" w:w="1700"/>
            <w:tcBorders>
              <w:top w:val="single" w:sz="4" w:color="999999"/>
              <w:left w:val="single" w:sz="4" w:color="999999"/>
              <w:bottom w:val="single" w:sz="4" w:color="999999"/>
              <w:right w:val="single" w:sz="4" w:color="999999"/>
            </w:tcBorders>
          </w:tcPr>
          <w:p>
            <w:pPr>
              <w:jc w:val="right"/>
            </w:pPr>
            <w:r/>
            <w:r>
              <w:rPr>
                <w:b w:val="0"/>
                <w:i w:val="0"/>
                <w:sz w:val="18"/>
              </w:rPr>
              <w:t>-1,683,669</w:t>
            </w:r>
          </w:p>
        </w:tc>
        <w:tc>
          <w:tcPr>
            <w:tcW w:type="dxa" w:w="1700"/>
            <w:tcBorders>
              <w:top w:val="single" w:sz="4" w:color="999999"/>
              <w:left w:val="single" w:sz="4" w:color="999999"/>
              <w:bottom w:val="single" w:sz="4" w:color="999999"/>
              <w:right w:val="single" w:sz="4" w:color="999999"/>
            </w:tcBorders>
          </w:tcPr>
          <w:p>
            <w:pPr>
              <w:jc w:val="right"/>
            </w:pPr>
            <w:r/>
            <w:r>
              <w:rPr>
                <w:b w:val="0"/>
                <w:i w:val="0"/>
                <w:sz w:val="18"/>
              </w:rPr>
              <w:t>—</w:t>
            </w:r>
          </w:p>
        </w:tc>
        <w:tc>
          <w:tcPr>
            <w:tcW w:type="dxa" w:w="1700"/>
            <w:tcBorders>
              <w:top w:val="single" w:sz="4" w:color="999999"/>
              <w:left w:val="single" w:sz="4" w:color="999999"/>
              <w:bottom w:val="single" w:sz="4" w:color="999999"/>
              <w:right w:val="single" w:sz="4" w:color="999999"/>
            </w:tcBorders>
          </w:tcPr>
          <w:p>
            <w:pPr>
              <w:jc w:val="right"/>
            </w:pPr>
            <w:r/>
            <w:r>
              <w:rPr>
                <w:b w:val="0"/>
                <w:i w:val="0"/>
                <w:sz w:val="18"/>
              </w:rPr>
              <w:t>—</w:t>
            </w:r>
          </w:p>
        </w:tc>
        <w:tc>
          <w:tcPr>
            <w:tcW w:type="dxa" w:w="1700"/>
            <w:tcBorders>
              <w:top w:val="single" w:sz="4" w:color="999999"/>
              <w:left w:val="single" w:sz="4" w:color="999999"/>
              <w:bottom w:val="single" w:sz="4" w:color="999999"/>
              <w:right w:val="single" w:sz="4" w:color="999999"/>
            </w:tcBorders>
          </w:tcPr>
          <w:p>
            <w:pPr>
              <w:jc w:val="center"/>
            </w:pPr>
            <w:r/>
            <w:r>
              <w:rPr>
                <w:b w:val="0"/>
                <w:i w:val="0"/>
                <w:sz w:val="18"/>
              </w:rPr>
              <w:t>0</w:t>
            </w:r>
          </w:p>
        </w:tc>
      </w:tr>
      <w:tr>
        <w:tc>
          <w:tcPr>
            <w:tcW w:type="dxa" w:w="1700"/>
            <w:tcBorders>
              <w:top w:val="single" w:sz="4" w:color="999999"/>
              <w:left w:val="single" w:sz="4" w:color="999999"/>
              <w:bottom w:val="single" w:sz="4" w:color="999999"/>
              <w:right w:val="single" w:sz="4" w:color="999999"/>
            </w:tcBorders>
          </w:tcPr>
          <w:p>
            <w:pPr>
              <w:jc w:val="center"/>
            </w:pPr>
            <w:r/>
            <w:r>
              <w:rPr>
                <w:b/>
                <w:i w:val="0"/>
                <w:sz w:val="18"/>
              </w:rPr>
              <w:t>hc4</w:t>
            </w:r>
          </w:p>
        </w:tc>
        <w:tc>
          <w:tcPr>
            <w:tcW w:type="dxa" w:w="1700"/>
            <w:tcBorders>
              <w:top w:val="single" w:sz="4" w:color="999999"/>
              <w:left w:val="single" w:sz="4" w:color="999999"/>
              <w:bottom w:val="single" w:sz="4" w:color="999999"/>
              <w:right w:val="single" w:sz="4" w:color="999999"/>
            </w:tcBorders>
          </w:tcPr>
          <w:p>
            <w:pPr>
              <w:jc w:val="left"/>
            </w:pPr>
            <w:r/>
            <w:r>
              <w:rPr>
                <w:b w:val="0"/>
                <w:i/>
                <w:sz w:val="18"/>
              </w:rPr>
              <w:t>fillim i ngrohtë min-degree</w:t>
            </w:r>
          </w:p>
        </w:tc>
        <w:tc>
          <w:tcPr>
            <w:tcW w:type="dxa" w:w="1700"/>
            <w:tcBorders>
              <w:top w:val="single" w:sz="4" w:color="999999"/>
              <w:left w:val="single" w:sz="4" w:color="999999"/>
              <w:bottom w:val="single" w:sz="4" w:color="999999"/>
              <w:right w:val="single" w:sz="4" w:color="999999"/>
            </w:tcBorders>
          </w:tcPr>
          <w:p>
            <w:pPr>
              <w:jc w:val="right"/>
            </w:pPr>
            <w:r/>
            <w:r>
              <w:rPr>
                <w:b w:val="0"/>
                <w:i w:val="0"/>
                <w:sz w:val="18"/>
              </w:rPr>
              <w:t>-1,814,329</w:t>
            </w:r>
          </w:p>
        </w:tc>
        <w:tc>
          <w:tcPr>
            <w:tcW w:type="dxa" w:w="1700"/>
            <w:tcBorders>
              <w:top w:val="single" w:sz="4" w:color="999999"/>
              <w:left w:val="single" w:sz="4" w:color="999999"/>
              <w:bottom w:val="single" w:sz="4" w:color="999999"/>
              <w:right w:val="single" w:sz="4" w:color="999999"/>
            </w:tcBorders>
          </w:tcPr>
          <w:p>
            <w:pPr>
              <w:jc w:val="right"/>
            </w:pPr>
            <w:r/>
            <w:r>
              <w:rPr>
                <w:b w:val="0"/>
                <w:i w:val="0"/>
                <w:sz w:val="18"/>
              </w:rPr>
              <w:t>-1,605,381</w:t>
            </w:r>
          </w:p>
        </w:tc>
        <w:tc>
          <w:tcPr>
            <w:tcW w:type="dxa" w:w="1700"/>
            <w:tcBorders>
              <w:top w:val="single" w:sz="4" w:color="999999"/>
              <w:left w:val="single" w:sz="4" w:color="999999"/>
              <w:bottom w:val="single" w:sz="4" w:color="999999"/>
              <w:right w:val="single" w:sz="4" w:color="999999"/>
            </w:tcBorders>
          </w:tcPr>
          <w:p>
            <w:pPr>
              <w:jc w:val="right"/>
            </w:pPr>
            <w:r/>
            <w:r>
              <w:rPr>
                <w:b w:val="0"/>
                <w:i w:val="0"/>
                <w:sz w:val="18"/>
              </w:rPr>
              <w:t>-4,788,226</w:t>
            </w:r>
          </w:p>
        </w:tc>
        <w:tc>
          <w:tcPr>
            <w:tcW w:type="dxa" w:w="1700"/>
            <w:tcBorders>
              <w:top w:val="single" w:sz="4" w:color="999999"/>
              <w:left w:val="single" w:sz="4" w:color="999999"/>
              <w:bottom w:val="single" w:sz="4" w:color="999999"/>
              <w:right w:val="single" w:sz="4" w:color="999999"/>
            </w:tcBorders>
          </w:tcPr>
          <w:p>
            <w:pPr>
              <w:jc w:val="center"/>
            </w:pPr>
            <w:r/>
            <w:r>
              <w:rPr>
                <w:b w:val="0"/>
                <w:i w:val="0"/>
                <w:sz w:val="18"/>
              </w:rPr>
              <w:t>0</w:t>
            </w:r>
          </w:p>
        </w:tc>
      </w:tr>
      <w:tr>
        <w:tc>
          <w:tcPr>
            <w:tcW w:type="dxa" w:w="1700"/>
            <w:tcBorders>
              <w:top w:val="single" w:sz="4" w:color="999999"/>
              <w:left w:val="single" w:sz="4" w:color="999999"/>
              <w:bottom w:val="single" w:sz="4" w:color="999999"/>
              <w:right w:val="single" w:sz="4" w:color="999999"/>
            </w:tcBorders>
          </w:tcPr>
          <w:p>
            <w:pPr>
              <w:jc w:val="center"/>
            </w:pPr>
            <w:r/>
            <w:r>
              <w:rPr>
                <w:b/>
                <w:i w:val="0"/>
                <w:sz w:val="18"/>
              </w:rPr>
              <w:t>hc5</w:t>
            </w:r>
          </w:p>
        </w:tc>
        <w:tc>
          <w:tcPr>
            <w:tcW w:type="dxa" w:w="1700"/>
            <w:tcBorders>
              <w:top w:val="single" w:sz="4" w:color="999999"/>
              <w:left w:val="single" w:sz="4" w:color="999999"/>
              <w:bottom w:val="single" w:sz="4" w:color="999999"/>
              <w:right w:val="single" w:sz="4" w:color="999999"/>
            </w:tcBorders>
          </w:tcPr>
          <w:p>
            <w:pPr>
              <w:jc w:val="left"/>
            </w:pPr>
            <w:r/>
            <w:r>
              <w:rPr>
                <w:b w:val="0"/>
                <w:i/>
                <w:sz w:val="18"/>
              </w:rPr>
              <w:t>multi-operator (2/3-opt)</w:t>
            </w:r>
          </w:p>
        </w:tc>
        <w:tc>
          <w:tcPr>
            <w:tcW w:type="dxa" w:w="1700"/>
            <w:tcBorders>
              <w:top w:val="single" w:sz="4" w:color="999999"/>
              <w:left w:val="single" w:sz="4" w:color="999999"/>
              <w:bottom w:val="single" w:sz="4" w:color="999999"/>
              <w:right w:val="single" w:sz="4" w:color="999999"/>
            </w:tcBorders>
          </w:tcPr>
          <w:p>
            <w:pPr>
              <w:jc w:val="right"/>
            </w:pPr>
            <w:r/>
            <w:r>
              <w:rPr>
                <w:b w:val="0"/>
                <w:i w:val="0"/>
                <w:sz w:val="18"/>
              </w:rPr>
              <w:t>-1,814,961</w:t>
            </w:r>
          </w:p>
        </w:tc>
        <w:tc>
          <w:tcPr>
            <w:tcW w:type="dxa" w:w="1700"/>
            <w:tcBorders>
              <w:top w:val="single" w:sz="4" w:color="999999"/>
              <w:left w:val="single" w:sz="4" w:color="999999"/>
              <w:bottom w:val="single" w:sz="4" w:color="999999"/>
              <w:right w:val="single" w:sz="4" w:color="999999"/>
            </w:tcBorders>
          </w:tcPr>
          <w:p>
            <w:pPr>
              <w:jc w:val="right"/>
            </w:pPr>
            <w:r/>
            <w:r>
              <w:rPr>
                <w:b w:val="0"/>
                <w:i w:val="0"/>
                <w:sz w:val="18"/>
              </w:rPr>
              <w:t>-1,607,014</w:t>
            </w:r>
          </w:p>
        </w:tc>
        <w:tc>
          <w:tcPr>
            <w:tcW w:type="dxa" w:w="1700"/>
            <w:tcBorders>
              <w:top w:val="single" w:sz="4" w:color="999999"/>
              <w:left w:val="single" w:sz="4" w:color="999999"/>
              <w:bottom w:val="single" w:sz="4" w:color="999999"/>
              <w:right w:val="single" w:sz="4" w:color="999999"/>
            </w:tcBorders>
          </w:tcPr>
          <w:p>
            <w:pPr>
              <w:jc w:val="right"/>
            </w:pPr>
            <w:r/>
            <w:r>
              <w:rPr>
                <w:b w:val="0"/>
                <w:i w:val="0"/>
                <w:sz w:val="18"/>
              </w:rPr>
              <w:t>-4,796,099</w:t>
            </w:r>
          </w:p>
        </w:tc>
        <w:tc>
          <w:tcPr>
            <w:tcW w:type="dxa" w:w="1700"/>
            <w:tcBorders>
              <w:top w:val="single" w:sz="4" w:color="999999"/>
              <w:left w:val="single" w:sz="4" w:color="999999"/>
              <w:bottom w:val="single" w:sz="4" w:color="999999"/>
              <w:right w:val="single" w:sz="4" w:color="999999"/>
            </w:tcBorders>
          </w:tcPr>
          <w:p>
            <w:pPr>
              <w:jc w:val="center"/>
            </w:pPr>
            <w:r/>
            <w:r>
              <w:rPr>
                <w:b w:val="0"/>
                <w:i w:val="0"/>
                <w:sz w:val="18"/>
              </w:rPr>
              <w:t>0</w:t>
            </w:r>
          </w:p>
        </w:tc>
      </w:tr>
      <w:tr>
        <w:tc>
          <w:tcPr>
            <w:tcW w:type="dxa" w:w="1700"/>
            <w:tcBorders>
              <w:top w:val="single" w:sz="4" w:color="999999"/>
              <w:left w:val="single" w:sz="4" w:color="999999"/>
              <w:bottom w:val="single" w:sz="4" w:color="999999"/>
              <w:right w:val="single" w:sz="4" w:color="999999"/>
            </w:tcBorders>
          </w:tcPr>
          <w:p>
            <w:pPr>
              <w:jc w:val="center"/>
            </w:pPr>
            <w:r/>
            <w:r>
              <w:rPr>
                <w:b/>
                <w:i w:val="0"/>
                <w:sz w:val="18"/>
              </w:rPr>
              <w:t>hc6</w:t>
            </w:r>
          </w:p>
        </w:tc>
        <w:tc>
          <w:tcPr>
            <w:tcW w:type="dxa" w:w="1700"/>
            <w:tcBorders>
              <w:top w:val="single" w:sz="4" w:color="999999"/>
              <w:left w:val="single" w:sz="4" w:color="999999"/>
              <w:bottom w:val="single" w:sz="4" w:color="999999"/>
              <w:right w:val="single" w:sz="4" w:color="999999"/>
            </w:tcBorders>
          </w:tcPr>
          <w:p>
            <w:pPr>
              <w:jc w:val="left"/>
            </w:pPr>
            <w:r/>
            <w:r>
              <w:rPr>
                <w:b w:val="0"/>
                <w:i/>
                <w:sz w:val="18"/>
              </w:rPr>
              <w:t>mbushje boshllëku për-t</w:t>
            </w:r>
          </w:p>
        </w:tc>
        <w:tc>
          <w:tcPr>
            <w:tcW w:type="dxa" w:w="1700"/>
            <w:tcBorders>
              <w:top w:val="single" w:sz="4" w:color="999999"/>
              <w:left w:val="single" w:sz="4" w:color="999999"/>
              <w:bottom w:val="single" w:sz="4" w:color="999999"/>
              <w:right w:val="single" w:sz="4" w:color="999999"/>
            </w:tcBorders>
          </w:tcPr>
          <w:p>
            <w:pPr>
              <w:jc w:val="right"/>
            </w:pPr>
            <w:r/>
            <w:r>
              <w:rPr>
                <w:b w:val="0"/>
                <w:i w:val="0"/>
                <w:sz w:val="18"/>
              </w:rPr>
              <w:t>-1,814,329</w:t>
            </w:r>
          </w:p>
        </w:tc>
        <w:tc>
          <w:tcPr>
            <w:tcW w:type="dxa" w:w="1700"/>
            <w:tcBorders>
              <w:top w:val="single" w:sz="4" w:color="999999"/>
              <w:left w:val="single" w:sz="4" w:color="999999"/>
              <w:bottom w:val="single" w:sz="4" w:color="999999"/>
              <w:right w:val="single" w:sz="4" w:color="999999"/>
            </w:tcBorders>
          </w:tcPr>
          <w:p>
            <w:pPr>
              <w:jc w:val="right"/>
            </w:pPr>
            <w:r/>
            <w:r>
              <w:rPr>
                <w:b w:val="0"/>
                <w:i w:val="0"/>
                <w:sz w:val="18"/>
              </w:rPr>
              <w:t>-1,600,965</w:t>
            </w:r>
          </w:p>
        </w:tc>
        <w:tc>
          <w:tcPr>
            <w:tcW w:type="dxa" w:w="1700"/>
            <w:tcBorders>
              <w:top w:val="single" w:sz="4" w:color="999999"/>
              <w:left w:val="single" w:sz="4" w:color="999999"/>
              <w:bottom w:val="single" w:sz="4" w:color="999999"/>
              <w:right w:val="single" w:sz="4" w:color="999999"/>
            </w:tcBorders>
          </w:tcPr>
          <w:p>
            <w:pPr>
              <w:jc w:val="right"/>
            </w:pPr>
            <w:r/>
            <w:r>
              <w:rPr>
                <w:b w:val="0"/>
                <w:i w:val="0"/>
                <w:sz w:val="18"/>
              </w:rPr>
              <w:t>-4,778,553</w:t>
            </w:r>
          </w:p>
        </w:tc>
        <w:tc>
          <w:tcPr>
            <w:tcW w:type="dxa" w:w="1700"/>
            <w:tcBorders>
              <w:top w:val="single" w:sz="4" w:color="999999"/>
              <w:left w:val="single" w:sz="4" w:color="999999"/>
              <w:bottom w:val="single" w:sz="4" w:color="999999"/>
              <w:right w:val="single" w:sz="4" w:color="999999"/>
            </w:tcBorders>
          </w:tcPr>
          <w:p>
            <w:pPr>
              <w:jc w:val="center"/>
            </w:pPr>
            <w:r/>
            <w:r>
              <w:rPr>
                <w:b w:val="0"/>
                <w:i w:val="0"/>
                <w:sz w:val="18"/>
              </w:rPr>
              <w:t>0</w:t>
            </w:r>
          </w:p>
        </w:tc>
      </w:tr>
      <w:tr>
        <w:tc>
          <w:tcPr>
            <w:tcW w:type="dxa" w:w="1700"/>
            <w:tcBorders>
              <w:top w:val="single" w:sz="4" w:color="999999"/>
              <w:left w:val="single" w:sz="4" w:color="999999"/>
              <w:bottom w:val="single" w:sz="4" w:color="999999"/>
              <w:right w:val="single" w:sz="4" w:color="999999"/>
            </w:tcBorders>
          </w:tcPr>
          <w:p>
            <w:pPr>
              <w:jc w:val="center"/>
            </w:pPr>
            <w:r/>
            <w:r>
              <w:rPr>
                <w:b/>
                <w:i w:val="0"/>
                <w:sz w:val="18"/>
              </w:rPr>
              <w:t>hc7</w:t>
            </w:r>
          </w:p>
        </w:tc>
        <w:tc>
          <w:tcPr>
            <w:tcW w:type="dxa" w:w="1700"/>
            <w:tcBorders>
              <w:top w:val="single" w:sz="4" w:color="999999"/>
              <w:left w:val="single" w:sz="4" w:color="999999"/>
              <w:bottom w:val="single" w:sz="4" w:color="999999"/>
              <w:right w:val="single" w:sz="4" w:color="999999"/>
            </w:tcBorders>
          </w:tcPr>
          <w:p>
            <w:pPr>
              <w:jc w:val="left"/>
            </w:pPr>
            <w:r/>
            <w:r>
              <w:rPr>
                <w:b w:val="0"/>
                <w:i/>
                <w:sz w:val="18"/>
              </w:rPr>
              <w:t>zhvendosje K-kulme me ngarkesë</w:t>
            </w:r>
          </w:p>
        </w:tc>
        <w:tc>
          <w:tcPr>
            <w:tcW w:type="dxa" w:w="1700"/>
            <w:tcBorders>
              <w:top w:val="single" w:sz="4" w:color="999999"/>
              <w:left w:val="single" w:sz="4" w:color="999999"/>
              <w:bottom w:val="single" w:sz="4" w:color="999999"/>
              <w:right w:val="single" w:sz="4" w:color="999999"/>
            </w:tcBorders>
          </w:tcPr>
          <w:p>
            <w:pPr>
              <w:jc w:val="right"/>
            </w:pPr>
            <w:r/>
            <w:r>
              <w:rPr>
                <w:b w:val="0"/>
                <w:i w:val="0"/>
                <w:sz w:val="18"/>
              </w:rPr>
              <w:t>-1,814,722</w:t>
            </w:r>
          </w:p>
        </w:tc>
        <w:tc>
          <w:tcPr>
            <w:tcW w:type="dxa" w:w="1700"/>
            <w:tcBorders>
              <w:top w:val="single" w:sz="4" w:color="999999"/>
              <w:left w:val="single" w:sz="4" w:color="999999"/>
              <w:bottom w:val="single" w:sz="4" w:color="999999"/>
              <w:right w:val="single" w:sz="4" w:color="999999"/>
            </w:tcBorders>
          </w:tcPr>
          <w:p>
            <w:pPr>
              <w:jc w:val="right"/>
            </w:pPr>
            <w:r/>
            <w:r>
              <w:rPr>
                <w:b w:val="0"/>
                <w:i w:val="0"/>
                <w:sz w:val="18"/>
              </w:rPr>
              <w:t>-1,608,251</w:t>
            </w:r>
          </w:p>
        </w:tc>
        <w:tc>
          <w:tcPr>
            <w:tcW w:type="dxa" w:w="1700"/>
            <w:tcBorders>
              <w:top w:val="single" w:sz="4" w:color="999999"/>
              <w:left w:val="single" w:sz="4" w:color="999999"/>
              <w:bottom w:val="single" w:sz="4" w:color="999999"/>
              <w:right w:val="single" w:sz="4" w:color="999999"/>
            </w:tcBorders>
          </w:tcPr>
          <w:p>
            <w:pPr>
              <w:jc w:val="right"/>
            </w:pPr>
            <w:r/>
            <w:r>
              <w:rPr>
                <w:b w:val="0"/>
                <w:i w:val="0"/>
                <w:sz w:val="18"/>
              </w:rPr>
              <w:t>-4,797,998</w:t>
            </w:r>
          </w:p>
        </w:tc>
        <w:tc>
          <w:tcPr>
            <w:tcW w:type="dxa" w:w="1700"/>
            <w:tcBorders>
              <w:top w:val="single" w:sz="4" w:color="999999"/>
              <w:left w:val="single" w:sz="4" w:color="999999"/>
              <w:bottom w:val="single" w:sz="4" w:color="999999"/>
              <w:right w:val="single" w:sz="4" w:color="999999"/>
            </w:tcBorders>
          </w:tcPr>
          <w:p>
            <w:pPr>
              <w:jc w:val="center"/>
            </w:pPr>
            <w:r/>
            <w:r>
              <w:rPr>
                <w:b w:val="0"/>
                <w:i w:val="0"/>
                <w:sz w:val="18"/>
              </w:rPr>
              <w:t>0</w:t>
            </w:r>
          </w:p>
        </w:tc>
      </w:tr>
      <w:tr>
        <w:tc>
          <w:tcPr>
            <w:tcW w:type="dxa" w:w="1700"/>
            <w:tcBorders>
              <w:top w:val="single" w:sz="4" w:color="999999"/>
              <w:left w:val="single" w:sz="4" w:color="999999"/>
              <w:bottom w:val="single" w:sz="4" w:color="999999"/>
              <w:right w:val="single" w:sz="4" w:color="999999"/>
            </w:tcBorders>
          </w:tcPr>
          <w:p>
            <w:pPr>
              <w:jc w:val="center"/>
            </w:pPr>
            <w:r/>
            <w:r>
              <w:rPr>
                <w:b/>
                <w:i w:val="0"/>
                <w:sz w:val="18"/>
              </w:rPr>
              <w:t>hc8</w:t>
            </w:r>
          </w:p>
        </w:tc>
        <w:tc>
          <w:tcPr>
            <w:tcW w:type="dxa" w:w="1700"/>
            <w:tcBorders>
              <w:top w:val="single" w:sz="4" w:color="999999"/>
              <w:left w:val="single" w:sz="4" w:color="999999"/>
              <w:bottom w:val="single" w:sz="4" w:color="999999"/>
              <w:right w:val="single" w:sz="4" w:color="999999"/>
            </w:tcBorders>
          </w:tcPr>
          <w:p>
            <w:pPr>
              <w:jc w:val="left"/>
            </w:pPr>
            <w:r/>
            <w:r>
              <w:rPr>
                <w:b w:val="0"/>
                <w:i/>
                <w:sz w:val="18"/>
              </w:rPr>
              <w:t>Late Acceptance (LAHC)</w:t>
            </w:r>
          </w:p>
        </w:tc>
        <w:tc>
          <w:tcPr>
            <w:tcW w:type="dxa" w:w="1700"/>
            <w:tcBorders>
              <w:top w:val="single" w:sz="4" w:color="999999"/>
              <w:left w:val="single" w:sz="4" w:color="999999"/>
              <w:bottom w:val="single" w:sz="4" w:color="999999"/>
              <w:right w:val="single" w:sz="4" w:color="999999"/>
            </w:tcBorders>
          </w:tcPr>
          <w:p>
            <w:pPr>
              <w:jc w:val="right"/>
            </w:pPr>
            <w:r/>
            <w:r>
              <w:rPr>
                <w:b w:val="0"/>
                <w:i w:val="0"/>
                <w:sz w:val="18"/>
              </w:rPr>
              <w:t>-1,814,604</w:t>
            </w:r>
          </w:p>
        </w:tc>
        <w:tc>
          <w:tcPr>
            <w:tcW w:type="dxa" w:w="1700"/>
            <w:tcBorders>
              <w:top w:val="single" w:sz="4" w:color="999999"/>
              <w:left w:val="single" w:sz="4" w:color="999999"/>
              <w:bottom w:val="single" w:sz="4" w:color="999999"/>
              <w:right w:val="single" w:sz="4" w:color="999999"/>
            </w:tcBorders>
          </w:tcPr>
          <w:p>
            <w:pPr>
              <w:jc w:val="right"/>
            </w:pPr>
            <w:r/>
            <w:r>
              <w:rPr>
                <w:b w:val="0"/>
                <w:i w:val="0"/>
                <w:sz w:val="18"/>
              </w:rPr>
              <w:t>-1,604,654</w:t>
            </w:r>
          </w:p>
        </w:tc>
        <w:tc>
          <w:tcPr>
            <w:tcW w:type="dxa" w:w="1700"/>
            <w:tcBorders>
              <w:top w:val="single" w:sz="4" w:color="999999"/>
              <w:left w:val="single" w:sz="4" w:color="999999"/>
              <w:bottom w:val="single" w:sz="4" w:color="999999"/>
              <w:right w:val="single" w:sz="4" w:color="999999"/>
            </w:tcBorders>
          </w:tcPr>
          <w:p>
            <w:pPr>
              <w:jc w:val="right"/>
            </w:pPr>
            <w:r/>
            <w:r>
              <w:rPr>
                <w:b w:val="0"/>
                <w:i w:val="0"/>
                <w:sz w:val="18"/>
              </w:rPr>
              <w:t>-4,786,316</w:t>
            </w:r>
          </w:p>
        </w:tc>
        <w:tc>
          <w:tcPr>
            <w:tcW w:type="dxa" w:w="1700"/>
            <w:tcBorders>
              <w:top w:val="single" w:sz="4" w:color="999999"/>
              <w:left w:val="single" w:sz="4" w:color="999999"/>
              <w:bottom w:val="single" w:sz="4" w:color="999999"/>
              <w:right w:val="single" w:sz="4" w:color="999999"/>
            </w:tcBorders>
          </w:tcPr>
          <w:p>
            <w:pPr>
              <w:jc w:val="center"/>
            </w:pPr>
            <w:r/>
            <w:r>
              <w:rPr>
                <w:b w:val="0"/>
                <w:i w:val="0"/>
                <w:sz w:val="18"/>
              </w:rPr>
              <w:t>0</w:t>
            </w:r>
          </w:p>
        </w:tc>
      </w:tr>
      <w:tr>
        <w:tc>
          <w:tcPr>
            <w:tcW w:type="dxa" w:w="1700"/>
            <w:tcBorders>
              <w:top w:val="single" w:sz="4" w:color="999999"/>
              <w:left w:val="single" w:sz="4" w:color="999999"/>
              <w:bottom w:val="single" w:sz="4" w:color="999999"/>
              <w:right w:val="single" w:sz="4" w:color="999999"/>
            </w:tcBorders>
          </w:tcPr>
          <w:p>
            <w:pPr>
              <w:jc w:val="center"/>
            </w:pPr>
            <w:r/>
            <w:r>
              <w:rPr>
                <w:b/>
                <w:i w:val="0"/>
                <w:sz w:val="18"/>
              </w:rPr>
              <w:t>hc9</w:t>
            </w:r>
          </w:p>
        </w:tc>
        <w:tc>
          <w:tcPr>
            <w:tcW w:type="dxa" w:w="1700"/>
            <w:tcBorders>
              <w:top w:val="single" w:sz="4" w:color="999999"/>
              <w:left w:val="single" w:sz="4" w:color="999999"/>
              <w:bottom w:val="single" w:sz="4" w:color="999999"/>
              <w:right w:val="single" w:sz="4" w:color="999999"/>
            </w:tcBorders>
          </w:tcPr>
          <w:p>
            <w:pPr>
              <w:jc w:val="left"/>
            </w:pPr>
            <w:r/>
            <w:r>
              <w:rPr>
                <w:b w:val="0"/>
                <w:i/>
                <w:sz w:val="18"/>
              </w:rPr>
              <w:t>pranim me përmirësim HV</w:t>
            </w:r>
          </w:p>
        </w:tc>
        <w:tc>
          <w:tcPr>
            <w:tcW w:type="dxa" w:w="1700"/>
            <w:tcBorders>
              <w:top w:val="single" w:sz="4" w:color="999999"/>
              <w:left w:val="single" w:sz="4" w:color="999999"/>
              <w:bottom w:val="single" w:sz="4" w:color="999999"/>
              <w:right w:val="single" w:sz="4" w:color="999999"/>
            </w:tcBorders>
          </w:tcPr>
          <w:p>
            <w:pPr>
              <w:jc w:val="right"/>
            </w:pPr>
            <w:r/>
            <w:r>
              <w:rPr>
                <w:b/>
                <w:i w:val="0"/>
                <w:sz w:val="18"/>
              </w:rPr>
              <w:t>-1,814,925</w:t>
            </w:r>
          </w:p>
        </w:tc>
        <w:tc>
          <w:tcPr>
            <w:tcW w:type="dxa" w:w="1700"/>
            <w:tcBorders>
              <w:top w:val="single" w:sz="4" w:color="999999"/>
              <w:left w:val="single" w:sz="4" w:color="999999"/>
              <w:bottom w:val="single" w:sz="4" w:color="999999"/>
              <w:right w:val="single" w:sz="4" w:color="999999"/>
            </w:tcBorders>
          </w:tcPr>
          <w:p>
            <w:pPr>
              <w:jc w:val="right"/>
            </w:pPr>
            <w:r/>
            <w:r>
              <w:rPr>
                <w:b/>
                <w:i w:val="0"/>
                <w:sz w:val="18"/>
              </w:rPr>
              <w:t>-1,607,963</w:t>
            </w:r>
          </w:p>
        </w:tc>
        <w:tc>
          <w:tcPr>
            <w:tcW w:type="dxa" w:w="1700"/>
            <w:tcBorders>
              <w:top w:val="single" w:sz="4" w:color="999999"/>
              <w:left w:val="single" w:sz="4" w:color="999999"/>
              <w:bottom w:val="single" w:sz="4" w:color="999999"/>
              <w:right w:val="single" w:sz="4" w:color="999999"/>
            </w:tcBorders>
          </w:tcPr>
          <w:p>
            <w:pPr>
              <w:jc w:val="right"/>
            </w:pPr>
            <w:r/>
            <w:r>
              <w:rPr>
                <w:b w:val="0"/>
                <w:i w:val="0"/>
                <w:sz w:val="18"/>
              </w:rPr>
              <w:t>-4,793,573</w:t>
            </w:r>
          </w:p>
        </w:tc>
        <w:tc>
          <w:tcPr>
            <w:tcW w:type="dxa" w:w="1700"/>
            <w:tcBorders>
              <w:top w:val="single" w:sz="4" w:color="999999"/>
              <w:left w:val="single" w:sz="4" w:color="999999"/>
              <w:bottom w:val="single" w:sz="4" w:color="999999"/>
              <w:right w:val="single" w:sz="4" w:color="999999"/>
            </w:tcBorders>
          </w:tcPr>
          <w:p>
            <w:pPr>
              <w:jc w:val="center"/>
            </w:pPr>
            <w:r>
              <w:t>10</w:t>
            </w:r>
            <w:r>
              <w:rPr>
                <w:b/>
                <w:i w:val="0"/>
                <w:sz w:val="18"/>
              </w:rPr>
            </w:r>
          </w:p>
        </w:tc>
      </w:tr>
      <w:tr>
        <w:tc>
          <w:tcPr>
            <w:tcW w:type="dxa" w:w="1700"/>
            <w:tcBorders>
              <w:top w:val="single" w:sz="4" w:color="999999"/>
              <w:left w:val="single" w:sz="4" w:color="999999"/>
              <w:bottom w:val="single" w:sz="4" w:color="999999"/>
              <w:right w:val="single" w:sz="4" w:color="999999"/>
            </w:tcBorders>
          </w:tcPr>
          <w:p>
            <w:pPr>
              <w:jc w:val="center"/>
            </w:pPr>
            <w:r/>
            <w:r>
              <w:rPr>
                <w:b/>
                <w:i w:val="0"/>
                <w:sz w:val="18"/>
              </w:rPr>
              <w:t>hc10</w:t>
            </w:r>
          </w:p>
        </w:tc>
        <w:tc>
          <w:tcPr>
            <w:tcW w:type="dxa" w:w="1700"/>
            <w:tcBorders>
              <w:top w:val="single" w:sz="4" w:color="999999"/>
              <w:left w:val="single" w:sz="4" w:color="999999"/>
              <w:bottom w:val="single" w:sz="4" w:color="999999"/>
              <w:right w:val="single" w:sz="4" w:color="999999"/>
            </w:tcBorders>
          </w:tcPr>
          <w:p>
            <w:pPr>
              <w:jc w:val="left"/>
            </w:pPr>
            <w:r/>
            <w:r>
              <w:rPr>
                <w:b w:val="0"/>
                <w:i/>
                <w:sz w:val="18"/>
              </w:rPr>
              <w:t>fillim i ngrohtë torso-i vetëdijshëm</w:t>
            </w:r>
          </w:p>
        </w:tc>
        <w:tc>
          <w:tcPr>
            <w:tcW w:type="dxa" w:w="1700"/>
            <w:tcBorders>
              <w:top w:val="single" w:sz="4" w:color="999999"/>
              <w:left w:val="single" w:sz="4" w:color="999999"/>
              <w:bottom w:val="single" w:sz="4" w:color="999999"/>
              <w:right w:val="single" w:sz="4" w:color="999999"/>
            </w:tcBorders>
          </w:tcPr>
          <w:p>
            <w:pPr>
              <w:jc w:val="right"/>
            </w:pPr>
            <w:r/>
            <w:r>
              <w:rPr>
                <w:b w:val="0"/>
                <w:i w:val="0"/>
                <w:sz w:val="18"/>
              </w:rPr>
              <w:t>-1,811,842</w:t>
            </w:r>
          </w:p>
        </w:tc>
        <w:tc>
          <w:tcPr>
            <w:tcW w:type="dxa" w:w="1700"/>
            <w:tcBorders>
              <w:top w:val="single" w:sz="4" w:color="999999"/>
              <w:left w:val="single" w:sz="4" w:color="999999"/>
              <w:bottom w:val="single" w:sz="4" w:color="999999"/>
              <w:right w:val="single" w:sz="4" w:color="999999"/>
            </w:tcBorders>
          </w:tcPr>
          <w:p>
            <w:pPr>
              <w:jc w:val="right"/>
            </w:pPr>
            <w:r/>
            <w:r>
              <w:rPr>
                <w:b w:val="0"/>
                <w:i w:val="0"/>
                <w:sz w:val="18"/>
              </w:rPr>
              <w:t>-1,603,546</w:t>
            </w:r>
          </w:p>
        </w:tc>
        <w:tc>
          <w:tcPr>
            <w:tcW w:type="dxa" w:w="1700"/>
            <w:tcBorders>
              <w:top w:val="single" w:sz="4" w:color="999999"/>
              <w:left w:val="single" w:sz="4" w:color="999999"/>
              <w:bottom w:val="single" w:sz="4" w:color="999999"/>
              <w:right w:val="single" w:sz="4" w:color="999999"/>
            </w:tcBorders>
          </w:tcPr>
          <w:p>
            <w:pPr>
              <w:jc w:val="right"/>
            </w:pPr>
            <w:r/>
            <w:r>
              <w:rPr>
                <w:b w:val="0"/>
                <w:i w:val="0"/>
                <w:sz w:val="18"/>
              </w:rPr>
              <w:t>-4,725,645</w:t>
            </w:r>
          </w:p>
        </w:tc>
        <w:tc>
          <w:tcPr>
            <w:tcW w:type="dxa" w:w="1700"/>
            <w:tcBorders>
              <w:top w:val="single" w:sz="4" w:color="999999"/>
              <w:left w:val="single" w:sz="4" w:color="999999"/>
              <w:bottom w:val="single" w:sz="4" w:color="999999"/>
              <w:right w:val="single" w:sz="4" w:color="999999"/>
            </w:tcBorders>
          </w:tcPr>
          <w:p>
            <w:pPr>
              <w:jc w:val="center"/>
            </w:pPr>
            <w:r>
              <w:t>1</w:t>
            </w:r>
            <w:r>
              <w:rPr>
                <w:b w:val="0"/>
                <w:i w:val="0"/>
                <w:sz w:val="18"/>
              </w:rPr>
            </w:r>
          </w:p>
        </w:tc>
      </w:tr>
      <w:tr>
        <w:tc>
          <w:tcPr>
            <w:tcW w:type="dxa" w:w="1700"/>
            <w:tcBorders>
              <w:top w:val="single" w:sz="4" w:color="999999"/>
              <w:left w:val="single" w:sz="4" w:color="999999"/>
              <w:bottom w:val="single" w:sz="4" w:color="999999"/>
              <w:right w:val="single" w:sz="4" w:color="999999"/>
            </w:tcBorders>
          </w:tcPr>
          <w:p>
            <w:pPr>
              <w:jc w:val="center"/>
            </w:pPr>
            <w:r/>
            <w:r>
              <w:rPr>
                <w:b/>
                <w:i w:val="0"/>
                <w:sz w:val="18"/>
              </w:rPr>
              <w:t>hc11</w:t>
            </w:r>
          </w:p>
        </w:tc>
        <w:tc>
          <w:tcPr>
            <w:tcW w:type="dxa" w:w="1700"/>
            <w:tcBorders>
              <w:top w:val="single" w:sz="4" w:color="999999"/>
              <w:left w:val="single" w:sz="4" w:color="999999"/>
              <w:bottom w:val="single" w:sz="4" w:color="999999"/>
              <w:right w:val="single" w:sz="4" w:color="999999"/>
            </w:tcBorders>
          </w:tcPr>
          <w:p>
            <w:pPr>
              <w:jc w:val="left"/>
            </w:pPr>
            <w:r/>
            <w:r>
              <w:rPr>
                <w:b w:val="0"/>
                <w:i/>
                <w:sz w:val="18"/>
              </w:rPr>
              <w:t>Iterated Local Search</w:t>
            </w:r>
          </w:p>
        </w:tc>
        <w:tc>
          <w:tcPr>
            <w:tcW w:type="dxa" w:w="1700"/>
            <w:tcBorders>
              <w:top w:val="single" w:sz="4" w:color="999999"/>
              <w:left w:val="single" w:sz="4" w:color="999999"/>
              <w:bottom w:val="single" w:sz="4" w:color="999999"/>
              <w:right w:val="single" w:sz="4" w:color="999999"/>
            </w:tcBorders>
          </w:tcPr>
          <w:p>
            <w:pPr>
              <w:jc w:val="right"/>
            </w:pPr>
            <w:r/>
            <w:r>
              <w:rPr>
                <w:b w:val="0"/>
                <w:i w:val="0"/>
                <w:sz w:val="18"/>
              </w:rPr>
              <w:t>-1,814,911</w:t>
            </w:r>
          </w:p>
        </w:tc>
        <w:tc>
          <w:tcPr>
            <w:tcW w:type="dxa" w:w="1700"/>
            <w:tcBorders>
              <w:top w:val="single" w:sz="4" w:color="999999"/>
              <w:left w:val="single" w:sz="4" w:color="999999"/>
              <w:bottom w:val="single" w:sz="4" w:color="999999"/>
              <w:right w:val="single" w:sz="4" w:color="999999"/>
            </w:tcBorders>
          </w:tcPr>
          <w:p>
            <w:pPr>
              <w:jc w:val="right"/>
            </w:pPr>
            <w:r/>
            <w:r>
              <w:rPr>
                <w:b w:val="0"/>
                <w:i w:val="0"/>
                <w:sz w:val="18"/>
              </w:rPr>
              <w:t>-1,607,892</w:t>
            </w:r>
          </w:p>
        </w:tc>
        <w:tc>
          <w:tcPr>
            <w:tcW w:type="dxa" w:w="1700"/>
            <w:tcBorders>
              <w:top w:val="single" w:sz="4" w:color="999999"/>
              <w:left w:val="single" w:sz="4" w:color="999999"/>
              <w:bottom w:val="single" w:sz="4" w:color="999999"/>
              <w:right w:val="single" w:sz="4" w:color="999999"/>
            </w:tcBorders>
          </w:tcPr>
          <w:p>
            <w:pPr>
              <w:jc w:val="right"/>
            </w:pPr>
            <w:r/>
            <w:r>
              <w:rPr>
                <w:b w:val="0"/>
                <w:i w:val="0"/>
                <w:sz w:val="18"/>
              </w:rPr>
              <w:t>-4,799,384</w:t>
            </w:r>
          </w:p>
        </w:tc>
        <w:tc>
          <w:tcPr>
            <w:tcW w:type="dxa" w:w="1700"/>
            <w:tcBorders>
              <w:top w:val="single" w:sz="4" w:color="999999"/>
              <w:left w:val="single" w:sz="4" w:color="999999"/>
              <w:bottom w:val="single" w:sz="4" w:color="999999"/>
              <w:right w:val="single" w:sz="4" w:color="999999"/>
            </w:tcBorders>
          </w:tcPr>
          <w:p>
            <w:pPr>
              <w:jc w:val="center"/>
            </w:pPr>
            <w:r/>
            <w:r>
              <w:rPr>
                <w:b w:val="0"/>
                <w:i w:val="0"/>
                <w:sz w:val="18"/>
              </w:rPr>
              <w:t>0</w:t>
            </w:r>
          </w:p>
        </w:tc>
      </w:tr>
      <w:tr>
        <w:tc>
          <w:tcPr>
            <w:tcW w:type="dxa" w:w="1700"/>
            <w:tcBorders>
              <w:top w:val="single" w:sz="4" w:color="999999"/>
              <w:left w:val="single" w:sz="4" w:color="999999"/>
              <w:bottom w:val="single" w:sz="4" w:color="999999"/>
              <w:right w:val="single" w:sz="4" w:color="999999"/>
            </w:tcBorders>
          </w:tcPr>
          <w:p>
            <w:pPr>
              <w:jc w:val="center"/>
            </w:pPr>
            <w:r/>
            <w:r>
              <w:rPr>
                <w:b/>
                <w:i w:val="0"/>
                <w:sz w:val="18"/>
              </w:rPr>
              <w:t>hc12</w:t>
            </w:r>
          </w:p>
        </w:tc>
        <w:tc>
          <w:tcPr>
            <w:tcW w:type="dxa" w:w="1700"/>
            <w:tcBorders>
              <w:top w:val="single" w:sz="4" w:color="999999"/>
              <w:left w:val="single" w:sz="4" w:color="999999"/>
              <w:bottom w:val="single" w:sz="4" w:color="999999"/>
              <w:right w:val="single" w:sz="4" w:color="999999"/>
            </w:tcBorders>
          </w:tcPr>
          <w:p>
            <w:pPr>
              <w:jc w:val="left"/>
            </w:pPr>
            <w:r/>
            <w:r>
              <w:rPr>
                <w:b w:val="0"/>
                <w:i/>
                <w:sz w:val="18"/>
              </w:rPr>
              <w:t>vlerësues inkremental</w:t>
            </w:r>
          </w:p>
        </w:tc>
        <w:tc>
          <w:tcPr>
            <w:tcW w:type="dxa" w:w="1700"/>
            <w:tcBorders>
              <w:top w:val="single" w:sz="4" w:color="999999"/>
              <w:left w:val="single" w:sz="4" w:color="999999"/>
              <w:bottom w:val="single" w:sz="4" w:color="999999"/>
              <w:right w:val="single" w:sz="4" w:color="999999"/>
            </w:tcBorders>
          </w:tcPr>
          <w:p>
            <w:pPr>
              <w:jc w:val="right"/>
            </w:pPr>
            <w:r/>
            <w:r>
              <w:rPr>
                <w:b w:val="0"/>
                <w:i w:val="0"/>
                <w:sz w:val="18"/>
              </w:rPr>
              <w:t>-1,814,515</w:t>
            </w:r>
          </w:p>
        </w:tc>
        <w:tc>
          <w:tcPr>
            <w:tcW w:type="dxa" w:w="1700"/>
            <w:tcBorders>
              <w:top w:val="single" w:sz="4" w:color="999999"/>
              <w:left w:val="single" w:sz="4" w:color="999999"/>
              <w:bottom w:val="single" w:sz="4" w:color="999999"/>
              <w:right w:val="single" w:sz="4" w:color="999999"/>
            </w:tcBorders>
          </w:tcPr>
          <w:p>
            <w:pPr>
              <w:jc w:val="right"/>
            </w:pPr>
            <w:r/>
            <w:r>
              <w:rPr>
                <w:b w:val="0"/>
                <w:i w:val="0"/>
                <w:sz w:val="18"/>
              </w:rPr>
              <w:t>-1,603,494</w:t>
            </w:r>
          </w:p>
        </w:tc>
        <w:tc>
          <w:tcPr>
            <w:tcW w:type="dxa" w:w="1700"/>
            <w:tcBorders>
              <w:top w:val="single" w:sz="4" w:color="999999"/>
              <w:left w:val="single" w:sz="4" w:color="999999"/>
              <w:bottom w:val="single" w:sz="4" w:color="999999"/>
              <w:right w:val="single" w:sz="4" w:color="999999"/>
            </w:tcBorders>
          </w:tcPr>
          <w:p>
            <w:pPr>
              <w:jc w:val="right"/>
            </w:pPr>
            <w:r/>
            <w:r>
              <w:rPr>
                <w:b w:val="0"/>
                <w:i w:val="0"/>
                <w:sz w:val="18"/>
              </w:rPr>
              <w:t>-4,788,920</w:t>
            </w:r>
          </w:p>
        </w:tc>
        <w:tc>
          <w:tcPr>
            <w:tcW w:type="dxa" w:w="1700"/>
            <w:tcBorders>
              <w:top w:val="single" w:sz="4" w:color="999999"/>
              <w:left w:val="single" w:sz="4" w:color="999999"/>
              <w:bottom w:val="single" w:sz="4" w:color="999999"/>
              <w:right w:val="single" w:sz="4" w:color="999999"/>
            </w:tcBorders>
          </w:tcPr>
          <w:p>
            <w:pPr>
              <w:jc w:val="center"/>
            </w:pPr>
            <w:r>
              <w:t>6</w:t>
            </w:r>
            <w:r>
              <w:rPr>
                <w:b w:val="0"/>
                <w:i w:val="0"/>
                <w:sz w:val="18"/>
              </w:rPr>
            </w:r>
          </w:p>
        </w:tc>
      </w:tr>
      <w:tr>
        <w:tc>
          <w:tcPr>
            <w:tcW w:type="dxa" w:w="1700"/>
            <w:tcBorders>
              <w:top w:val="single" w:sz="4" w:color="999999"/>
              <w:left w:val="single" w:sz="4" w:color="999999"/>
              <w:bottom w:val="single" w:sz="4" w:color="999999"/>
              <w:right w:val="single" w:sz="4" w:color="999999"/>
            </w:tcBorders>
          </w:tcPr>
          <w:p>
            <w:pPr>
              <w:jc w:val="center"/>
            </w:pPr>
            <w:r/>
            <w:r>
              <w:rPr>
                <w:b/>
                <w:i w:val="0"/>
                <w:sz w:val="18"/>
              </w:rPr>
              <w:t>hc13</w:t>
            </w:r>
          </w:p>
        </w:tc>
        <w:tc>
          <w:tcPr>
            <w:tcW w:type="dxa" w:w="1700"/>
            <w:tcBorders>
              <w:top w:val="single" w:sz="4" w:color="999999"/>
              <w:left w:val="single" w:sz="4" w:color="999999"/>
              <w:bottom w:val="single" w:sz="4" w:color="999999"/>
              <w:right w:val="single" w:sz="4" w:color="999999"/>
            </w:tcBorders>
          </w:tcPr>
          <w:p>
            <w:pPr>
              <w:jc w:val="left"/>
            </w:pPr>
            <w:r/>
            <w:r>
              <w:rPr>
                <w:b w:val="0"/>
                <w:i/>
                <w:sz w:val="18"/>
              </w:rPr>
              <w:t>Tabu Search</w:t>
            </w:r>
          </w:p>
        </w:tc>
        <w:tc>
          <w:tcPr>
            <w:tcW w:type="dxa" w:w="1700"/>
            <w:tcBorders>
              <w:top w:val="single" w:sz="4" w:color="999999"/>
              <w:left w:val="single" w:sz="4" w:color="999999"/>
              <w:bottom w:val="single" w:sz="4" w:color="999999"/>
              <w:right w:val="single" w:sz="4" w:color="999999"/>
            </w:tcBorders>
          </w:tcPr>
          <w:p>
            <w:pPr>
              <w:jc w:val="right"/>
            </w:pPr>
            <w:r/>
            <w:r>
              <w:rPr>
                <w:b w:val="0"/>
                <w:i w:val="0"/>
                <w:sz w:val="18"/>
              </w:rPr>
              <w:t>-1,814,547</w:t>
            </w:r>
          </w:p>
        </w:tc>
        <w:tc>
          <w:tcPr>
            <w:tcW w:type="dxa" w:w="1700"/>
            <w:tcBorders>
              <w:top w:val="single" w:sz="4" w:color="999999"/>
              <w:left w:val="single" w:sz="4" w:color="999999"/>
              <w:bottom w:val="single" w:sz="4" w:color="999999"/>
              <w:right w:val="single" w:sz="4" w:color="999999"/>
            </w:tcBorders>
          </w:tcPr>
          <w:p>
            <w:pPr>
              <w:jc w:val="right"/>
            </w:pPr>
            <w:r/>
            <w:r>
              <w:rPr>
                <w:b w:val="0"/>
                <w:i w:val="0"/>
                <w:sz w:val="18"/>
              </w:rPr>
              <w:t>-1,609,194</w:t>
            </w:r>
          </w:p>
        </w:tc>
        <w:tc>
          <w:tcPr>
            <w:tcW w:type="dxa" w:w="1700"/>
            <w:tcBorders>
              <w:top w:val="single" w:sz="4" w:color="999999"/>
              <w:left w:val="single" w:sz="4" w:color="999999"/>
              <w:bottom w:val="single" w:sz="4" w:color="999999"/>
              <w:right w:val="single" w:sz="4" w:color="999999"/>
            </w:tcBorders>
          </w:tcPr>
          <w:p>
            <w:pPr>
              <w:jc w:val="right"/>
            </w:pPr>
            <w:r/>
            <w:r>
              <w:rPr>
                <w:b/>
                <w:i w:val="0"/>
                <w:sz w:val="18"/>
              </w:rPr>
              <w:t>-4,800,196</w:t>
            </w:r>
          </w:p>
        </w:tc>
        <w:tc>
          <w:tcPr>
            <w:tcW w:type="dxa" w:w="1700"/>
            <w:tcBorders>
              <w:top w:val="single" w:sz="4" w:color="999999"/>
              <w:left w:val="single" w:sz="4" w:color="999999"/>
              <w:bottom w:val="single" w:sz="4" w:color="999999"/>
              <w:right w:val="single" w:sz="4" w:color="999999"/>
            </w:tcBorders>
          </w:tcPr>
          <w:p>
            <w:pPr>
              <w:jc w:val="center"/>
            </w:pPr>
            <w:r/>
            <w:r>
              <w:rPr>
                <w:b w:val="0"/>
                <w:i w:val="0"/>
                <w:sz w:val="18"/>
              </w:rPr>
              <w:t>0</w:t>
            </w:r>
          </w:p>
        </w:tc>
      </w:tr>
      <w:tr>
        <w:tc>
          <w:tcPr>
            <w:tcW w:type="dxa" w:w="1700"/>
            <w:tcBorders>
              <w:top w:val="single" w:sz="4" w:color="999999"/>
              <w:left w:val="single" w:sz="4" w:color="999999"/>
              <w:bottom w:val="single" w:sz="4" w:color="999999"/>
              <w:right w:val="single" w:sz="4" w:color="999999"/>
            </w:tcBorders>
          </w:tcPr>
          <w:p>
            <w:pPr>
              <w:jc w:val="center"/>
            </w:pPr>
            <w:r/>
            <w:r>
              <w:rPr>
                <w:b/>
                <w:i w:val="0"/>
                <w:sz w:val="18"/>
              </w:rPr>
              <w:t>hc14</w:t>
            </w:r>
          </w:p>
        </w:tc>
        <w:tc>
          <w:tcPr>
            <w:tcW w:type="dxa" w:w="1700"/>
            <w:tcBorders>
              <w:top w:val="single" w:sz="4" w:color="999999"/>
              <w:left w:val="single" w:sz="4" w:color="999999"/>
              <w:bottom w:val="single" w:sz="4" w:color="999999"/>
              <w:right w:val="single" w:sz="4" w:color="999999"/>
            </w:tcBorders>
          </w:tcPr>
          <w:p>
            <w:pPr>
              <w:jc w:val="left"/>
            </w:pPr>
            <w:r/>
            <w:r>
              <w:rPr>
                <w:b w:val="0"/>
                <w:i/>
                <w:sz w:val="18"/>
              </w:rPr>
              <w:t>steepest-ascent stokastik</w:t>
            </w:r>
          </w:p>
        </w:tc>
        <w:tc>
          <w:tcPr>
            <w:tcW w:type="dxa" w:w="1700"/>
            <w:tcBorders>
              <w:top w:val="single" w:sz="4" w:color="999999"/>
              <w:left w:val="single" w:sz="4" w:color="999999"/>
              <w:bottom w:val="single" w:sz="4" w:color="999999"/>
              <w:right w:val="single" w:sz="4" w:color="999999"/>
            </w:tcBorders>
          </w:tcPr>
          <w:p>
            <w:pPr>
              <w:jc w:val="right"/>
            </w:pPr>
            <w:r/>
            <w:r>
              <w:rPr>
                <w:b w:val="0"/>
                <w:i w:val="0"/>
                <w:sz w:val="18"/>
              </w:rPr>
              <w:t>-1,814,518</w:t>
            </w:r>
          </w:p>
        </w:tc>
        <w:tc>
          <w:tcPr>
            <w:tcW w:type="dxa" w:w="1700"/>
            <w:tcBorders>
              <w:top w:val="single" w:sz="4" w:color="999999"/>
              <w:left w:val="single" w:sz="4" w:color="999999"/>
              <w:bottom w:val="single" w:sz="4" w:color="999999"/>
              <w:right w:val="single" w:sz="4" w:color="999999"/>
            </w:tcBorders>
          </w:tcPr>
          <w:p>
            <w:pPr>
              <w:jc w:val="right"/>
            </w:pPr>
            <w:r/>
            <w:r>
              <w:rPr>
                <w:b w:val="0"/>
                <w:i w:val="0"/>
                <w:sz w:val="18"/>
              </w:rPr>
              <w:t>-1,603,500</w:t>
            </w:r>
          </w:p>
        </w:tc>
        <w:tc>
          <w:tcPr>
            <w:tcW w:type="dxa" w:w="1700"/>
            <w:tcBorders>
              <w:top w:val="single" w:sz="4" w:color="999999"/>
              <w:left w:val="single" w:sz="4" w:color="999999"/>
              <w:bottom w:val="single" w:sz="4" w:color="999999"/>
              <w:right w:val="single" w:sz="4" w:color="999999"/>
            </w:tcBorders>
          </w:tcPr>
          <w:p>
            <w:pPr>
              <w:jc w:val="right"/>
            </w:pPr>
            <w:r/>
            <w:r>
              <w:rPr>
                <w:b w:val="0"/>
                <w:i w:val="0"/>
                <w:sz w:val="18"/>
              </w:rPr>
              <w:t>-4,779,874</w:t>
            </w:r>
          </w:p>
        </w:tc>
        <w:tc>
          <w:tcPr>
            <w:tcW w:type="dxa" w:w="1700"/>
            <w:tcBorders>
              <w:top w:val="single" w:sz="4" w:color="999999"/>
              <w:left w:val="single" w:sz="4" w:color="999999"/>
              <w:bottom w:val="single" w:sz="4" w:color="999999"/>
              <w:right w:val="single" w:sz="4" w:color="999999"/>
            </w:tcBorders>
          </w:tcPr>
          <w:p>
            <w:pPr>
              <w:jc w:val="center"/>
            </w:pPr>
            <w:r/>
            <w:r>
              <w:rPr>
                <w:b w:val="0"/>
                <w:i w:val="0"/>
                <w:sz w:val="18"/>
              </w:rPr>
              <w:t>—</w:t>
            </w:r>
          </w:p>
        </w:tc>
      </w:tr>
      <w:tr>
        <w:tc>
          <w:tcPr>
            <w:tcW w:type="dxa" w:w="1700"/>
            <w:shd w:val="clear" w:color="auto" w:fill="E8E8E8"/>
            <w:tcBorders>
              <w:top w:val="single" w:sz="4" w:color="999999"/>
              <w:left w:val="single" w:sz="4" w:color="999999"/>
              <w:bottom w:val="single" w:sz="4" w:color="999999"/>
              <w:right w:val="single" w:sz="4" w:color="999999"/>
            </w:tcBorders>
          </w:tcPr>
          <w:p>
            <w:pPr>
              <w:jc w:val="center"/>
            </w:pPr>
            <w:r/>
            <w:r>
              <w:rPr>
                <w:b/>
                <w:i/>
                <w:sz w:val="18"/>
              </w:rPr>
              <w:t>—</w:t>
            </w:r>
          </w:p>
        </w:tc>
        <w:tc>
          <w:tcPr>
            <w:tcW w:type="dxa" w:w="1700"/>
            <w:shd w:val="clear" w:color="auto" w:fill="E8E8E8"/>
            <w:tcBorders>
              <w:top w:val="single" w:sz="4" w:color="999999"/>
              <w:left w:val="single" w:sz="4" w:color="999999"/>
              <w:bottom w:val="single" w:sz="4" w:color="999999"/>
              <w:right w:val="single" w:sz="4" w:color="999999"/>
            </w:tcBorders>
          </w:tcPr>
          <w:p>
            <w:pPr>
              <w:jc w:val="left"/>
            </w:pPr>
            <w:r/>
            <w:r>
              <w:rPr>
                <w:b/>
                <w:i/>
                <w:sz w:val="18"/>
              </w:rPr>
              <w:t>Maja e leaderboard-it</w:t>
            </w:r>
          </w:p>
        </w:tc>
        <w:tc>
          <w:tcPr>
            <w:tcW w:type="dxa" w:w="1700"/>
            <w:shd w:val="clear" w:color="auto" w:fill="E8E8E8"/>
            <w:tcBorders>
              <w:top w:val="single" w:sz="4" w:color="999999"/>
              <w:left w:val="single" w:sz="4" w:color="999999"/>
              <w:bottom w:val="single" w:sz="4" w:color="999999"/>
              <w:right w:val="single" w:sz="4" w:color="999999"/>
            </w:tcBorders>
          </w:tcPr>
          <w:p>
            <w:pPr>
              <w:jc w:val="right"/>
            </w:pPr>
            <w:r/>
            <w:r>
              <w:rPr>
                <w:b/>
                <w:i/>
                <w:sz w:val="18"/>
              </w:rPr>
              <w:t>-1,829,919</w:t>
            </w:r>
          </w:p>
        </w:tc>
        <w:tc>
          <w:tcPr>
            <w:tcW w:type="dxa" w:w="1700"/>
            <w:shd w:val="clear" w:color="auto" w:fill="E8E8E8"/>
            <w:tcBorders>
              <w:top w:val="single" w:sz="4" w:color="999999"/>
              <w:left w:val="single" w:sz="4" w:color="999999"/>
              <w:bottom w:val="single" w:sz="4" w:color="999999"/>
              <w:right w:val="single" w:sz="4" w:color="999999"/>
            </w:tcBorders>
          </w:tcPr>
          <w:p>
            <w:pPr>
              <w:jc w:val="right"/>
            </w:pPr>
            <w:r/>
            <w:r>
              <w:rPr>
                <w:b/>
                <w:i/>
                <w:sz w:val="18"/>
              </w:rPr>
              <w:t>-1,745,122</w:t>
            </w:r>
          </w:p>
        </w:tc>
        <w:tc>
          <w:tcPr>
            <w:tcW w:type="dxa" w:w="1700"/>
            <w:shd w:val="clear" w:color="auto" w:fill="E8E8E8"/>
            <w:tcBorders>
              <w:top w:val="single" w:sz="4" w:color="999999"/>
              <w:left w:val="single" w:sz="4" w:color="999999"/>
              <w:bottom w:val="single" w:sz="4" w:color="999999"/>
              <w:right w:val="single" w:sz="4" w:color="999999"/>
            </w:tcBorders>
          </w:tcPr>
          <w:p>
            <w:pPr>
              <w:jc w:val="right"/>
            </w:pPr>
            <w:r/>
            <w:r>
              <w:rPr>
                <w:b/>
                <w:i/>
                <w:sz w:val="18"/>
              </w:rPr>
              <w:t>-5,493,062</w:t>
            </w:r>
          </w:p>
        </w:tc>
        <w:tc>
          <w:tcPr>
            <w:tcW w:type="dxa" w:w="1700"/>
            <w:shd w:val="clear" w:color="auto" w:fill="E8E8E8"/>
            <w:tcBorders>
              <w:top w:val="single" w:sz="4" w:color="999999"/>
              <w:left w:val="single" w:sz="4" w:color="999999"/>
              <w:bottom w:val="single" w:sz="4" w:color="999999"/>
              <w:right w:val="single" w:sz="4" w:color="999999"/>
            </w:tcBorders>
          </w:tcPr>
          <w:p>
            <w:pPr>
              <w:jc w:val="center"/>
            </w:pPr>
            <w:r/>
            <w:r>
              <w:rPr>
                <w:b w:val="0"/>
                <w:i/>
                <w:sz w:val="18"/>
              </w:rPr>
              <w:t>—</w:t>
            </w:r>
          </w:p>
        </w:tc>
      </w:tr>
    </w:tbl>
    <w:p>
      <w:pPr>
        <w:spacing w:before="40" w:after="160"/>
        <w:jc w:val="both"/>
      </w:pPr>
      <w:r>
        <w:rPr>
          <w:i/>
          <w:sz w:val="18"/>
        </w:rPr>
        <w:t>Tabela 1. Tabela master e rezultateve: pikët zyrtare të hipervolumit (−HV; më e ulët është më e mirë) për secilin nga 14 variantet e Hill-Climbing në tri instancat zyrtare, plus numri i fitoreve sipas mesatares-për-qelizë mbi 3 fara në benchmark-un sintetik Erdős–Rényi me 20 instanca. Pika më e mirë në secilën kolonë është me të zeza; rreshti i fundit me hije jep majën publike të leaderboard-it për të njëjtën kolonë. "—" do të thotë: hc3 në medium dhe large nuk arrin një pikë të fizibilitueshme brenda buxhetit prej 1 s nga një inicializim i rastësishëm, dhe hc14 nuk ekzekutohet në benchmark-un sintetik. (Majat e leaderboard-it të vërejtura në maj 2026.)</w:t>
      </w:r>
    </w:p>
    <w:p>
      <w:pPr>
        <w:spacing w:before="80" w:after="20"/>
      </w:pPr>
      <w:r>
        <w:rPr>
          <w:b/>
          <w:sz w:val="24"/>
        </w:rPr>
        <w:t>5. Diskutim</w:t>
      </w:r>
    </w:p>
    <w:p>
      <w:pPr>
        <w:spacing w:after="40"/>
        <w:ind w:firstLine="283"/>
        <w:jc w:val="both"/>
      </w:pPr>
      <w:r>
        <w:rPr>
          <w:sz w:val="20"/>
        </w:rPr>
        <w:t>Duke krahasuar rezultatin më të mirë të Hill-Climbing me rreshtin me hije të leaderboard-it në fund të Tabelës 1, fraksioni i hipervolumit të leaderboard-it që rikuperohet bie nga 99.18 % në small (hc5, hendek = 14,958) në 92.21 % në medium (hc13, hendek = 135,928) në 87.39 % në large (hc13, hendek = 692,866). Trendi është në përputhje me faktin që majat publike në instancat e dendura janë prodhuar me shumë mundësi nga zgjidhës ekzaktë ose afër-ekzaktë të gjerësisë së pemës (Tamaki, 2022, 2023) në harduer paralel, e jo nga kërkim lokal me një fill ekzekutimi siç studiohet këtu. Dy kontrolle të mëtejshme e mbështesin këtë lexim. Së pari, marrja e bashkimit jo-të-dominuar të të gjitha pikave të arkivuara nga të katërmbëdhjetë variantet, një paraqitje portofoli (më-i-miri-virtual) e vlefshme sepse rezultati i hipervolumit varet vetëm nga bashkësia e pikave, jo nga ekzekutimi që prodhoi secilën pikë, e ngre fraksionin e rikuperuar në 99.19 % në small, 92.33 % në medium dhe 87.75 % në large, fitime prej 138, 2,147 dhe 19,749 njësive të hipervolumit që rriten me dendësinë, sepse variante të ndryshme zotërojnë rajone të ndryshme të pragut në front. Së dyti, një kufi i poshtëm i pavarur i gjerësisë së pemës me minor-min-width (Bodlaender dhe Koster, 2011) është i barabartë me gjerësinë më të mirë të arritur të eliminimit në grafin e plotë (t = 0) në instancën e dendur (499 = 499, kufiri aktiv i gjerësisë), ndërsa mbetet i lirshëm në ato më të rralla, duke konfirmuar se hendeku i mbetur në large është strukturor: asnjë renditje eliminimi nuk mund ta dekompozojë grafin e plotë nën kufirin, e jo një artefakt buxheti i kërkimit me një fill.</w:t>
      </w:r>
    </w:p>
    <w:p>
      <w:pPr>
        <w:spacing w:after="40"/>
        <w:ind w:firstLine="283"/>
        <w:jc w:val="both"/>
      </w:pPr>
      <w:r>
        <w:rPr>
          <w:sz w:val="20"/>
        </w:rPr>
        <w:t>Duke lexuar poshtë kolonave të Tabëlës 1, kërcimi më i madh i vetëm në çdo instancë vjen nga fillimi i ngrohtë me min-degree (hc4); nga hc4 e tutje, të gjitha variantet vijuese qëndrojnë brenda rreth 0.2 % të atij tavani. Në small varianti i pasur me operatorë hc5 merr fitoren në farën-42 dhe në medium Tabu Search (hc13), ndërsa pranimi me përmirësim të hipervolumit (hc9) qëndron brenda 36 njësive nga maja në small dhe është më i qëndrueshëm nëpër fara dhe në rrjetën sintetike; në large katër variante, hc13, hc11, hc7 dhe hc5, grumbullohen brenda 4,097 njësive të hipervolumit, ku Tabu Search (hc13) fiton ndeshjen ballë-për-ballë në farën-42. I njëjti model shfaqet në benchmark-un sintetik, ku hc9 fiton 10 nga 20 qeliza sipas mesatares (qelizat me dëndësi të ulët deri mesatare), vlerësuesi inkremental hc12 fiton 6 (qelizat me dëndësi më të lartë dhe më të mëdha, ku lëvizjet për sekondë janë kufizimi lidhës), fillimi i ngrohtë torso-i vetëdijshëm për-t hc10 fiton 1 (qeliza më e rrallë me n = 500), dhe linja bazë e rinisjes së rastësishme hc2 merr 3 të mbetura.</w:t>
      </w:r>
    </w:p>
    <w:p>
      <w:pPr>
        <w:spacing w:after="40"/>
        <w:ind w:firstLine="283"/>
        <w:jc w:val="both"/>
      </w:pPr>
      <w:r>
        <w:rPr>
          <w:sz w:val="20"/>
        </w:rPr>
        <w:t>Tri qelizat e mbetura, (n, shkallë mesatare) = (750, 35), (1000, 18) dhe (1000, 35), kanë gjerësi peme (treewidth) mbi kufirin e fortë 500 të gjerësisë, prandaj asnjë renditje eliminimi nuk është e realizueshme për asnjë variant. Prandaj çdo variant me fillim-të-ngrohtë hyn në cikël me ndërrim mbi-gjerësinë dhe, duke mos gjetur asnjë pikë nën kufi brenda buxhetit prej një sekonde, kthen rezervën deterministike mbi-gjerësi (gjerësi 501) përmes shtegut të përbashkët core.ensure_seeded. Të gjitha variantet barazohen këtu; hc2 merr fitoren nominale në baraz-zgjidhjen leksikografike. (Kodi i mëparshëm ngrinte përjashtim në këto qeliza; u rregullua më 29 maj 2026.)</w:t>
      </w:r>
    </w:p>
    <w:p>
      <w:pPr>
        <w:spacing w:before="80" w:after="40"/>
        <w:jc w:val="center"/>
      </w:pPr>
      <w:r>
        <w:drawing>
          <wp:inline xmlns:a="http://schemas.openxmlformats.org/drawingml/2006/main" xmlns:pic="http://schemas.openxmlformats.org/drawingml/2006/picture">
            <wp:extent cx="2520000" cy="1386000"/>
            <wp:docPr id="1" name="Picture 1"/>
            <wp:cNvGraphicFramePr>
              <a:graphicFrameLocks noChangeAspect="1"/>
            </wp:cNvGraphicFramePr>
            <a:graphic>
              <a:graphicData uri="http://schemas.openxmlformats.org/drawingml/2006/picture">
                <pic:pic>
                  <pic:nvPicPr>
                    <pic:cNvPr id="0" name="convergence_large_inline.png"/>
                    <pic:cNvPicPr/>
                  </pic:nvPicPr>
                  <pic:blipFill>
                    <a:blip r:embed="rId9"/>
                    <a:stretch>
                      <a:fillRect/>
                    </a:stretch>
                  </pic:blipFill>
                  <pic:spPr>
                    <a:xfrm>
                      <a:off x="0" y="0"/>
                      <a:ext cx="2520000" cy="1386000"/>
                    </a:xfrm>
                    <a:prstGeom prst="rect"/>
                  </pic:spPr>
                </pic:pic>
              </a:graphicData>
            </a:graphic>
          </wp:inline>
        </w:drawing>
      </w:r>
    </w:p>
    <w:p>
      <w:pPr>
        <w:spacing w:before="40" w:after="160"/>
        <w:jc w:val="both"/>
      </w:pPr>
      <w:r>
        <w:rPr>
          <w:i/>
          <w:sz w:val="18"/>
        </w:rPr>
        <w:t>Figura 1. Hipervolumi i arkivit kundër kohës së murit në large-graph (farë = 42, buxhet 25 s).</w:t>
      </w:r>
    </w:p>
    <w:p>
      <w:pPr>
        <w:spacing w:after="40"/>
        <w:ind w:firstLine="283"/>
        <w:jc w:val="both"/>
      </w:pPr>
      <w:r>
        <w:rPr>
          <w:sz w:val="20"/>
        </w:rPr>
        <w:t>Ekzekutimet shumë-farash mbi farat {42, 1, …, 11} për {hc5, hc9, hc11, hc14} në të tri instancat zyrtare (144 ekzekutime) japin Wilcoxon signed-rank ekzakt dy-faqësh p ≤ 5 × 10⁻⁴ për hc9 kundër secilit nga hc5, hc11, hc14 në small dhe medium (devijimet standarde të hc9-ës σ = 1,701 / 4,393 / 2,650 në small / medium / large). Në large hc9 (mesatarja −4,794,047) është e barazlartë me hc5 dhe hc11 (p = 0.23) por mund hc14 (p ≤ 5 × 10⁻⁴). Një variant i pesëmbëdhjetë, hc15, i formuar duke ekzekutuar rregullin e pranimit me përmirësim hipervolumi të hc9-ës mbi vlerësuesin inkremental të hc12-ës, u vlerësua mbi të njëjtat dymbëdhjetë fara: ai arrin mesataren më të mirë të grupit kryesor në small (−1,814,872) dhe medium (−1,609,238) dhe e mund hc9-ën ballë-për-ballë në 7 nga 11 dhe 8 nga 11 fara përkatësisht, por diferenca është brenda shpërndarjes farë-për-farë dhe ndryshimi nga hc9 nuk është i rëndësishëm statistikisht (Wilcoxon ekzakt dy-faqësh p = 0.18 në small, 0.15 në medium); prandaj hc9 mbetet rezultati kryesor i mbështetur me rëndësi statistikore për instancat e rralla, ndërsa hc15 është një përmirësim premtues por ende jo i rëndësishëm, që tregon se rregulli i pranimit, jo vlerësuesi, është ai që e mban rezultatin. Në benchmark-un sintetik Friedman hedh poshtë fuqishëm hipotezën zero (χ² = 112.99, df = 12, p &lt; 10⁻¹⁸); sipas Nemenyi me α = 0.05 (CD = 4.08; Demšar, 2006), hc9 (renditja mesatare 2.73) është dukshëm më i mirë se hc1, hc2, hc3, hc4, hc6 dhe hc8, por jo dukshëm më i mirë se hc5, hc7, hc10, hc11, hc12 ose hc13. Një test pasues Wilcoxon i çiftëzuar me korrigjim Holm (Demšar, 2006) me hc9 si kontroll e mpreh leximin për-instancë: hc9 e tejkalon dukshëm hc5, hc11 dhe hc14 në small dhe medium (p i korrigjuar me Holm ≤ 0.014), është statistikisht i padallueshëm nga hc15 në çdo instancë (Holm p ≥ 0.15), dhe në instancën e dendur mundet vetë dukshëm nga hc5 (Holm p = 0.004) edhe pse ende e mund hc14: i njëjti kalim sipas dendësisë që e shfaq tabela me një farë. Figura 1 ilustron tri format e ndryshme të konvergjencës: hc9 rritet butë, hc11 me kërcime shkallë-shkallë pas çdo perturbimi, dhe hc7 me platforma të gjata e kërcime kur lëvizja e koordinuar K-kulme rivendos një grumbull fyt-të-ngushtë.</w:t>
      </w:r>
    </w:p>
    <w:p>
      <w:pPr>
        <w:spacing w:before="80" w:after="20"/>
      </w:pPr>
      <w:r>
        <w:rPr>
          <w:b/>
          <w:sz w:val="24"/>
        </w:rPr>
        <w:t>6. Përfundim</w:t>
      </w:r>
    </w:p>
    <w:p>
      <w:pPr>
        <w:spacing w:after="40"/>
        <w:ind w:firstLine="283"/>
        <w:jc w:val="both"/>
      </w:pPr>
      <w:r>
        <w:rPr>
          <w:sz w:val="20"/>
        </w:rPr>
        <w:t>Përgjatë 42 ekzekutimeve zyrtare, 780 sintetike dhe 180 shumë-farash (1,002 gjithsej), dy zgjedhjet e dizajnit që përcaktojnë performancën janë rregulli i pranimit në instancat me dendësi të ulët deri mesatare dhe grupi i operatorëve në ato me dendësi të lartë. Ndarja midis instancave të rralla dhe atyre të dendura është e riprodhueshme përgjatë farave dhe shpjegohet nga një variabël i vetëm strukturor, dendësia e grafit. Bashkimi i arkivave të varianteve në një portofol të vetëm jo-të-dominuar rikupron më shumë hipervolum se çdo variant individual në çdo instancë (deri në 99.19 / 92.33 / 87.75 % të majave të leaderboard-it), kështu që variantet janë plotësuese e jo të tepërta. Pesëmbëdhjetë variantet dhe rezultatet e tyre ofrojnë një bazë të kontrolluar për kapitujt e ardhshëm mbi Simulated Annealing, NSGA-II dhe kërkimin evolucionar të drejtuar nga hipervolumi, që do të duhet të arrijnë performancën në instancat e dendura të rikuperuar këtu nga lëvizjet strukturore, ndërsa ruajnë performancën në instancat e rralla të rikuperuar nga pranimi i hipervolumit. Kodi burim, paraqitjet e ruajtura dhe suita e korrektesisë që rivlerëson çdo numër të raportuar do të lëshohen në një repozitor publik me publikimin e këtij punimi.</w:t>
      </w:r>
    </w:p>
    <w:p>
      <w:pPr>
        <w:spacing w:before="160"/>
        <w:jc w:val="both"/>
      </w:pPr>
      <w:r>
        <w:rPr>
          <w:b/>
          <w:sz w:val="20"/>
        </w:rPr>
        <w:t xml:space="preserve">Fjalët kyçe: </w:t>
      </w:r>
      <w:r>
        <w:rPr>
          <w:i/>
          <w:sz w:val="20"/>
        </w:rPr>
        <w:t>optimizim me dy objektiva; dekompozim torso; Hill Climbing; renditje eliminimi; plotësim akordor; gjerësia e pemës (treewidth); indikatori i hipervolumit; arkiv Pareto; kërkim lokal; optimizim kombinator; 3-opt; Tabu Search</w:t>
      </w:r>
    </w:p>
    <w:p>
      <w:pPr>
        <w:spacing w:before="80" w:after="20"/>
      </w:pPr>
      <w:r>
        <w:rPr>
          <w:b/>
          <w:sz w:val="24"/>
        </w:rPr>
        <w:t>Referencat</w:t>
      </w:r>
    </w:p>
    <w:p>
      <w:pPr>
        <w:spacing w:after="0" w:line="228" w:lineRule="auto"/>
        <w:ind w:left="283" w:hanging="283"/>
        <w:jc w:val="both"/>
      </w:pPr>
      <w:r>
        <w:rPr>
          <w:sz w:val="14"/>
        </w:rPr>
        <w:t>[1] Beume, N., Naujoks, B. and Emmerich, M. (2007). SMS-EMOA: Multiobjective selection based on dominated hypervolume. European Journal of Operational Research, 181(3), 1653–1669.</w:t>
      </w:r>
    </w:p>
    <w:p>
      <w:pPr>
        <w:spacing w:after="0" w:line="228" w:lineRule="auto"/>
        <w:ind w:left="283" w:hanging="283"/>
        <w:jc w:val="both"/>
      </w:pPr>
      <w:r>
        <w:rPr>
          <w:sz w:val="14"/>
        </w:rPr>
        <w:t>[2] Bodlaender, H. L. (1994). A tourist guide through treewidth. Acta Cybernetica, 11(1–2), 1–21.</w:t>
      </w:r>
    </w:p>
    <w:p>
      <w:pPr>
        <w:spacing w:after="0" w:line="228" w:lineRule="auto"/>
        <w:ind w:left="283" w:hanging="283"/>
        <w:jc w:val="both"/>
      </w:pPr>
      <w:r>
        <w:rPr>
          <w:sz w:val="14"/>
        </w:rPr>
        <w:t>[3] Bodlaender, H. L. and Koster, A. M. C. A. (2011). Treewidth computations II. Lower bounds. Information and Computation, 209(7), 1103–1119.</w:t>
      </w:r>
    </w:p>
    <w:p>
      <w:pPr>
        <w:spacing w:after="0" w:line="228" w:lineRule="auto"/>
        <w:ind w:left="283" w:hanging="283"/>
        <w:jc w:val="both"/>
      </w:pPr>
      <w:r>
        <w:rPr>
          <w:sz w:val="14"/>
        </w:rPr>
        <w:t>[4] Bringmann, K., Friedrich, T. and Klitzke, P. (2014). Generic postprocessing via subset selection for hypervolume and epsilon-indicator. In: Proc. PPSN XIII, LNCS 8672, pp. 518–527. Springer.</w:t>
      </w:r>
    </w:p>
    <w:p>
      <w:pPr>
        <w:spacing w:after="0" w:line="228" w:lineRule="auto"/>
        <w:ind w:left="283" w:hanging="283"/>
        <w:jc w:val="both"/>
      </w:pPr>
      <w:r>
        <w:rPr>
          <w:sz w:val="14"/>
        </w:rPr>
        <w:t>[5] Burke, E. K. and Bykov, Y. (2017). The late acceptance Hill-Climbing heuristic. European Journal of Operational Research, 258(1), 70–78.</w:t>
      </w:r>
    </w:p>
    <w:p>
      <w:pPr>
        <w:spacing w:after="0" w:line="228" w:lineRule="auto"/>
        <w:ind w:left="283" w:hanging="283"/>
        <w:jc w:val="both"/>
      </w:pPr>
      <w:r>
        <w:rPr>
          <w:sz w:val="14"/>
        </w:rPr>
        <w:t>[6] Demšar, J. (2006). Statistical comparisons of classifiers over multiple data sets. Journal of Machine Learning Research, 7, 1–30.</w:t>
      </w:r>
    </w:p>
    <w:p>
      <w:pPr>
        <w:spacing w:after="0" w:line="228" w:lineRule="auto"/>
        <w:ind w:left="283" w:hanging="283"/>
        <w:jc w:val="both"/>
      </w:pPr>
      <w:r>
        <w:rPr>
          <w:sz w:val="14"/>
        </w:rPr>
        <w:t>[7] Diestel, R. (2017). Graph Theory (5th ed.), Chapter 12: Minors, Trees and WQO. Springer.</w:t>
      </w:r>
    </w:p>
    <w:p>
      <w:pPr>
        <w:spacing w:after="0" w:line="228" w:lineRule="auto"/>
        <w:ind w:left="283" w:hanging="283"/>
        <w:jc w:val="both"/>
      </w:pPr>
      <w:r>
        <w:rPr>
          <w:sz w:val="14"/>
        </w:rPr>
        <w:t>[8] ESA Advanced Concepts Team (2024). SpOC-3 Torso Decompositions challenge. https://optimize.esa.int/challenge/spoc-3-torso-decompositions/.</w:t>
      </w:r>
    </w:p>
    <w:p>
      <w:pPr>
        <w:spacing w:after="0" w:line="228" w:lineRule="auto"/>
        <w:ind w:left="283" w:hanging="283"/>
        <w:jc w:val="both"/>
      </w:pPr>
      <w:r>
        <w:rPr>
          <w:sz w:val="14"/>
        </w:rPr>
        <w:t>[9] George, A. and Liu, J. W. H. (1989). The evolution of the minimum degree ordering algorithm. SIAM Review, 31(1), 1–19.</w:t>
      </w:r>
    </w:p>
    <w:p>
      <w:pPr>
        <w:spacing w:after="0" w:line="228" w:lineRule="auto"/>
        <w:ind w:left="283" w:hanging="283"/>
        <w:jc w:val="both"/>
      </w:pPr>
      <w:r>
        <w:rPr>
          <w:sz w:val="14"/>
        </w:rPr>
        <w:t>[10] Glover, F. (1989). Tabu Search — Part I. ORSA Journal on Computing, 1(3), 190–206.</w:t>
      </w:r>
    </w:p>
    <w:p>
      <w:pPr>
        <w:spacing w:after="0" w:line="228" w:lineRule="auto"/>
        <w:ind w:left="283" w:hanging="283"/>
        <w:jc w:val="both"/>
      </w:pPr>
      <w:r>
        <w:rPr>
          <w:sz w:val="14"/>
        </w:rPr>
        <w:t>[11] Guerreiro, A. P., Fonseca, C. M. and Paquete, L. (2021). The hypervolume indicator: Computational problems and algorithms. ACM Computing Surveys, 54(6), Article 119.</w:t>
      </w:r>
    </w:p>
    <w:p>
      <w:pPr>
        <w:spacing w:after="0" w:line="228" w:lineRule="auto"/>
        <w:ind w:left="283" w:hanging="283"/>
        <w:jc w:val="both"/>
      </w:pPr>
      <w:r>
        <w:rPr>
          <w:sz w:val="14"/>
        </w:rPr>
        <w:t>[12] Hoos, H. H. and Stützle, T. (2004). Stochastic Local Search: Foundations and Applications. Morgan Kaufmann.</w:t>
      </w:r>
    </w:p>
    <w:p>
      <w:pPr>
        <w:spacing w:after="0" w:line="228" w:lineRule="auto"/>
        <w:ind w:left="283" w:hanging="283"/>
        <w:jc w:val="both"/>
      </w:pPr>
      <w:r>
        <w:rPr>
          <w:sz w:val="14"/>
        </w:rPr>
        <w:t>[13] Lin, S. (1965). Computer solutions of the traveling salesman problem. Bell System Technical Journal, 44(10), 2245–2269.</w:t>
      </w:r>
    </w:p>
    <w:p>
      <w:pPr>
        <w:spacing w:after="0" w:line="228" w:lineRule="auto"/>
        <w:ind w:left="283" w:hanging="283"/>
        <w:jc w:val="both"/>
      </w:pPr>
      <w:r>
        <w:rPr>
          <w:sz w:val="14"/>
        </w:rPr>
        <w:t>[14] Lin, S. and Kernighan, B. W. (1973). An effective heuristic algorithm for the traveling-salesman problem. Operations Research, 21(2), 498–516.</w:t>
      </w:r>
    </w:p>
    <w:p>
      <w:pPr>
        <w:spacing w:after="0" w:line="228" w:lineRule="auto"/>
        <w:ind w:left="283" w:hanging="283"/>
        <w:jc w:val="both"/>
      </w:pPr>
      <w:r>
        <w:rPr>
          <w:sz w:val="14"/>
        </w:rPr>
        <w:t>[15] Lourenço, H. R., Martin, O. C. and Stützle, T. (2003). Iterated Local Search. In: Handbook of Metaheuristics, F. Glover and G. A. Kochenberger (eds.), pp. 320–353. Kluwer.</w:t>
      </w:r>
    </w:p>
    <w:p>
      <w:pPr>
        <w:spacing w:after="0" w:line="228" w:lineRule="auto"/>
        <w:ind w:left="283" w:hanging="283"/>
        <w:jc w:val="both"/>
      </w:pPr>
      <w:r>
        <w:rPr>
          <w:sz w:val="14"/>
        </w:rPr>
        <w:t>[16] Parter, S. (1961). The use of linear graphs in Gauss elimination. SIAM Review, 3(2), 119–130.</w:t>
      </w:r>
    </w:p>
    <w:p>
      <w:pPr>
        <w:spacing w:after="0" w:line="228" w:lineRule="auto"/>
        <w:ind w:left="283" w:hanging="283"/>
        <w:jc w:val="both"/>
      </w:pPr>
      <w:r>
        <w:rPr>
          <w:sz w:val="14"/>
        </w:rPr>
        <w:t>[17] Robertson, N. and Seymour, P. D. (1986). Graph minors. II. Algorithmic aspects of tree-width. Journal of Algorithms, 7(3), 309–322.</w:t>
      </w:r>
    </w:p>
    <w:p>
      <w:pPr>
        <w:spacing w:after="0" w:line="228" w:lineRule="auto"/>
        <w:ind w:left="283" w:hanging="283"/>
        <w:jc w:val="both"/>
      </w:pPr>
      <w:r>
        <w:rPr>
          <w:sz w:val="14"/>
        </w:rPr>
        <w:t>[18] Rose, D. J. (1972). A graph-theoretic study of the numerical solution of sparse positive definite systems of linear equations. In: Graph Theory and Computing, R. C. Read (ed.), pp. 183–217. Academic Press.</w:t>
      </w:r>
    </w:p>
    <w:p>
      <w:pPr>
        <w:spacing w:after="0" w:line="228" w:lineRule="auto"/>
        <w:ind w:left="283" w:hanging="283"/>
        <w:jc w:val="both"/>
      </w:pPr>
      <w:r>
        <w:rPr>
          <w:sz w:val="14"/>
        </w:rPr>
        <w:t>[19] Shang, K., Ishibuchi, H., He, L. and Pang, L. M. (2021). A survey on the hypervolume indicator in evolutionary multiobjective optimization. IEEE Transactions on Evolutionary Computation, 25(1), 1–20.</w:t>
      </w:r>
    </w:p>
    <w:p>
      <w:pPr>
        <w:spacing w:after="0" w:line="228" w:lineRule="auto"/>
        <w:ind w:left="283" w:hanging="283"/>
        <w:jc w:val="both"/>
      </w:pPr>
      <w:r>
        <w:rPr>
          <w:sz w:val="14"/>
        </w:rPr>
        <w:t>[20] Tamaki, H. (2022). Heuristic computation of exact treewidth. In: Proc. 20th International Symposium on Experimental Algorithms (SEA 2022), LIPIcs 233, Article 17.</w:t>
      </w:r>
    </w:p>
    <w:p>
      <w:pPr>
        <w:spacing w:after="0" w:line="228" w:lineRule="auto"/>
        <w:ind w:left="283" w:hanging="283"/>
        <w:jc w:val="both"/>
      </w:pPr>
      <w:r>
        <w:rPr>
          <w:sz w:val="14"/>
        </w:rPr>
        <w:t>[21] Tamaki, H. (2023). A heuristic for listing almost-clique-minimal separators of a graph. In: Proc. 18th International Symposium on Parameterized and Exact Computation (IPEC 2023), LIPIcs 285, Article 34.</w:t>
      </w:r>
    </w:p>
    <w:p>
      <w:pPr>
        <w:spacing w:after="0" w:line="228" w:lineRule="auto"/>
        <w:ind w:left="283" w:hanging="283"/>
        <w:jc w:val="both"/>
      </w:pPr>
      <w:r>
        <w:rPr>
          <w:sz w:val="14"/>
        </w:rPr>
        <w:t>[22] Zitzler, E. and Künzli, S. (2004). Indicator-based selection in multiobjective search. In: Proc. PPSN VIII, LNCS 3242, pp. 832–842. Springer.</w:t>
      </w:r>
    </w:p>
    <w:p>
      <w:pPr>
        <w:spacing w:after="0" w:line="228" w:lineRule="auto"/>
        <w:ind w:left="283" w:hanging="283"/>
        <w:jc w:val="both"/>
      </w:pPr>
      <w:r>
        <w:rPr>
          <w:sz w:val="14"/>
        </w:rPr>
        <w:t>[23] Zitzler, E. and Thiele, L. (1999). Multiobjective evolutionary algorithms: A comparative case study and the strength Pareto approach. IEEE Transactions on Evolutionary Computation, 3(4), 257–271.</w:t>
      </w:r>
    </w:p>
    <w:sectPr w:rsidR="00FC693F" w:rsidRPr="0006063C" w:rsidSect="00034616">
      <w:pgSz w:w="12240" w:h="15840"/>
      <w:pgMar w:top="850" w:right="1020" w:bottom="79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Relationships xmlns="http://schemas.openxmlformats.org/package/2006/relationships">
  <Relationship Id="rId3" Type="http://schemas.openxmlformats.org/officeDocument/2006/relationships/styles" Target="styles.xml"/>
  <Relationship Id="rId4" Type="http://schemas.microsoft.com/office/2007/relationships/stylesWithEffects" Target="stylesWithEffects.xml"/>
  <Relationship Id="rId5" Type="http://schemas.openxmlformats.org/officeDocument/2006/relationships/settings" Target="settings.xml"/>
  <Relationship Id="rId6" Type="http://schemas.openxmlformats.org/officeDocument/2006/relationships/webSettings" Target="webSettings.xml"/>
  <Relationship Id="rId7" Type="http://schemas.openxmlformats.org/officeDocument/2006/relationships/fontTable" Target="fontTable.xml"/>
  <Relationship Id="rId8" Type="http://schemas.openxmlformats.org/officeDocument/2006/relationships/theme" Target="theme/theme1.xml"/>
  <Relationship Id="rId1" Type="http://schemas.openxmlformats.org/officeDocument/2006/relationships/customXml" Target="../customXml/item1.xml"/>
  <Relationship Id="rId2" Type="http://schemas.openxmlformats.org/officeDocument/2006/relationships/numbering" Target="numbering.xml"/>
  <Relationship Id="rId9" Type="http://schemas.openxmlformats.org/officeDocument/2006/relationships/image" Target="media/image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
  <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