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before="0" w:after="120"/>
        <w:jc w:val="both"/>
      </w:pPr>
      <w:r>
        <w:rPr>
          <w:rFonts w:ascii="Times New Roman" w:hAnsi="Times New Roman"/>
          <w:sz w:val="24"/>
        </w:rPr>
        <w:t xml:space="preserve">Impacto de las variables macroeconómicas en la volatilidad del IBEX 35: Análisis del Dato</w:t>
      </w:r>
    </w:p>
    <w:p>
      <w:pPr>
        <w:pStyle w:val="Author"/>
        <w:spacing w:line="360" w:lineRule="auto" w:before="0" w:after="120"/>
        <w:jc w:val="both"/>
      </w:pPr>
    </w:p>
    <w:bookmarkStart w:id="9" w:name="portada"/>
    <w:p>
      <w:pPr>
        <w:pStyle w:val="Heading1"/>
        <w:spacing w:line="360" w:lineRule="auto" w:before="0" w:after="120"/>
        <w:jc w:val="both"/>
      </w:pPr>
      <w:r>
        <w:rPr>
          <w:rFonts w:ascii="Times New Roman" w:hAnsi="Times New Roman"/>
          <w:sz w:val="24"/>
        </w:rPr>
        <w:t xml:space="preserve">Portada</w:t>
      </w:r>
    </w:p>
    <w:p>
      <w:pPr>
        <w:pStyle w:val="FirstParagraph"/>
        <w:spacing w:line="360" w:lineRule="auto" w:before="0" w:after="120"/>
        <w:jc w:val="both"/>
      </w:pPr>
      <w:r>
        <w:rPr>
          <w:rFonts w:ascii="Times New Roman" w:hAnsi="Times New Roman"/>
          <w:b/>
          <w:bCs/>
          <w:sz w:val="24"/>
        </w:rPr>
        <w:t xml:space="preserve">IMPACTO DE LAS VARIABLES MACROECONÓMICAS EN LA VOLATILIDAD DEL IBEX 35: ANÁLISIS DEL DATO</w:t>
      </w:r>
    </w:p>
    <w:p>
      <w:pPr>
        <w:pStyle w:val="BodyText"/>
        <w:spacing w:line="360" w:lineRule="auto" w:before="0" w:after="120"/>
        <w:jc w:val="both"/>
      </w:pPr>
      <w:r>
        <w:rPr>
          <w:rFonts w:ascii="Times New Roman" w:hAnsi="Times New Roman"/>
          <w:sz w:val="24"/>
        </w:rPr>
        <w:t xml:space="preserve">Alumno:</w:t>
      </w:r>
      <w:r>
        <w:rPr>
          <w:rFonts w:ascii="Times New Roman" w:hAnsi="Times New Roman"/>
          <w:sz w:val="24"/>
        </w:rPr>
        <w:t xml:space="preserve"> </w:t>
      </w:r>
      <w:r>
        <w:rPr>
          <w:rFonts w:ascii="Times New Roman" w:hAnsi="Times New Roman"/>
          <w:sz w:val="24"/>
        </w:rPr>
        <w:t xml:space="preserve">Email:</w:t>
      </w:r>
      <w:r>
        <w:rPr>
          <w:rFonts w:ascii="Times New Roman" w:hAnsi="Times New Roman"/>
          <w:sz w:val="24"/>
        </w:rPr>
        <w:t xml:space="preserve"> </w:t>
      </w:r>
      <w:r>
        <w:rPr>
          <w:rFonts w:ascii="Times New Roman" w:hAnsi="Times New Roman"/>
          <w:sz w:val="24"/>
        </w:rPr>
        <w:t xml:space="preserve">Grado en: Ingeniería de Datos</w:t>
      </w:r>
      <w:r>
        <w:rPr>
          <w:rFonts w:ascii="Times New Roman" w:hAnsi="Times New Roman"/>
          <w:sz w:val="24"/>
        </w:rPr>
        <w:t xml:space="preserve"> </w:t>
      </w:r>
      <w:r>
        <w:rPr>
          <w:rFonts w:ascii="Times New Roman" w:hAnsi="Times New Roman"/>
          <w:sz w:val="24"/>
        </w:rPr>
        <w:t xml:space="preserve">Curso académico: 2024-2025</w:t>
      </w:r>
      <w:r>
        <w:rPr>
          <w:rFonts w:ascii="Times New Roman" w:hAnsi="Times New Roman"/>
          <w:sz w:val="24"/>
        </w:rPr>
        <w:t xml:space="preserve"> </w:t>
      </w:r>
      <w:r>
        <w:rPr>
          <w:rFonts w:ascii="Times New Roman" w:hAnsi="Times New Roman"/>
          <w:sz w:val="24"/>
        </w:rPr>
        <w:t xml:space="preserve">Tutor:</w:t>
      </w:r>
      <w:r>
        <w:rPr>
          <w:rFonts w:ascii="Times New Roman" w:hAnsi="Times New Roman"/>
          <w:sz w:val="24"/>
        </w:rPr>
        <w:t xml:space="preserve"> </w:t>
      </w:r>
      <w:r>
        <w:rPr>
          <w:rFonts w:ascii="Times New Roman" w:hAnsi="Times New Roman"/>
          <w:sz w:val="24"/>
        </w:rPr>
        <w:t xml:space="preserve">Facultad: Facultad de Ingeniería de la Universidad Francisco de Vitoria</w:t>
      </w:r>
    </w:p>
    <w:p>
      <w:pPr>
        <w:spacing w:line="360" w:lineRule="auto" w:before="0" w:after="120"/>
        <w:jc w:val="both"/>
      </w:pPr>
      <w:r>
        <w:rPr>
          <w:rFonts w:ascii="Times New Roman" w:hAnsi="Times New Roman"/>
          <w:sz w:val="24"/>
        </w:rPr>
        <w:pict>
          <v:rect style="width:0;height:1.5pt" o:hralign="center" o:hrstd="t" o:hr="t"/>
        </w:pict>
      </w:r>
    </w:p>
    <w:bookmarkEnd w:id="9"/>
    <w:bookmarkStart w:id="10" w:name="resumen"/>
    <w:p>
      <w:pPr>
        <w:pStyle w:val="Heading1"/>
        <w:spacing w:line="360" w:lineRule="auto" w:before="0" w:after="120"/>
        <w:jc w:val="both"/>
      </w:pPr>
      <w:r>
        <w:rPr>
          <w:rFonts w:ascii="Times New Roman" w:hAnsi="Times New Roman"/>
          <w:sz w:val="24"/>
        </w:rPr>
        <w:t xml:space="preserve">Resumen</w:t>
      </w:r>
    </w:p>
    <w:p>
      <w:pPr>
        <w:pStyle w:val="FirstParagraph"/>
        <w:spacing w:line="360" w:lineRule="auto" w:before="0" w:after="120"/>
        <w:jc w:val="both"/>
      </w:pPr>
      <w:r>
        <w:rPr>
          <w:rFonts w:ascii="Times New Roman" w:hAnsi="Times New Roman"/>
          <w:sz w:val="24"/>
        </w:rPr>
        <w:t xml:space="preserve">El capítulo de Análisis del Dato constituye el núcleo de modelización de este trabajo, que persigue responder una pregunta central: ¿proporcionan las variables macroeconómicas información predictiva adicional sobre la volatilidad del IBEX 35 más allá de su propia historia? Para responderla, se implementan cuatro modelos de complejidad creciente (regresión lineal simple como baseline, OLS con estructura HAR extendido con variables macro, GARCH(1,1) con distribución t-Student, y XGBoost con SHAP analysis), y se evalúan mediante métricas complementarias (RMSE, MAE, R², QLIKE) y el test Diebold-Mariano. Los resultados muestran que la volatilidad del IBEX 35 es altamente predecible (R² &gt; 0,96), pero con un hallazgo crucial: las variables macro</w:t>
      </w:r>
      <w:r>
        <w:rPr>
          <w:rFonts w:ascii="Times New Roman" w:hAnsi="Times New Roman"/>
          <w:sz w:val="24"/>
        </w:rPr>
        <w:t xml:space="preserve"> </w:t>
      </w:r>
      <w:r>
        <w:rPr>
          <w:rFonts w:ascii="Times New Roman" w:hAnsi="Times New Roman"/>
          <w:b/>
          <w:bCs/>
          <w:sz w:val="24"/>
        </w:rPr>
        <w:t xml:space="preserve">empeoran el OLS</w:t>
      </w:r>
      <w:r>
        <w:rPr>
          <w:rFonts w:ascii="Times New Roman" w:hAnsi="Times New Roman"/>
          <w:sz w:val="24"/>
        </w:rPr>
        <w:t xml:space="preserve"> </w:t>
      </w:r>
      <w:r>
        <w:rPr>
          <w:rFonts w:ascii="Times New Roman" w:hAnsi="Times New Roman"/>
          <w:sz w:val="24"/>
        </w:rPr>
        <w:t xml:space="preserve">(+7,2% RMSE) debido a multicolinealidad, pero</w:t>
      </w:r>
      <w:r>
        <w:rPr>
          <w:rFonts w:ascii="Times New Roman" w:hAnsi="Times New Roman"/>
          <w:sz w:val="24"/>
        </w:rPr>
        <w:t xml:space="preserve"> </w:t>
      </w:r>
      <w:r>
        <w:rPr>
          <w:rFonts w:ascii="Times New Roman" w:hAnsi="Times New Roman"/>
          <w:b/>
          <w:bCs/>
          <w:sz w:val="24"/>
        </w:rPr>
        <w:t xml:space="preserve">mejoran significativamente el XGBoost</w:t>
      </w:r>
      <w:r>
        <w:rPr>
          <w:rFonts w:ascii="Times New Roman" w:hAnsi="Times New Roman"/>
          <w:sz w:val="24"/>
        </w:rPr>
        <w:t xml:space="preserve"> </w:t>
      </w:r>
      <w:r>
        <w:rPr>
          <w:rFonts w:ascii="Times New Roman" w:hAnsi="Times New Roman"/>
          <w:sz w:val="24"/>
        </w:rPr>
        <w:t xml:space="preserve">(−14,1% RMSE), confirmando que la relación macro-volatilidad es</w:t>
      </w:r>
      <w:r>
        <w:rPr>
          <w:rFonts w:ascii="Times New Roman" w:hAnsi="Times New Roman"/>
          <w:sz w:val="24"/>
        </w:rPr>
        <w:t xml:space="preserve"> </w:t>
      </w:r>
      <w:r>
        <w:rPr>
          <w:rFonts w:ascii="Times New Roman" w:hAnsi="Times New Roman"/>
          <w:b/>
          <w:bCs/>
          <w:sz w:val="24"/>
        </w:rPr>
        <w:t xml:space="preserve">no lineal</w:t>
      </w:r>
      <w:r>
        <w:rPr>
          <w:rFonts w:ascii="Times New Roman" w:hAnsi="Times New Roman"/>
          <w:sz w:val="24"/>
        </w:rPr>
        <w:t xml:space="preserve">. El Event Study identifica 1.058 eventos de publicaciones macroeconómicas, encontrando que generan volatilidad un 11,6% superior a los días normales, con asimetrías importantes (recortes de tipos del BCE y aumentos del paro son más disruptivos que alzas).</w:t>
      </w:r>
    </w:p>
    <w:p>
      <w:pPr>
        <w:pStyle w:val="BodyText"/>
        <w:spacing w:line="360" w:lineRule="auto" w:before="0" w:after="120"/>
        <w:jc w:val="both"/>
      </w:pPr>
      <w:r>
        <w:rPr>
          <w:rFonts w:ascii="Times New Roman" w:hAnsi="Times New Roman"/>
          <w:b/>
          <w:bCs/>
          <w:sz w:val="24"/>
        </w:rPr>
        <w:t xml:space="preserve">Palabras clave:</w:t>
      </w:r>
      <w:r>
        <w:rPr>
          <w:rFonts w:ascii="Times New Roman" w:hAnsi="Times New Roman"/>
          <w:sz w:val="24"/>
        </w:rPr>
        <w:t xml:space="preserve"> </w:t>
      </w:r>
      <w:r>
        <w:rPr>
          <w:rFonts w:ascii="Times New Roman" w:hAnsi="Times New Roman"/>
          <w:sz w:val="24"/>
        </w:rPr>
        <w:t xml:space="preserve">volatilidad, pronóstico, machine learning, variables macroeconómicas, Event Study, modelos no lineales.</w:t>
      </w:r>
    </w:p>
    <w:bookmarkEnd w:id="10"/>
    <w:bookmarkStart w:id="11" w:name="abstract"/>
    <w:p>
      <w:pPr>
        <w:pStyle w:val="Heading1"/>
        <w:spacing w:line="360" w:lineRule="auto" w:before="0" w:after="120"/>
        <w:jc w:val="both"/>
      </w:pPr>
      <w:r>
        <w:rPr>
          <w:rFonts w:ascii="Times New Roman" w:hAnsi="Times New Roman"/>
          <w:sz w:val="24"/>
        </w:rPr>
        <w:t xml:space="preserve">Abstract</w:t>
      </w:r>
    </w:p>
    <w:p>
      <w:pPr>
        <w:pStyle w:val="FirstParagraph"/>
        <w:spacing w:line="360" w:lineRule="auto" w:before="0" w:after="120"/>
        <w:jc w:val="both"/>
      </w:pPr>
      <w:r>
        <w:rPr>
          <w:rFonts w:ascii="Times New Roman" w:hAnsi="Times New Roman"/>
          <w:sz w:val="24"/>
        </w:rPr>
        <w:t xml:space="preserve">The Data Analysis chapter is the modeling core of this work, which seeks to answer a central question: do macroeconomic variables provide additional predictive information about IBEX 35 volatility beyond its own history? To answer it, four models of increasing complexity are implemented (simple linear regression as baseline, OLS with HAR structure extended with macro variables, GARCH(1,1) with t-Student distribution, and XGBoost with SHAP analysis), and evaluated using complementary metrics (RMSE, MAE, R², QLIKE) and the Diebold-Mariano test. Results show that IBEX 35 volatility is highly predictable (R² &gt; 0.96), but with a crucial finding: macroeconomic variables</w:t>
      </w:r>
      <w:r>
        <w:rPr>
          <w:rFonts w:ascii="Times New Roman" w:hAnsi="Times New Roman"/>
          <w:sz w:val="24"/>
        </w:rPr>
        <w:t xml:space="preserve"> </w:t>
      </w:r>
      <w:r>
        <w:rPr>
          <w:rFonts w:ascii="Times New Roman" w:hAnsi="Times New Roman"/>
          <w:b/>
          <w:bCs/>
          <w:sz w:val="24"/>
        </w:rPr>
        <w:t xml:space="preserve">worsen OLS</w:t>
      </w:r>
      <w:r>
        <w:rPr>
          <w:rFonts w:ascii="Times New Roman" w:hAnsi="Times New Roman"/>
          <w:sz w:val="24"/>
        </w:rPr>
        <w:t xml:space="preserve"> </w:t>
      </w:r>
      <w:r>
        <w:rPr>
          <w:rFonts w:ascii="Times New Roman" w:hAnsi="Times New Roman"/>
          <w:sz w:val="24"/>
        </w:rPr>
        <w:t xml:space="preserve">(+7.2% RMSE) due to multicollinearity, but</w:t>
      </w:r>
      <w:r>
        <w:rPr>
          <w:rFonts w:ascii="Times New Roman" w:hAnsi="Times New Roman"/>
          <w:sz w:val="24"/>
        </w:rPr>
        <w:t xml:space="preserve"> </w:t>
      </w:r>
      <w:r>
        <w:rPr>
          <w:rFonts w:ascii="Times New Roman" w:hAnsi="Times New Roman"/>
          <w:b/>
          <w:bCs/>
          <w:sz w:val="24"/>
        </w:rPr>
        <w:t xml:space="preserve">significantly improve XGBoost</w:t>
      </w:r>
      <w:r>
        <w:rPr>
          <w:rFonts w:ascii="Times New Roman" w:hAnsi="Times New Roman"/>
          <w:sz w:val="24"/>
        </w:rPr>
        <w:t xml:space="preserve"> </w:t>
      </w:r>
      <w:r>
        <w:rPr>
          <w:rFonts w:ascii="Times New Roman" w:hAnsi="Times New Roman"/>
          <w:sz w:val="24"/>
        </w:rPr>
        <w:t xml:space="preserve">(−14.1% RMSE), confirming that the macro-volatility relationship is</w:t>
      </w:r>
      <w:r>
        <w:rPr>
          <w:rFonts w:ascii="Times New Roman" w:hAnsi="Times New Roman"/>
          <w:sz w:val="24"/>
        </w:rPr>
        <w:t xml:space="preserve"> </w:t>
      </w:r>
      <w:r>
        <w:rPr>
          <w:rFonts w:ascii="Times New Roman" w:hAnsi="Times New Roman"/>
          <w:b/>
          <w:bCs/>
          <w:sz w:val="24"/>
        </w:rPr>
        <w:t xml:space="preserve">nonlinear</w:t>
      </w:r>
      <w:r>
        <w:rPr>
          <w:rFonts w:ascii="Times New Roman" w:hAnsi="Times New Roman"/>
          <w:sz w:val="24"/>
        </w:rPr>
        <w:t xml:space="preserve">. The Event Study identifies 1,058 macroeconomic publication events, finding they generate 11.6% higher volatility than normal days, with important asymmetries (ECB rate cuts and unemployment increases are more disruptive than hikes).</w:t>
      </w:r>
    </w:p>
    <w:p>
      <w:pPr>
        <w:pStyle w:val="BodyText"/>
        <w:spacing w:line="360" w:lineRule="auto" w:before="0" w:after="120"/>
        <w:jc w:val="both"/>
      </w:pPr>
      <w:r>
        <w:rPr>
          <w:rFonts w:ascii="Times New Roman" w:hAnsi="Times New Roman"/>
          <w:b/>
          <w:bCs/>
          <w:sz w:val="24"/>
        </w:rPr>
        <w:t xml:space="preserve">Key words:</w:t>
      </w:r>
      <w:r>
        <w:rPr>
          <w:rFonts w:ascii="Times New Roman" w:hAnsi="Times New Roman"/>
          <w:sz w:val="24"/>
        </w:rPr>
        <w:t xml:space="preserve"> </w:t>
      </w:r>
      <w:r>
        <w:rPr>
          <w:rFonts w:ascii="Times New Roman" w:hAnsi="Times New Roman"/>
          <w:sz w:val="24"/>
        </w:rPr>
        <w:t xml:space="preserve">volatility, forecasting, machine learning, macroeconomic variables, Event Study, nonlinear models.</w:t>
      </w:r>
    </w:p>
    <w:bookmarkEnd w:id="11"/>
    <w:bookmarkStart w:id="12" w:name="agradecimientos"/>
    <w:p>
      <w:pPr>
        <w:pStyle w:val="Heading1"/>
        <w:spacing w:line="360" w:lineRule="auto" w:before="0" w:after="120"/>
        <w:jc w:val="both"/>
      </w:pPr>
      <w:r>
        <w:rPr>
          <w:rFonts w:ascii="Times New Roman" w:hAnsi="Times New Roman"/>
          <w:sz w:val="24"/>
        </w:rPr>
        <w:t xml:space="preserve">Agradecimientos</w:t>
      </w:r>
    </w:p>
    <w:p>
      <w:pPr>
        <w:pStyle w:val="FirstParagraph"/>
        <w:spacing w:line="360" w:lineRule="auto" w:before="0" w:after="120"/>
        <w:jc w:val="both"/>
      </w:pPr>
      <w:r>
        <w:rPr>
          <w:rFonts w:ascii="Times New Roman" w:hAnsi="Times New Roman"/>
          <w:sz w:val="24"/>
        </w:rPr>
        <w:t xml:space="preserve">Agradezco al equipo de supervisión académica por la revisión crítica de la metodología econométrica y la validación de los resultados. Asimismo, reconozco la literatura académica de volatilidad financiera (Bollerslev, 1986; Corsi, 2009; Patton, 2011) que ha guiado las decisiones de modelización.</w:t>
      </w:r>
    </w:p>
    <w:p>
      <w:pPr>
        <w:spacing w:line="360" w:lineRule="auto" w:before="0" w:after="120"/>
        <w:jc w:val="both"/>
      </w:pPr>
      <w:r>
        <w:rPr>
          <w:rFonts w:ascii="Times New Roman" w:hAnsi="Times New Roman"/>
          <w:sz w:val="24"/>
        </w:rPr>
        <w:pict>
          <v:rect style="width:0;height:1.5pt" o:hralign="center" o:hrstd="t" o:hr="t"/>
        </w:pict>
      </w:r>
    </w:p>
    <w:bookmarkEnd w:id="12"/>
    <w:bookmarkStart w:id="15" w:name="objetivos"/>
    <w:p>
      <w:pPr>
        <w:pStyle w:val="Heading1"/>
        <w:spacing w:line="360" w:lineRule="auto" w:before="0" w:after="120"/>
        <w:jc w:val="both"/>
      </w:pPr>
      <w:r>
        <w:rPr>
          <w:rFonts w:ascii="Times New Roman" w:hAnsi="Times New Roman"/>
          <w:sz w:val="24"/>
        </w:rPr>
        <w:t xml:space="preserve">OBJETIVOS</w:t>
      </w:r>
    </w:p>
    <w:bookmarkStart w:id="13" w:name="objetivo-general"/>
    <w:p>
      <w:pPr>
        <w:pStyle w:val="Heading2"/>
        <w:spacing w:line="360" w:lineRule="auto" w:before="0" w:after="120"/>
        <w:jc w:val="both"/>
      </w:pPr>
      <w:r>
        <w:rPr>
          <w:rFonts w:ascii="Times New Roman" w:hAnsi="Times New Roman"/>
          <w:sz w:val="24"/>
        </w:rPr>
        <w:t xml:space="preserve">Objetivo General</w:t>
      </w:r>
    </w:p>
    <w:p>
      <w:pPr>
        <w:pStyle w:val="FirstParagraph"/>
        <w:spacing w:line="360" w:lineRule="auto" w:before="0" w:after="120"/>
        <w:jc w:val="both"/>
      </w:pPr>
      <w:r>
        <w:rPr>
          <w:rFonts w:ascii="Times New Roman" w:hAnsi="Times New Roman"/>
          <w:sz w:val="24"/>
        </w:rPr>
        <w:t xml:space="preserve">Construir y comparar cuatro modelos de predicción de volatilidad del IBEX 35 de complejidad creciente para cuantificar el aporte incremental de variables macroeconómicas en contextos lineales y no lineales, y complementar el análisis con un Event Study de publicaciones macro.</w:t>
      </w:r>
    </w:p>
    <w:bookmarkEnd w:id="13"/>
    <w:bookmarkStart w:id="14" w:name="objetivos-específicos"/>
    <w:p>
      <w:pPr>
        <w:pStyle w:val="Heading2"/>
        <w:spacing w:line="360" w:lineRule="auto" w:before="0" w:after="120"/>
        <w:jc w:val="both"/>
      </w:pPr>
      <w:r>
        <w:rPr>
          <w:rFonts w:ascii="Times New Roman" w:hAnsi="Times New Roman"/>
          <w:sz w:val="24"/>
        </w:rPr>
        <w:t xml:space="preserve">Objetivos Específicos</w:t>
      </w:r>
    </w:p>
    <w:p>
      <w:pPr>
        <w:pStyle w:val="Compact"/>
        <w:numPr>
          <w:ilvl w:val="0"/>
          <w:numId w:val="1001"/>
        </w:numPr>
        <w:spacing w:line="360" w:lineRule="auto" w:before="0" w:after="120"/>
        <w:jc w:val="both"/>
      </w:pPr>
      <w:r>
        <w:rPr>
          <w:rFonts w:ascii="Times New Roman" w:hAnsi="Times New Roman"/>
          <w:sz w:val="24"/>
        </w:rPr>
        <w:t xml:space="preserve">Implementar cuatro modelos progresivos: baseline simple (vol_lag1), OLS HAR+macro con coeficientes interpretables, GARCH(1,1) con innovaciones t-Student, y XGBoost con optimización de hiperparámetros.</w:t>
      </w:r>
    </w:p>
    <w:p>
      <w:pPr>
        <w:pStyle w:val="Compact"/>
        <w:numPr>
          <w:ilvl w:val="0"/>
          <w:numId w:val="1001"/>
        </w:numPr>
        <w:spacing w:line="360" w:lineRule="auto" w:before="0" w:after="120"/>
        <w:jc w:val="both"/>
      </w:pPr>
      <w:r>
        <w:rPr>
          <w:rFonts w:ascii="Times New Roman" w:hAnsi="Times New Roman"/>
          <w:sz w:val="24"/>
        </w:rPr>
        <w:t xml:space="preserve">Evaluar la precisión predictiva de cada modelo utilizando cuatro métricas complementarias (RMSE, MAE, R², QLIKE) acordes con la literatura de volatilidad.</w:t>
      </w:r>
    </w:p>
    <w:p>
      <w:pPr>
        <w:pStyle w:val="Compact"/>
        <w:numPr>
          <w:ilvl w:val="0"/>
          <w:numId w:val="1001"/>
        </w:numPr>
        <w:spacing w:line="360" w:lineRule="auto" w:before="0" w:after="120"/>
        <w:jc w:val="both"/>
      </w:pPr>
      <w:r>
        <w:rPr>
          <w:rFonts w:ascii="Times New Roman" w:hAnsi="Times New Roman"/>
          <w:sz w:val="24"/>
        </w:rPr>
        <w:t xml:space="preserve">Realizar tests formales de comparación de precisión (Diebold-Mariano) para establecer si las diferencias entre modelos son estadísticamente significativas.</w:t>
      </w:r>
    </w:p>
    <w:p>
      <w:pPr>
        <w:pStyle w:val="Compact"/>
        <w:numPr>
          <w:ilvl w:val="0"/>
          <w:numId w:val="1001"/>
        </w:numPr>
        <w:spacing w:line="360" w:lineRule="auto" w:before="0" w:after="120"/>
        <w:jc w:val="both"/>
      </w:pPr>
      <w:r>
        <w:rPr>
          <w:rFonts w:ascii="Times New Roman" w:hAnsi="Times New Roman"/>
          <w:sz w:val="24"/>
        </w:rPr>
        <w:t xml:space="preserve">Cuantificar el valor marginal añadido de las variables macroeconómicas comparando cada modelo en configuración HAR solo vs. HAR+macro.</w:t>
      </w:r>
    </w:p>
    <w:p>
      <w:pPr>
        <w:pStyle w:val="Compact"/>
        <w:numPr>
          <w:ilvl w:val="0"/>
          <w:numId w:val="1001"/>
        </w:numPr>
        <w:spacing w:line="360" w:lineRule="auto" w:before="0" w:after="120"/>
        <w:jc w:val="both"/>
      </w:pPr>
      <w:r>
        <w:rPr>
          <w:rFonts w:ascii="Times New Roman" w:hAnsi="Times New Roman"/>
          <w:sz w:val="24"/>
        </w:rPr>
        <w:t xml:space="preserve">Identificar las variables macro más relevantes mediante análisis SHAP (SHapley Additive exPlanations) para modelos de caja negra como XGBoost.</w:t>
      </w:r>
    </w:p>
    <w:p>
      <w:pPr>
        <w:pStyle w:val="Compact"/>
        <w:numPr>
          <w:ilvl w:val="0"/>
          <w:numId w:val="1001"/>
        </w:numPr>
        <w:spacing w:line="360" w:lineRule="auto" w:before="0" w:after="120"/>
        <w:jc w:val="both"/>
      </w:pPr>
      <w:r>
        <w:rPr>
          <w:rFonts w:ascii="Times New Roman" w:hAnsi="Times New Roman"/>
          <w:sz w:val="24"/>
        </w:rPr>
        <w:t xml:space="preserve">Ejecutar un Event Study que identifique publicaciones macroeconómicas y cuantifique su impacto puntual en la volatilidad diaria.</w:t>
      </w:r>
    </w:p>
    <w:p>
      <w:pPr>
        <w:pStyle w:val="Compact"/>
        <w:numPr>
          <w:ilvl w:val="0"/>
          <w:numId w:val="1001"/>
        </w:numPr>
        <w:spacing w:line="360" w:lineRule="auto" w:before="0" w:after="120"/>
        <w:jc w:val="both"/>
      </w:pPr>
      <w:r>
        <w:rPr>
          <w:rFonts w:ascii="Times New Roman" w:hAnsi="Times New Roman"/>
          <w:sz w:val="24"/>
        </w:rPr>
        <w:t xml:space="preserve">Analizar asimetrías por signo del cambio (aumentos vs. disminuciones de indicadores) y por categoría (actividad real, inflación, política monetaria).</w:t>
      </w:r>
    </w:p>
    <w:p>
      <w:pPr>
        <w:pStyle w:val="Compact"/>
        <w:numPr>
          <w:ilvl w:val="0"/>
          <w:numId w:val="1001"/>
        </w:numPr>
        <w:spacing w:line="360" w:lineRule="auto" w:before="0" w:after="120"/>
        <w:jc w:val="both"/>
      </w:pPr>
      <w:r>
        <w:rPr>
          <w:rFonts w:ascii="Times New Roman" w:hAnsi="Times New Roman"/>
          <w:sz w:val="24"/>
        </w:rPr>
        <w:t xml:space="preserve">Documentar limitaciones metodológicas (autocorrelación mecánica del target, frecuencia de variables macro) y potenciales mejoras.</w:t>
      </w:r>
    </w:p>
    <w:p>
      <w:pPr>
        <w:spacing w:line="360" w:lineRule="auto" w:before="0" w:after="120"/>
        <w:jc w:val="both"/>
      </w:pPr>
      <w:r>
        <w:rPr>
          <w:rFonts w:ascii="Times New Roman" w:hAnsi="Times New Roman"/>
          <w:sz w:val="24"/>
        </w:rPr>
        <w:pict>
          <v:rect style="width:0;height:1.5pt" o:hralign="center" o:hrstd="t" o:hr="t"/>
        </w:pict>
      </w:r>
    </w:p>
    <w:bookmarkEnd w:id="14"/>
    <w:bookmarkEnd w:id="15"/>
    <w:bookmarkStart w:id="24" w:name="cuerpo-de-la-memoria"/>
    <w:p>
      <w:pPr>
        <w:pStyle w:val="Heading1"/>
        <w:spacing w:line="360" w:lineRule="auto" w:before="0" w:after="120"/>
        <w:jc w:val="both"/>
      </w:pPr>
      <w:r>
        <w:rPr>
          <w:rFonts w:ascii="Times New Roman" w:hAnsi="Times New Roman"/>
          <w:sz w:val="24"/>
        </w:rPr>
        <w:t xml:space="preserve">CUERPO DE LA MEMORIA</w:t>
      </w:r>
    </w:p>
    <w:bookmarkStart w:id="16" w:name="introducción"/>
    <w:p>
      <w:pPr>
        <w:pStyle w:val="Heading2"/>
        <w:spacing w:line="360" w:lineRule="auto" w:before="0" w:after="120"/>
        <w:jc w:val="both"/>
      </w:pPr>
      <w:r>
        <w:rPr>
          <w:rFonts w:ascii="Times New Roman" w:hAnsi="Times New Roman"/>
          <w:sz w:val="24"/>
        </w:rPr>
        <w:t xml:space="preserve">1. Introducción</w:t>
      </w:r>
    </w:p>
    <w:p>
      <w:pPr>
        <w:pStyle w:val="FirstParagraph"/>
        <w:spacing w:line="360" w:lineRule="auto" w:before="0" w:after="120"/>
        <w:jc w:val="both"/>
      </w:pPr>
      <w:r>
        <w:rPr>
          <w:rFonts w:ascii="Times New Roman" w:hAnsi="Times New Roman"/>
          <w:sz w:val="24"/>
        </w:rPr>
        <w:t xml:space="preserve">El capítulo de Análisis del Dato constituye el núcleo de modelización del trabajo. Partiendo del dataset maestro construido en la fase de Ingeniería del Dato (157.455 filas × 31 columnas), este capítulo persigue dos objetivos: (1)</w:t>
      </w:r>
      <w:r>
        <w:rPr>
          <w:rFonts w:ascii="Times New Roman" w:hAnsi="Times New Roman"/>
          <w:sz w:val="24"/>
        </w:rPr>
        <w:t xml:space="preserve"> </w:t>
      </w:r>
      <w:r>
        <w:rPr>
          <w:rFonts w:ascii="Times New Roman" w:hAnsi="Times New Roman"/>
          <w:b/>
          <w:bCs/>
          <w:sz w:val="24"/>
        </w:rPr>
        <w:t xml:space="preserve">predecir la volatilidad del IBEX 35</w:t>
      </w:r>
      <w:r>
        <w:rPr>
          <w:rFonts w:ascii="Times New Roman" w:hAnsi="Times New Roman"/>
          <w:sz w:val="24"/>
        </w:rPr>
        <w:t xml:space="preserve"> </w:t>
      </w:r>
      <w:r>
        <w:rPr>
          <w:rFonts w:ascii="Times New Roman" w:hAnsi="Times New Roman"/>
          <w:sz w:val="24"/>
        </w:rPr>
        <w:t xml:space="preserve">comparando cuatro modelos de complejidad creciente y (2)</w:t>
      </w:r>
      <w:r>
        <w:rPr>
          <w:rFonts w:ascii="Times New Roman" w:hAnsi="Times New Roman"/>
          <w:sz w:val="24"/>
        </w:rPr>
        <w:t xml:space="preserve"> </w:t>
      </w:r>
      <w:r>
        <w:rPr>
          <w:rFonts w:ascii="Times New Roman" w:hAnsi="Times New Roman"/>
          <w:b/>
          <w:bCs/>
          <w:sz w:val="24"/>
        </w:rPr>
        <w:t xml:space="preserve">cuantificar el impacto puntual de las publicaciones macroeconómicas</w:t>
      </w:r>
      <w:r>
        <w:rPr>
          <w:rFonts w:ascii="Times New Roman" w:hAnsi="Times New Roman"/>
          <w:sz w:val="24"/>
        </w:rPr>
        <w:t xml:space="preserve"> </w:t>
      </w:r>
      <w:r>
        <w:rPr>
          <w:rFonts w:ascii="Times New Roman" w:hAnsi="Times New Roman"/>
          <w:sz w:val="24"/>
        </w:rPr>
        <w:t xml:space="preserve">sobre la volatilidad mediante un Event Study.</w:t>
      </w:r>
    </w:p>
    <w:p>
      <w:pPr>
        <w:pStyle w:val="BodyText"/>
        <w:spacing w:line="360" w:lineRule="auto" w:before="0" w:after="120"/>
        <w:jc w:val="both"/>
      </w:pPr>
      <w:r>
        <w:rPr>
          <w:rFonts w:ascii="Times New Roman" w:hAnsi="Times New Roman"/>
          <w:sz w:val="24"/>
        </w:rPr>
        <w:t xml:space="preserve">El análisis se implementa en</w:t>
      </w:r>
      <w:r>
        <w:rPr>
          <w:rFonts w:ascii="Times New Roman" w:hAnsi="Times New Roman"/>
          <w:sz w:val="24"/>
        </w:rPr>
        <w:t xml:space="preserve"> </w:t>
      </w:r>
      <w:r>
        <w:rPr>
          <w:rFonts w:ascii="Times New Roman" w:hAnsi="Times New Roman"/>
          <w:b/>
          <w:bCs/>
          <w:sz w:val="24"/>
        </w:rPr>
        <w:t xml:space="preserve">dos notebooks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01_modelos_volatilidad</w:t>
      </w:r>
      <w:r>
        <w:rPr>
          <w:rFonts w:ascii="Times New Roman" w:hAnsi="Times New Roman"/>
          <w:sz w:val="24"/>
        </w:rPr>
        <w:t xml:space="preserve"> </w:t>
      </w:r>
      <w:r>
        <w:rPr>
          <w:rFonts w:ascii="Times New Roman" w:hAnsi="Times New Roman"/>
          <w:sz w:val="24"/>
        </w:rPr>
        <w:t xml:space="preserve">(modelos predictivos) y</w:t>
      </w:r>
      <w:r>
        <w:rPr>
          <w:rFonts w:ascii="Times New Roman" w:hAnsi="Times New Roman"/>
          <w:sz w:val="24"/>
        </w:rPr>
        <w:t xml:space="preserve"> </w:t>
      </w:r>
      <w:r>
        <w:rPr>
          <w:rStyle w:val="VerbatimChar"/>
          <w:rFonts w:ascii="Times New Roman" w:hAnsi="Times New Roman"/>
          <w:sz w:val="24"/>
        </w:rPr>
        <w:t xml:space="preserve">02_event_study_macro</w:t>
      </w:r>
      <w:r>
        <w:rPr>
          <w:rFonts w:ascii="Times New Roman" w:hAnsi="Times New Roman"/>
          <w:sz w:val="24"/>
        </w:rPr>
        <w:t xml:space="preserve"> </w:t>
      </w:r>
      <w:r>
        <w:rPr>
          <w:rFonts w:ascii="Times New Roman" w:hAnsi="Times New Roman"/>
          <w:sz w:val="24"/>
        </w:rPr>
        <w:t xml:space="preserve">(estudio de eventos). Ambos se ejecutan sobre la base de datos SQLite generada en el capítulo anterior.</w:t>
      </w:r>
    </w:p>
    <w:bookmarkEnd w:id="16"/>
    <w:bookmarkStart w:id="23" w:name="marco-teórico"/>
    <w:p>
      <w:pPr>
        <w:pStyle w:val="Heading2"/>
        <w:spacing w:line="360" w:lineRule="auto" w:before="0" w:after="120"/>
        <w:jc w:val="both"/>
      </w:pPr>
      <w:r>
        <w:rPr>
          <w:rFonts w:ascii="Times New Roman" w:hAnsi="Times New Roman"/>
          <w:sz w:val="24"/>
        </w:rPr>
        <w:t xml:space="preserve">2. Marco teórico</w:t>
      </w:r>
    </w:p>
    <w:bookmarkStart w:id="17" w:name="la-volatilidad-como-objeto-de-predicción"/>
    <w:p>
      <w:pPr>
        <w:pStyle w:val="Heading3"/>
        <w:spacing w:line="360" w:lineRule="auto" w:before="0" w:after="120"/>
        <w:jc w:val="both"/>
      </w:pPr>
      <w:r>
        <w:rPr>
          <w:rFonts w:ascii="Times New Roman" w:hAnsi="Times New Roman"/>
          <w:sz w:val="24"/>
        </w:rPr>
        <w:t xml:space="preserve">2.1. La volatilidad como objeto de predicción</w:t>
      </w:r>
    </w:p>
    <w:p>
      <w:pPr>
        <w:pStyle w:val="FirstParagraph"/>
        <w:spacing w:line="360" w:lineRule="auto" w:before="0" w:after="120"/>
        <w:jc w:val="both"/>
      </w:pPr>
      <w:r>
        <w:rPr>
          <w:rFonts w:ascii="Times New Roman" w:hAnsi="Times New Roman"/>
          <w:sz w:val="24"/>
        </w:rPr>
        <w:t xml:space="preserve">La volatilidad de los activos financieros es una medida central del riesgo en la teoría moderna de carteras y en la gestión del riesgo. A diferencia del precio — no estacionario — o del retorno — estacionario pero de media cercana a cero —, la</w:t>
      </w:r>
      <w:r>
        <w:rPr>
          <w:rFonts w:ascii="Times New Roman" w:hAnsi="Times New Roman"/>
          <w:sz w:val="24"/>
        </w:rPr>
        <w:t xml:space="preserve"> </w:t>
      </w:r>
      <w:r>
        <w:rPr>
          <w:rFonts w:ascii="Times New Roman" w:hAnsi="Times New Roman"/>
          <w:b/>
          <w:bCs/>
          <w:sz w:val="24"/>
        </w:rPr>
        <w:t xml:space="preserve">volatilidad realizada</w:t>
      </w:r>
      <w:r>
        <w:rPr>
          <w:rFonts w:ascii="Times New Roman" w:hAnsi="Times New Roman"/>
          <w:sz w:val="24"/>
        </w:rPr>
        <w:t xml:space="preserve"> </w:t>
      </w:r>
      <w:r>
        <w:rPr>
          <w:rFonts w:ascii="Times New Roman" w:hAnsi="Times New Roman"/>
          <w:sz w:val="24"/>
        </w:rPr>
        <w:t xml:space="preserve">exhibe propiedades estadísticas que facilitan su modelización: es estrictamente positiva, persiste en el tiempo (</w:t>
      </w:r>
      <w:r>
        <w:rPr>
          <w:rFonts w:ascii="Times New Roman" w:hAnsi="Times New Roman"/>
          <w:i/>
          <w:iCs/>
          <w:sz w:val="24"/>
        </w:rPr>
        <w:t xml:space="preserve">clustering</w:t>
      </w:r>
      <w:r>
        <w:rPr>
          <w:rFonts w:ascii="Times New Roman" w:hAnsi="Times New Roman"/>
          <w:sz w:val="24"/>
        </w:rPr>
        <w:t xml:space="preserve">) y es parcialmente predecible.</w:t>
      </w:r>
    </w:p>
    <w:p>
      <w:pPr>
        <w:pStyle w:val="BodyText"/>
        <w:spacing w:line="360" w:lineRule="auto" w:before="0" w:after="120"/>
        <w:jc w:val="both"/>
      </w:pPr>
      <w:r>
        <w:rPr>
          <w:rFonts w:ascii="Times New Roman" w:hAnsi="Times New Roman"/>
          <w:sz w:val="24"/>
        </w:rPr>
        <w:t xml:space="preserve">En este análisis utilizamos como variable objetivo la</w:t>
      </w:r>
      <w:r>
        <w:rPr>
          <w:rFonts w:ascii="Times New Roman" w:hAnsi="Times New Roman"/>
          <w:sz w:val="24"/>
        </w:rPr>
        <w:t xml:space="preserve"> </w:t>
      </w:r>
      <w:r>
        <w:rPr>
          <w:rFonts w:ascii="Times New Roman" w:hAnsi="Times New Roman"/>
          <w:b/>
          <w:bCs/>
          <w:sz w:val="24"/>
        </w:rPr>
        <w:t xml:space="preserve">volatilidad histórica anualizada de ventana 21 días</w:t>
      </w:r>
      <w:r>
        <w:rPr>
          <w:rFonts w:ascii="Times New Roman" w:hAnsi="Times New Roman"/>
          <w:sz w:val="24"/>
        </w:rPr>
        <w:t xml:space="preserve"> </w:t>
      </w:r>
      <w:r>
        <w:rPr>
          <w:rFonts w:ascii="Times New Roman" w:hAnsi="Times New Roman"/>
          <w:sz w:val="24"/>
        </w:rPr>
        <w:t xml:space="preserve">(~1 mes de trading):</w:t>
      </w:r>
    </w:p>
    <w:p>
      <w:pPr>
        <w:pStyle w:val="BodyText"/>
        <w:spacing w:line="360" w:lineRule="auto" w:before="0" w:after="120"/>
        <w:jc w:val="both"/>
      </w:pPr>
      <m:oMathPara>
        <m:oMathParaPr>
          <m:jc m:val="center"/>
        </m:oMathParaPr>
        <m:oMath>
          <m:sSubSup>
            <m:e>
              <m:r>
                <m:t>V</m:t>
              </m:r>
            </m:e>
            <m:sub>
              <m:r>
                <m:t>t</m:t>
              </m:r>
            </m:sub>
            <m:sup>
              <m:r>
                <m:rPr>
                  <m:sty m:val="p"/>
                </m:rPr>
                <m:t>(</m:t>
              </m:r>
              <m:r>
                <m:t>21</m:t>
              </m:r>
              <m:r>
                <m:rPr>
                  <m:sty m:val="p"/>
                </m:rPr>
                <m:t>)</m:t>
              </m:r>
            </m:sup>
          </m:sSubSup>
          <m:r>
            <m:rPr>
              <m:sty m:val="p"/>
            </m:rPr>
            <m:t>=</m:t>
          </m:r>
          <m:rad>
            <m:radPr>
              <m:degHide m:val="on"/>
            </m:radPr>
            <m:deg/>
            <m:e>
              <m:f>
                <m:fPr>
                  <m:type m:val="bar"/>
                </m:fPr>
                <m:num>
                  <m:r>
                    <m:t>252</m:t>
                  </m:r>
                </m:num>
                <m:den>
                  <m:r>
                    <m:t>21</m:t>
                  </m:r>
                </m:den>
              </m:f>
              <m:nary>
                <m:naryPr>
                  <m:chr m:val="∑"/>
                  <m:limLoc m:val="undOvr"/>
                  <m:subHide m:val="off"/>
                  <m:supHide m:val="off"/>
                </m:naryPr>
                <m:sub>
                  <m:r>
                    <m:t>i</m:t>
                  </m:r>
                  <m:r>
                    <m:rPr>
                      <m:sty m:val="p"/>
                    </m:rPr>
                    <m:t>=</m:t>
                  </m:r>
                  <m:r>
                    <m:t>0</m:t>
                  </m:r>
                </m:sub>
                <m:sup>
                  <m:r>
                    <m:t>20</m:t>
                  </m:r>
                </m:sup>
                <m:e>
                  <m:sSubSup>
                    <m:e>
                      <m:r>
                        <m:t>r</m:t>
                      </m:r>
                    </m:e>
                    <m:sub>
                      <m:r>
                        <m:t>t</m:t>
                      </m:r>
                      <m:r>
                        <m:rPr>
                          <m:sty m:val="p"/>
                        </m:rPr>
                        <m:t>−</m:t>
                      </m:r>
                      <m:r>
                        <m:t>i</m:t>
                      </m:r>
                    </m:sub>
                    <m:sup>
                      <m:r>
                        <m:t>2</m:t>
                      </m:r>
                    </m:sup>
                  </m:sSubSup>
                </m:e>
              </m:nary>
            </m:e>
          </m:rad>
        </m:oMath>
      </m:oMathPara>
    </w:p>
    <w:p>
      <w:pPr>
        <w:pStyle w:val="FirstParagraph"/>
        <w:spacing w:line="360" w:lineRule="auto" w:before="0" w:after="120"/>
        <w:jc w:val="both"/>
      </w:pPr>
      <w:r>
        <w:rPr>
          <w:rFonts w:ascii="Times New Roman" w:hAnsi="Times New Roman"/>
          <w:sz w:val="24"/>
        </w:rPr>
        <w:t xml:space="preserve">donde</w:t>
      </w:r>
      <w:r>
        <w:rPr>
          <w:rFonts w:ascii="Times New Roman" w:hAnsi="Times New Roman"/>
          <w:sz w:val="24"/>
        </w:rPr>
        <w:t xml:space="preserve"> </w:t>
      </w:r>
      <m:oMath>
        <m:sSub>
          <m:e>
            <m:r>
              <m:t>r</m:t>
            </m:r>
          </m:e>
          <m:sub>
            <m:r>
              <m:t>t</m:t>
            </m:r>
          </m:sub>
        </m:sSub>
        <m:r>
          <m:rPr>
            <m:sty m:val="p"/>
          </m:rPr>
          <m:t>=</m:t>
        </m:r>
        <m:r>
          <m:rPr>
            <m:sty m:val="p"/>
          </m:rPr>
          <m:t>ln</m:t>
        </m:r>
        <m:r>
          <m:rPr>
            <m:sty m:val="p"/>
          </m:rPr>
          <m:t>(</m:t>
        </m:r>
        <m:sSub>
          <m:e>
            <m:r>
              <m:t>P</m:t>
            </m:r>
          </m:e>
          <m:sub>
            <m:r>
              <m:t>t</m:t>
            </m:r>
          </m:sub>
        </m:sSub>
        <m:r>
          <m:rPr>
            <m:sty m:val="p"/>
          </m:rPr>
          <m:t>/</m:t>
        </m:r>
        <m:sSub>
          <m:e>
            <m:r>
              <m:t>P</m:t>
            </m:r>
          </m:e>
          <m:sub>
            <m:r>
              <m:t>t</m:t>
            </m:r>
            <m:r>
              <m:rPr>
                <m:sty m:val="p"/>
              </m:rPr>
              <m:t>−</m:t>
            </m:r>
            <m:r>
              <m:t>1</m:t>
            </m:r>
          </m:sub>
        </m:sSub>
        <m:r>
          <m:rPr>
            <m:sty m:val="p"/>
          </m:rPr>
          <m:t>)</m:t>
        </m:r>
      </m:oMath>
      <w:r>
        <w:rPr>
          <w:rFonts w:ascii="Times New Roman" w:hAnsi="Times New Roman"/>
          <w:sz w:val="24"/>
        </w:rPr>
        <w:t xml:space="preserve"> </w:t>
      </w:r>
      <w:r>
        <w:rPr>
          <w:rFonts w:ascii="Times New Roman" w:hAnsi="Times New Roman"/>
          <w:sz w:val="24"/>
        </w:rPr>
        <w:t xml:space="preserve">es el log-retorno diario y el factor</w:t>
      </w:r>
      <w:r>
        <w:rPr>
          <w:rFonts w:ascii="Times New Roman" w:hAnsi="Times New Roman"/>
          <w:sz w:val="24"/>
        </w:rPr>
        <w:t xml:space="preserve"> </w:t>
      </w:r>
      <m:oMath>
        <m:rad>
          <m:radPr>
            <m:degHide m:val="on"/>
          </m:radPr>
          <m:deg/>
          <m:e>
            <m:r>
              <m:t>252</m:t>
            </m:r>
          </m:e>
        </m:rad>
      </m:oMath>
      <w:r>
        <w:rPr>
          <w:rFonts w:ascii="Times New Roman" w:hAnsi="Times New Roman"/>
          <w:sz w:val="24"/>
        </w:rPr>
        <w:t xml:space="preserve"> </w:t>
      </w:r>
      <w:r>
        <w:rPr>
          <w:rFonts w:ascii="Times New Roman" w:hAnsi="Times New Roman"/>
          <w:sz w:val="24"/>
        </w:rPr>
        <w:t xml:space="preserve">anualiza la estimación. Esta medida, confirmada como estacionaria en el EDA (test ADF,</w:t>
      </w:r>
      <w:r>
        <w:rPr>
          <w:rFonts w:ascii="Times New Roman" w:hAnsi="Times New Roman"/>
          <w:sz w:val="24"/>
        </w:rPr>
        <w:t xml:space="preserve"> </w:t>
      </w:r>
      <m:oMath>
        <m:r>
          <m:t>p</m:t>
        </m:r>
        <m:r>
          <m:rPr>
            <m:sty m:val="p"/>
          </m:rPr>
          <m:t>&lt;</m:t>
        </m:r>
        <m:r>
          <m:t>0</m:t>
        </m:r>
        <m:r>
          <m:rPr>
            <m:sty m:val="p"/>
          </m:rPr>
          <m:t>,</m:t>
        </m:r>
        <m:r>
          <m:t>01</m:t>
        </m:r>
      </m:oMath>
      <w:r>
        <w:rPr>
          <w:rFonts w:ascii="Times New Roman" w:hAnsi="Times New Roman"/>
          <w:sz w:val="24"/>
        </w:rPr>
        <w:t xml:space="preserve">), sirve tanto de variable objetivo como de base para los features del modelo HAR.</w:t>
      </w:r>
    </w:p>
    <w:bookmarkEnd w:id="17"/>
    <w:bookmarkStart w:id="18" w:name="X7cfe4be2db4db335908d4aaf58c5a6b60733c7a"/>
    <w:p>
      <w:pPr>
        <w:pStyle w:val="Heading3"/>
        <w:spacing w:line="360" w:lineRule="auto" w:before="0" w:after="120"/>
        <w:jc w:val="both"/>
      </w:pPr>
      <w:r>
        <w:rPr>
          <w:rFonts w:ascii="Times New Roman" w:hAnsi="Times New Roman"/>
          <w:sz w:val="24"/>
        </w:rPr>
        <w:t xml:space="preserve">2.2. Estrategia de modelización: progresión de menor a mayor complejidad</w:t>
      </w:r>
    </w:p>
    <w:p>
      <w:pPr>
        <w:pStyle w:val="FirstParagraph"/>
        <w:spacing w:line="360" w:lineRule="auto" w:before="0" w:after="120"/>
        <w:jc w:val="both"/>
      </w:pPr>
      <w:r>
        <w:rPr>
          <w:rFonts w:ascii="Times New Roman" w:hAnsi="Times New Roman"/>
          <w:sz w:val="24"/>
        </w:rPr>
        <w:t xml:space="preserve">La estrategia de modelización sigue una progresión deliberada que permite cuantificar el valor de cada capa de complejidad:</w:t>
      </w:r>
    </w:p>
    <w:tbl>
      <w:tblPr>
        <w:tblStyle w:val="Table"/>
        <w:tblW w:type="pct" w:w="5000"/>
        <w:tblLayout w:type="fixed"/>
        <w:tblLook w:firstRow="1" w:lastRow="0" w:firstColumn="0" w:lastColumn="0" w:noHBand="0" w:noVBand="0" w:val="0020"/>
      </w:tblPr>
      <w:tblGrid>
        <w:gridCol w:w="1152"/>
        <w:gridCol w:w="1872"/>
        <w:gridCol w:w="1440"/>
        <w:gridCol w:w="3456"/>
      </w:tblGrid>
      <w:tr>
        <w:trPr>
          <w:tblHeader w:val="on"/>
        </w:trPr>
        <w:tc>
          <w:tcPr>
            <w:shd w:fill="404040"/>
          </w:tcPr>
          <w:p>
            <w:pPr>
              <w:pStyle w:val="Compact"/>
              <w:jc w:val="center"/>
            </w:pPr>
            <w:r>
              <w:rPr>
                <w:rFonts w:ascii="Times New Roman" w:hAnsi="Times New Roman"/>
                <w:b/>
                <w:color w:val="FFFFFF"/>
                <w:sz w:val="22"/>
              </w:rPr>
              <w:t xml:space="preserve">Modelo</w:t>
            </w:r>
          </w:p>
        </w:tc>
        <w:tc>
          <w:tcPr>
            <w:shd w:fill="404040"/>
          </w:tcPr>
          <w:p>
            <w:pPr>
              <w:pStyle w:val="Compact"/>
              <w:jc w:val="center"/>
            </w:pPr>
            <w:r>
              <w:rPr>
                <w:rFonts w:ascii="Times New Roman" w:hAnsi="Times New Roman"/>
                <w:b/>
                <w:color w:val="FFFFFF"/>
                <w:sz w:val="22"/>
              </w:rPr>
              <w:t xml:space="preserve">Complejidad</w:t>
            </w:r>
          </w:p>
        </w:tc>
        <w:tc>
          <w:tcPr>
            <w:shd w:fill="404040"/>
          </w:tcPr>
          <w:p>
            <w:pPr>
              <w:pStyle w:val="Compact"/>
              <w:jc w:val="center"/>
            </w:pPr>
            <w:r>
              <w:rPr>
                <w:rFonts w:ascii="Times New Roman" w:hAnsi="Times New Roman"/>
                <w:b/>
                <w:color w:val="FFFFFF"/>
                <w:sz w:val="22"/>
              </w:rPr>
              <w:t xml:space="preserve">Features</w:t>
            </w:r>
          </w:p>
        </w:tc>
        <w:tc>
          <w:tcPr>
            <w:shd w:fill="404040"/>
          </w:tcPr>
          <w:p>
            <w:pPr>
              <w:pStyle w:val="Compact"/>
              <w:jc w:val="center"/>
            </w:pPr>
            <w:r>
              <w:rPr>
                <w:rFonts w:ascii="Times New Roman" w:hAnsi="Times New Roman"/>
                <w:b/>
                <w:color w:val="FFFFFF"/>
                <w:sz w:val="22"/>
              </w:rPr>
              <w:t xml:space="preserve">Propósito en el trabajo</w:t>
            </w:r>
          </w:p>
        </w:tc>
      </w:tr>
      <w:tr>
        <w:tc>
          <w:tcPr/>
          <w:p>
            <w:pPr>
              <w:pStyle w:val="Compact"/>
              <w:spacing w:line="360" w:lineRule="auto"/>
            </w:pPr>
            <w:r>
              <w:rPr>
                <w:rFonts w:ascii="Times New Roman" w:hAnsi="Times New Roman"/>
                <w:sz w:val="22"/>
              </w:rPr>
              <w:t xml:space="preserve">A0 — Simple</w:t>
            </w:r>
          </w:p>
        </w:tc>
        <w:tc>
          <w:tcPr/>
          <w:p>
            <w:pPr>
              <w:pStyle w:val="Compact"/>
              <w:spacing w:line="360" w:lineRule="auto"/>
            </w:pPr>
            <w:r>
              <w:rPr>
                <w:rFonts w:ascii="Times New Roman" w:hAnsi="Times New Roman"/>
                <w:sz w:val="22"/>
              </w:rPr>
              <w:t xml:space="preserve">Mínima</w:t>
            </w:r>
          </w:p>
        </w:tc>
        <w:tc>
          <w:tcPr/>
          <w:p>
            <w:pPr>
              <w:pStyle w:val="Compact"/>
              <w:spacing w:line="360" w:lineRule="auto"/>
            </w:pPr>
            <w:r>
              <w:rPr>
                <w:rFonts w:ascii="Times New Roman" w:hAnsi="Times New Roman"/>
                <w:sz w:val="22"/>
              </w:rPr>
              <w:t xml:space="preserve">1 (</w:t>
            </w:r>
            <w:r>
              <w:rPr>
                <w:rStyle w:val="VerbatimChar"/>
                <w:rFonts w:ascii="Times New Roman" w:hAnsi="Times New Roman"/>
                <w:sz w:val="22"/>
              </w:rPr>
              <w:t xml:space="preserve">vol_lag1</w:t>
            </w:r>
            <w:r>
              <w:rPr>
                <w:rFonts w:ascii="Times New Roman" w:hAnsi="Times New Roman"/>
                <w:sz w:val="22"/>
              </w:rPr>
              <w:t xml:space="preserve">)</w:t>
            </w:r>
          </w:p>
        </w:tc>
        <w:tc>
          <w:tcPr/>
          <w:p>
            <w:pPr>
              <w:pStyle w:val="Compact"/>
              <w:spacing w:line="360" w:lineRule="auto"/>
            </w:pPr>
            <w:r>
              <w:rPr>
                <w:rFonts w:ascii="Times New Roman" w:hAnsi="Times New Roman"/>
                <w:sz w:val="22"/>
              </w:rPr>
              <w:t xml:space="preserve">Baseline: ¿cuánto predice la inercia sola?</w:t>
            </w:r>
          </w:p>
        </w:tc>
      </w:tr>
      <w:tr>
        <w:tc>
          <w:tcPr/>
          <w:p>
            <w:pPr>
              <w:pStyle w:val="Compact"/>
              <w:spacing w:line="360" w:lineRule="auto"/>
            </w:pPr>
            <w:r>
              <w:rPr>
                <w:rFonts w:ascii="Times New Roman" w:hAnsi="Times New Roman"/>
                <w:sz w:val="22"/>
              </w:rPr>
              <w:t xml:space="preserve">A — OLS HAR+macro</w:t>
            </w:r>
          </w:p>
        </w:tc>
        <w:tc>
          <w:tcPr/>
          <w:p>
            <w:pPr>
              <w:pStyle w:val="Compact"/>
              <w:spacing w:line="360" w:lineRule="auto"/>
            </w:pPr>
            <w:r>
              <w:rPr>
                <w:rFonts w:ascii="Times New Roman" w:hAnsi="Times New Roman"/>
                <w:sz w:val="22"/>
              </w:rPr>
              <w:t xml:space="preserve">Baja</w:t>
            </w:r>
          </w:p>
        </w:tc>
        <w:tc>
          <w:tcPr/>
          <w:p>
            <w:pPr>
              <w:pStyle w:val="Compact"/>
              <w:spacing w:line="360" w:lineRule="auto"/>
            </w:pPr>
            <w:r>
              <w:rPr>
                <w:rFonts w:ascii="Times New Roman" w:hAnsi="Times New Roman"/>
                <w:sz w:val="22"/>
              </w:rPr>
              <w:t xml:space="preserve">15 (3 HAR + 12 macro)</w:t>
            </w:r>
          </w:p>
        </w:tc>
        <w:tc>
          <w:tcPr/>
          <w:p>
            <w:pPr>
              <w:pStyle w:val="Compact"/>
              <w:spacing w:line="360" w:lineRule="auto"/>
            </w:pPr>
            <w:r>
              <w:rPr>
                <w:rFonts w:ascii="Times New Roman" w:hAnsi="Times New Roman"/>
                <w:sz w:val="22"/>
              </w:rPr>
              <w:t xml:space="preserve">Referencia lineal interpretable</w:t>
            </w:r>
          </w:p>
        </w:tc>
      </w:tr>
      <w:tr>
        <w:tc>
          <w:tcPr/>
          <w:p>
            <w:pPr>
              <w:pStyle w:val="Compact"/>
              <w:spacing w:line="360" w:lineRule="auto"/>
            </w:pPr>
            <w:r>
              <w:rPr>
                <w:rFonts w:ascii="Times New Roman" w:hAnsi="Times New Roman"/>
                <w:sz w:val="22"/>
              </w:rPr>
              <w:t xml:space="preserve">B — GARCH(1,1)</w:t>
            </w:r>
          </w:p>
        </w:tc>
        <w:tc>
          <w:tcPr/>
          <w:p>
            <w:pPr>
              <w:pStyle w:val="Compact"/>
              <w:spacing w:line="360" w:lineRule="auto"/>
            </w:pPr>
            <w:r>
              <w:rPr>
                <w:rFonts w:ascii="Times New Roman" w:hAnsi="Times New Roman"/>
                <w:sz w:val="22"/>
              </w:rPr>
              <w:t xml:space="preserve">Media</w:t>
            </w:r>
          </w:p>
        </w:tc>
        <w:tc>
          <w:tcPr/>
          <w:p>
            <w:pPr>
              <w:pStyle w:val="Compact"/>
              <w:spacing w:line="360" w:lineRule="auto"/>
            </w:pPr>
            <w:r>
              <w:rPr>
                <w:rFonts w:ascii="Times New Roman" w:hAnsi="Times New Roman"/>
                <w:sz w:val="22"/>
              </w:rPr>
              <w:t xml:space="preserve">0 (autorregresivo)</w:t>
            </w:r>
          </w:p>
        </w:tc>
        <w:tc>
          <w:tcPr/>
          <w:p>
            <w:pPr>
              <w:pStyle w:val="Compact"/>
              <w:spacing w:line="360" w:lineRule="auto"/>
            </w:pPr>
            <w:r>
              <w:rPr>
                <w:rFonts w:ascii="Times New Roman" w:hAnsi="Times New Roman"/>
                <w:sz w:val="22"/>
              </w:rPr>
              <w:t xml:space="preserve">Benchmark estándar de la literatura</w:t>
            </w:r>
          </w:p>
        </w:tc>
      </w:tr>
      <w:tr>
        <w:tc>
          <w:tcPr/>
          <w:p>
            <w:pPr>
              <w:pStyle w:val="Compact"/>
              <w:spacing w:line="360" w:lineRule="auto"/>
            </w:pPr>
            <w:r>
              <w:rPr>
                <w:rFonts w:ascii="Times New Roman" w:hAnsi="Times New Roman"/>
                <w:sz w:val="22"/>
              </w:rPr>
              <w:t xml:space="preserve">C — XGBoost</w:t>
            </w:r>
          </w:p>
        </w:tc>
        <w:tc>
          <w:tcPr/>
          <w:p>
            <w:pPr>
              <w:pStyle w:val="Compact"/>
              <w:spacing w:line="360" w:lineRule="auto"/>
            </w:pPr>
            <w:r>
              <w:rPr>
                <w:rFonts w:ascii="Times New Roman" w:hAnsi="Times New Roman"/>
                <w:sz w:val="22"/>
              </w:rPr>
              <w:t xml:space="preserve">Alta</w:t>
            </w:r>
          </w:p>
        </w:tc>
        <w:tc>
          <w:tcPr/>
          <w:p>
            <w:pPr>
              <w:pStyle w:val="Compact"/>
              <w:spacing w:line="360" w:lineRule="auto"/>
            </w:pPr>
            <w:r>
              <w:rPr>
                <w:rFonts w:ascii="Times New Roman" w:hAnsi="Times New Roman"/>
                <w:sz w:val="22"/>
              </w:rPr>
              <w:t xml:space="preserve">15 (3 HAR + 12 macro)</w:t>
            </w:r>
          </w:p>
        </w:tc>
        <w:tc>
          <w:tcPr/>
          <w:p>
            <w:pPr>
              <w:pStyle w:val="Compact"/>
              <w:spacing w:line="360" w:lineRule="auto"/>
            </w:pPr>
            <w:r>
              <w:rPr>
                <w:rFonts w:ascii="Times New Roman" w:hAnsi="Times New Roman"/>
                <w:sz w:val="22"/>
              </w:rPr>
              <w:t xml:space="preserve">Captura de no linealidades</w:t>
            </w:r>
          </w:p>
        </w:tc>
      </w:tr>
    </w:tbl>
    <w:p>
      <w:pPr>
        <w:pStyle w:val="BodyText"/>
        <w:spacing w:line="360" w:lineRule="auto" w:before="0" w:after="120"/>
        <w:jc w:val="both"/>
      </w:pPr>
      <w:r>
        <w:rPr>
          <w:rFonts w:ascii="Times New Roman" w:hAnsi="Times New Roman"/>
          <w:b/>
          <w:bCs/>
          <w:sz w:val="24"/>
        </w:rPr>
        <w:t xml:space="preserve">¿Por qué estos cuatro modelos y no otros?</w:t>
      </w:r>
      <w:r>
        <w:rPr>
          <w:rFonts w:ascii="Times New Roman" w:hAnsi="Times New Roman"/>
          <w:sz w:val="24"/>
        </w:rPr>
        <w:t xml:space="preserve"> </w:t>
      </w:r>
      <w:r>
        <w:rPr>
          <w:rFonts w:ascii="Times New Roman" w:hAnsi="Times New Roman"/>
          <w:sz w:val="24"/>
        </w:rPr>
        <w:t xml:space="preserve">Cada uno responde a una pregunta de investigación distinta:</w:t>
      </w:r>
    </w:p>
    <w:p>
      <w:pPr>
        <w:pStyle w:val="Compact"/>
        <w:numPr>
          <w:ilvl w:val="0"/>
          <w:numId w:val="1002"/>
        </w:numPr>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modelo Simple</w:t>
      </w:r>
      <w:r>
        <w:rPr>
          <w:rFonts w:ascii="Times New Roman" w:hAnsi="Times New Roman"/>
          <w:sz w:val="24"/>
        </w:rPr>
        <w:t xml:space="preserve"> </w:t>
      </w:r>
      <w:r>
        <w:rPr>
          <w:rFonts w:ascii="Times New Roman" w:hAnsi="Times New Roman"/>
          <w:sz w:val="24"/>
        </w:rPr>
        <w:t xml:space="preserve">establece el suelo: si un solo lag ya explica el 97% de la varianza, cualquier mejora incremental debe medirse sobre ese listón.</w:t>
      </w:r>
    </w:p>
    <w:p>
      <w:pPr>
        <w:pStyle w:val="Compact"/>
        <w:numPr>
          <w:ilvl w:val="0"/>
          <w:numId w:val="1002"/>
        </w:numPr>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OLS HAR</w:t>
      </w:r>
      <w:r>
        <w:rPr>
          <w:rFonts w:ascii="Times New Roman" w:hAnsi="Times New Roman"/>
          <w:sz w:val="24"/>
        </w:rPr>
        <w:t xml:space="preserve"> </w:t>
      </w:r>
      <w:r>
        <w:rPr>
          <w:rFonts w:ascii="Times New Roman" w:hAnsi="Times New Roman"/>
          <w:sz w:val="24"/>
        </w:rPr>
        <w:t xml:space="preserve">proporciona coeficientes</w:t>
      </w:r>
      <w:r>
        <w:rPr>
          <w:rFonts w:ascii="Times New Roman" w:hAnsi="Times New Roman"/>
          <w:sz w:val="24"/>
        </w:rPr>
        <w:t xml:space="preserve"> </w:t>
      </w:r>
      <m:oMath>
        <m:r>
          <m:t>β</m:t>
        </m:r>
      </m:oMath>
      <w:r>
        <w:rPr>
          <w:rFonts w:ascii="Times New Roman" w:hAnsi="Times New Roman"/>
          <w:sz w:val="24"/>
        </w:rPr>
        <w:t xml:space="preserve"> </w:t>
      </w:r>
      <w:r>
        <w:rPr>
          <w:rFonts w:ascii="Times New Roman" w:hAnsi="Times New Roman"/>
          <w:sz w:val="24"/>
        </w:rPr>
        <w:t xml:space="preserve">directamente interpretables, permitiendo cuantificar la contribución de cada variable macro en unidades de volatilidad. Es el modelo estándar en la literatura aplicada (Corsi, 2009; Minga López, 2022).</w:t>
      </w:r>
    </w:p>
    <w:p>
      <w:pPr>
        <w:pStyle w:val="Compact"/>
        <w:numPr>
          <w:ilvl w:val="0"/>
          <w:numId w:val="1002"/>
        </w:numPr>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GARCH(1,1)</w:t>
      </w:r>
      <w:r>
        <w:rPr>
          <w:rFonts w:ascii="Times New Roman" w:hAnsi="Times New Roman"/>
          <w:sz w:val="24"/>
        </w:rPr>
        <w:t xml:space="preserve"> </w:t>
      </w:r>
      <w:r>
        <w:rPr>
          <w:rFonts w:ascii="Times New Roman" w:hAnsi="Times New Roman"/>
          <w:sz w:val="24"/>
        </w:rPr>
        <w:t xml:space="preserve">es el benchmark obligatorio en cualquier estudio de volatilidad financiera desde Bollerslev (1986). Omitirlo supondría una laguna metodológica. Además, modela un objeto diferente (varianza condicional diaria vs. media móvil de 21 días), proporcionando insights complementarios sobre la estructura de los shocks.</w:t>
      </w:r>
    </w:p>
    <w:p>
      <w:pPr>
        <w:pStyle w:val="Compact"/>
        <w:numPr>
          <w:ilvl w:val="0"/>
          <w:numId w:val="1002"/>
        </w:numPr>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XGBoost</w:t>
      </w:r>
      <w:r>
        <w:rPr>
          <w:rFonts w:ascii="Times New Roman" w:hAnsi="Times New Roman"/>
          <w:sz w:val="24"/>
        </w:rPr>
        <w:t xml:space="preserve"> </w:t>
      </w:r>
      <w:r>
        <w:rPr>
          <w:rFonts w:ascii="Times New Roman" w:hAnsi="Times New Roman"/>
          <w:sz w:val="24"/>
        </w:rPr>
        <w:t xml:space="preserve">captura relaciones no lineales entre las variables macro y la volatilidad — relaciones que el OLS, por su naturaleza lineal, no puede detectar. Si XGBoost supera significativamente al OLS, hay no linealidades reales; si no, la relación es fundamentalmente lineal.</w:t>
      </w:r>
    </w:p>
    <w:bookmarkEnd w:id="18"/>
    <w:bookmarkStart w:id="19" w:name="Xd82ca0d6447052603bb79912567a610470bbb03"/>
    <w:p>
      <w:pPr>
        <w:pStyle w:val="Heading3"/>
        <w:spacing w:line="360" w:lineRule="auto" w:before="0" w:after="120"/>
        <w:jc w:val="both"/>
      </w:pPr>
      <w:r>
        <w:rPr>
          <w:rFonts w:ascii="Times New Roman" w:hAnsi="Times New Roman"/>
          <w:sz w:val="24"/>
        </w:rPr>
        <w:t xml:space="preserve">2.3. Modelos lineales: baseline simple y OLS HAR+macro</w:t>
      </w:r>
    </w:p>
    <w:p>
      <w:pPr>
        <w:pStyle w:val="FirstParagraph"/>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modelo Simple</w:t>
      </w:r>
      <w:r>
        <w:rPr>
          <w:rFonts w:ascii="Times New Roman" w:hAnsi="Times New Roman"/>
          <w:sz w:val="24"/>
        </w:rPr>
        <w:t xml:space="preserve"> </w:t>
      </w:r>
      <w:r>
        <w:rPr>
          <w:rFonts w:ascii="Times New Roman" w:hAnsi="Times New Roman"/>
          <w:sz w:val="24"/>
        </w:rPr>
        <w:t xml:space="preserve">es una regresión lineal univariada sobre la volatilidad del día anterior. El modelo</w:t>
      </w:r>
      <w:r>
        <w:rPr>
          <w:rFonts w:ascii="Times New Roman" w:hAnsi="Times New Roman"/>
          <w:sz w:val="24"/>
        </w:rPr>
        <w:t xml:space="preserve"> </w:t>
      </w:r>
      <w:r>
        <w:rPr>
          <w:rFonts w:ascii="Times New Roman" w:hAnsi="Times New Roman"/>
          <w:b/>
          <w:bCs/>
          <w:sz w:val="24"/>
        </w:rPr>
        <w:t xml:space="preserve">OLS HAR</w:t>
      </w:r>
      <w:r>
        <w:rPr>
          <w:rFonts w:ascii="Times New Roman" w:hAnsi="Times New Roman"/>
          <w:sz w:val="24"/>
        </w:rPr>
        <w:t xml:space="preserve"> </w:t>
      </w:r>
      <w:r>
        <w:rPr>
          <w:rFonts w:ascii="Times New Roman" w:hAnsi="Times New Roman"/>
          <w:sz w:val="24"/>
        </w:rPr>
        <w:t xml:space="preserve">extiende esta estructura con la descomposición de Corsi (2009) en tres escalas temporales (1, 5, 21 días) e incorpora 12 variables macroeconómicas. La forma general es:</w:t>
      </w:r>
    </w:p>
    <w:p>
      <w:pPr>
        <w:pStyle w:val="BodyText"/>
        <w:spacing w:line="360" w:lineRule="auto" w:before="0" w:after="120"/>
        <w:jc w:val="both"/>
      </w:pPr>
      <m:oMathPara>
        <m:oMathParaPr>
          <m:jc m:val="center"/>
        </m:oMathParaPr>
        <m:oMath>
          <m:sSub>
            <m:e>
              <m:acc>
                <m:accPr>
                  <m:chr m:val="̂"/>
                </m:accPr>
                <m:e>
                  <m:r>
                    <m:t>V</m:t>
                  </m:r>
                </m:e>
              </m:acc>
            </m:e>
            <m:sub>
              <m:r>
                <m:t>t</m:t>
              </m:r>
            </m:sub>
          </m:sSub>
          <m:r>
            <m:rPr>
              <m:sty m:val="p"/>
            </m:rPr>
            <m:t>=</m:t>
          </m:r>
          <m:sSub>
            <m:e>
              <m:r>
                <m:t>β</m:t>
              </m:r>
            </m:e>
            <m:sub>
              <m:r>
                <m:t>0</m:t>
              </m:r>
            </m:sub>
          </m:sSub>
          <m:r>
            <m:rPr>
              <m:sty m:val="p"/>
            </m:rPr>
            <m:t>+</m:t>
          </m:r>
          <m:sSub>
            <m:e>
              <m:r>
                <m:t>β</m:t>
              </m:r>
            </m:e>
            <m:sub>
              <m:r>
                <m:t>1</m:t>
              </m:r>
            </m:sub>
          </m:sSub>
          <m:sSub>
            <m:e>
              <m:r>
                <m:t>V</m:t>
              </m:r>
            </m:e>
            <m:sub>
              <m:r>
                <m:t>t</m:t>
              </m:r>
              <m:r>
                <m:rPr>
                  <m:sty m:val="p"/>
                </m:rPr>
                <m:t>−</m:t>
              </m:r>
              <m:r>
                <m:t>1</m:t>
              </m:r>
            </m:sub>
          </m:sSub>
          <m:r>
            <m:rPr>
              <m:sty m:val="p"/>
            </m:rPr>
            <m:t>+</m:t>
          </m:r>
          <m:sSub>
            <m:e>
              <m:r>
                <m:t>β</m:t>
              </m:r>
            </m:e>
            <m:sub>
              <m:r>
                <m:t>5</m:t>
              </m:r>
            </m:sub>
          </m:sSub>
          <m:sSubSup>
            <m:e>
              <m:acc>
                <m:accPr>
                  <m:chr m:val="‾"/>
                </m:accPr>
                <m:e>
                  <m:r>
                    <m:t>V</m:t>
                  </m:r>
                </m:e>
              </m:acc>
            </m:e>
            <m:sub>
              <m:r>
                <m:t>t</m:t>
              </m:r>
              <m:r>
                <m:rPr>
                  <m:sty m:val="p"/>
                </m:rPr>
                <m:t>−</m:t>
              </m:r>
              <m:r>
                <m:t>1</m:t>
              </m:r>
            </m:sub>
            <m:sup>
              <m:r>
                <m:rPr>
                  <m:sty m:val="p"/>
                </m:rPr>
                <m:t>(</m:t>
              </m:r>
              <m:r>
                <m:t>5</m:t>
              </m:r>
              <m:r>
                <m:rPr>
                  <m:sty m:val="p"/>
                </m:rPr>
                <m:t>)</m:t>
              </m:r>
            </m:sup>
          </m:sSubSup>
          <m:r>
            <m:rPr>
              <m:sty m:val="p"/>
            </m:rPr>
            <m:t>+</m:t>
          </m:r>
          <m:sSub>
            <m:e>
              <m:r>
                <m:t>β</m:t>
              </m:r>
            </m:e>
            <m:sub>
              <m:r>
                <m:t>21</m:t>
              </m:r>
            </m:sub>
          </m:sSub>
          <m:sSubSup>
            <m:e>
              <m:acc>
                <m:accPr>
                  <m:chr m:val="‾"/>
                </m:accPr>
                <m:e>
                  <m:r>
                    <m:t>V</m:t>
                  </m:r>
                </m:e>
              </m:acc>
            </m:e>
            <m:sub>
              <m:r>
                <m:t>t</m:t>
              </m:r>
              <m:r>
                <m:rPr>
                  <m:sty m:val="p"/>
                </m:rPr>
                <m:t>−</m:t>
              </m:r>
              <m:r>
                <m:t>1</m:t>
              </m:r>
            </m:sub>
            <m:sup>
              <m:r>
                <m:rPr>
                  <m:sty m:val="p"/>
                </m:rPr>
                <m:t>(</m:t>
              </m:r>
              <m:r>
                <m:t>21</m:t>
              </m:r>
              <m:r>
                <m:rPr>
                  <m:sty m:val="p"/>
                </m:rPr>
                <m:t>)</m:t>
              </m:r>
            </m:sup>
          </m:sSubSup>
          <m:r>
            <m:rPr>
              <m:sty m:val="p"/>
            </m:rPr>
            <m:t>+</m:t>
          </m:r>
          <m:sSup>
            <m:e>
              <m:r>
                <m:rPr>
                  <m:sty m:val="bi"/>
                </m:rPr>
                <m:t>γ</m:t>
              </m:r>
            </m:e>
            <m:sup>
              <m:r>
                <m:t>​</m:t>
              </m:r>
              <m:r>
                <m:rPr>
                  <m:sty m:val="p"/>
                </m:rPr>
                <m:t>⊤</m:t>
              </m:r>
            </m:sup>
          </m:sSup>
          <m:sSub>
            <m:e>
              <m:r>
                <m:rPr>
                  <m:sty m:val="bi"/>
                </m:rPr>
                <m:t>X</m:t>
              </m:r>
            </m:e>
            <m:sub>
              <m:r>
                <m:t>t</m:t>
              </m:r>
              <m:r>
                <m:rPr>
                  <m:sty m:val="p"/>
                </m:rPr>
                <m:t>−</m:t>
              </m:r>
              <m:r>
                <m:t>1</m:t>
              </m:r>
            </m:sub>
          </m:sSub>
          <m:r>
            <m:rPr>
              <m:sty m:val="p"/>
            </m:rPr>
            <m:t>+</m:t>
          </m:r>
          <m:sSub>
            <m:e>
              <m:r>
                <m:t>ε</m:t>
              </m:r>
            </m:e>
            <m:sub>
              <m:r>
                <m:t>t</m:t>
              </m:r>
            </m:sub>
          </m:sSub>
        </m:oMath>
      </m:oMathPara>
    </w:p>
    <w:p>
      <w:pPr>
        <w:pStyle w:val="FirstParagraph"/>
        <w:spacing w:line="360" w:lineRule="auto" w:before="0" w:after="120"/>
        <w:jc w:val="both"/>
      </w:pPr>
      <w:r>
        <w:rPr>
          <w:rFonts w:ascii="Times New Roman" w:hAnsi="Times New Roman"/>
          <w:sz w:val="24"/>
        </w:rPr>
        <w:t xml:space="preserve">Los coeficientes</w:t>
      </w:r>
      <w:r>
        <w:rPr>
          <w:rFonts w:ascii="Times New Roman" w:hAnsi="Times New Roman"/>
          <w:sz w:val="24"/>
        </w:rPr>
        <w:t xml:space="preserve"> </w:t>
      </w:r>
      <m:oMath>
        <m:sSub>
          <m:e>
            <m:r>
              <m:t>β</m:t>
            </m:r>
          </m:e>
          <m:sub>
            <m:r>
              <m:t>j</m:t>
            </m:r>
          </m:sub>
        </m:sSub>
      </m:oMath>
      <w:r>
        <w:rPr>
          <w:rFonts w:ascii="Times New Roman" w:hAnsi="Times New Roman"/>
          <w:sz w:val="24"/>
        </w:rPr>
        <w:t xml:space="preserve"> </w:t>
      </w:r>
      <w:r>
        <w:rPr>
          <w:rFonts w:ascii="Times New Roman" w:hAnsi="Times New Roman"/>
          <w:sz w:val="24"/>
        </w:rPr>
        <w:t xml:space="preserve">son directamente interpretables: indican cuánto cambia la volatilidad predicha por cada unidad de cambio en la variable correspondiente.</w:t>
      </w:r>
    </w:p>
    <w:bookmarkEnd w:id="19"/>
    <w:bookmarkStart w:id="20" w:name="X79b120446345da9ef23b5ae67078721570e4c44"/>
    <w:p>
      <w:pPr>
        <w:pStyle w:val="Heading3"/>
        <w:spacing w:line="360" w:lineRule="auto" w:before="0" w:after="120"/>
        <w:jc w:val="both"/>
      </w:pPr>
      <w:r>
        <w:rPr>
          <w:rFonts w:ascii="Times New Roman" w:hAnsi="Times New Roman"/>
          <w:sz w:val="24"/>
        </w:rPr>
        <w:t xml:space="preserve">2.4. Modelo GARCH: captura de heterocedasticidad condicional</w:t>
      </w:r>
    </w:p>
    <w:p>
      <w:pPr>
        <w:pStyle w:val="FirstParagraph"/>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GARCH(1,1)</w:t>
      </w:r>
      <w:r>
        <w:rPr>
          <w:rFonts w:ascii="Times New Roman" w:hAnsi="Times New Roman"/>
          <w:sz w:val="24"/>
        </w:rPr>
        <w:t xml:space="preserve"> </w:t>
      </w:r>
      <w:r>
        <w:rPr>
          <w:rFonts w:ascii="Times New Roman" w:hAnsi="Times New Roman"/>
          <w:sz w:val="24"/>
        </w:rPr>
        <w:t xml:space="preserve">modela la varianza condicional de los retornos:</w:t>
      </w:r>
    </w:p>
    <w:p>
      <w:pPr>
        <w:pStyle w:val="BodyText"/>
        <w:spacing w:line="360" w:lineRule="auto" w:before="0" w:after="120"/>
        <w:jc w:val="both"/>
      </w:pPr>
      <m:oMathPara>
        <m:oMathParaPr>
          <m:jc m:val="center"/>
        </m:oMathParaPr>
        <m:oMath>
          <m:sSub>
            <m:e>
              <m:r>
                <m:t>r</m:t>
              </m:r>
            </m:e>
            <m:sub>
              <m:r>
                <m:t>t</m:t>
              </m:r>
            </m:sub>
          </m:sSub>
          <m:r>
            <m:rPr>
              <m:sty m:val="p"/>
            </m:rPr>
            <m:t>=</m:t>
          </m:r>
          <m:r>
            <m:t>μ</m:t>
          </m:r>
          <m:r>
            <m:rPr>
              <m:sty m:val="p"/>
            </m:rPr>
            <m:t>+</m:t>
          </m:r>
          <m:sSub>
            <m:e>
              <m:r>
                <m:t>ε</m:t>
              </m:r>
            </m:e>
            <m:sub>
              <m:r>
                <m:t>t</m:t>
              </m:r>
            </m:sub>
          </m:sSub>
          <m:r>
            <m:rPr>
              <m:sty m:val="p"/>
            </m:rPr>
            <m:t>,</m:t>
          </m:r>
          <m:r>
            <m:t> </m:t>
          </m:r>
          <m:sSub>
            <m:e>
              <m:r>
                <m:t>ε</m:t>
              </m:r>
            </m:e>
            <m:sub>
              <m:r>
                <m:t>t</m:t>
              </m:r>
            </m:sub>
          </m:sSub>
          <m:r>
            <m:rPr>
              <m:sty m:val="p"/>
            </m:rPr>
            <m:t>=</m:t>
          </m:r>
          <m:sSub>
            <m:e>
              <m:r>
                <m:t>σ</m:t>
              </m:r>
            </m:e>
            <m:sub>
              <m:r>
                <m:t>t</m:t>
              </m:r>
            </m:sub>
          </m:sSub>
          <m:sSub>
            <m:e>
              <m:r>
                <m:t>z</m:t>
              </m:r>
            </m:e>
            <m:sub>
              <m:r>
                <m:t>t</m:t>
              </m:r>
            </m:sub>
          </m:sSub>
          <m:r>
            <m:rPr>
              <m:sty m:val="p"/>
            </m:rPr>
            <m:t>,</m:t>
          </m:r>
          <m:r>
            <m:t> </m:t>
          </m:r>
          <m:sSub>
            <m:e>
              <m:r>
                <m:t>z</m:t>
              </m:r>
            </m:e>
            <m:sub>
              <m:r>
                <m:t>t</m:t>
              </m:r>
            </m:sub>
          </m:sSub>
          <m:r>
            <m:rPr>
              <m:sty m:val="p"/>
            </m:rPr>
            <m:t>∼</m:t>
          </m:r>
          <m:sSub>
            <m:e>
              <m:r>
                <m:t>t</m:t>
              </m:r>
            </m:e>
            <m:sub>
              <m:r>
                <m:t>ν</m:t>
              </m:r>
            </m:sub>
          </m:sSub>
          <m:r>
            <m:rPr>
              <m:sty m:val="p"/>
            </m:rPr>
            <m:t>(</m:t>
          </m:r>
          <m:r>
            <m:t>0</m:t>
          </m:r>
          <m:r>
            <m:rPr>
              <m:sty m:val="p"/>
            </m:rPr>
            <m:t>,</m:t>
          </m:r>
          <m:r>
            <m:t>1</m:t>
          </m:r>
          <m:r>
            <m:rPr>
              <m:sty m:val="p"/>
            </m:rPr>
            <m:t>)</m:t>
          </m:r>
        </m:oMath>
      </m:oMathPara>
    </w:p>
    <w:p>
      <w:pPr>
        <w:pStyle w:val="FirstParagraph"/>
        <w:spacing w:line="360" w:lineRule="auto" w:before="0" w:after="120"/>
        <w:jc w:val="both"/>
      </w:pPr>
      <m:oMathPara>
        <m:oMathParaPr>
          <m:jc m:val="center"/>
        </m:oMathParaPr>
        <m:oMath>
          <m:sSubSup>
            <m:e>
              <m:r>
                <m:t>σ</m:t>
              </m:r>
            </m:e>
            <m:sub>
              <m:r>
                <m:t>t</m:t>
              </m:r>
            </m:sub>
            <m:sup>
              <m:r>
                <m:t>2</m:t>
              </m:r>
            </m:sup>
          </m:sSubSup>
          <m:r>
            <m:rPr>
              <m:sty m:val="p"/>
            </m:rPr>
            <m:t>=</m:t>
          </m:r>
          <m:r>
            <m:t>ω</m:t>
          </m:r>
          <m:r>
            <m:rPr>
              <m:sty m:val="p"/>
            </m:rPr>
            <m:t>+</m:t>
          </m:r>
          <m:r>
            <m:t>α</m:t>
          </m:r>
          <m:sSubSup>
            <m:e>
              <m:r>
                <m:t>ε</m:t>
              </m:r>
            </m:e>
            <m:sub>
              <m:r>
                <m:t>t</m:t>
              </m:r>
              <m:r>
                <m:rPr>
                  <m:sty m:val="p"/>
                </m:rPr>
                <m:t>−</m:t>
              </m:r>
              <m:r>
                <m:t>1</m:t>
              </m:r>
            </m:sub>
            <m:sup>
              <m:r>
                <m:t>2</m:t>
              </m:r>
            </m:sup>
          </m:sSubSup>
          <m:r>
            <m:rPr>
              <m:sty m:val="p"/>
            </m:rPr>
            <m:t>+</m:t>
          </m:r>
          <m:r>
            <m:t>β</m:t>
          </m:r>
          <m:sSubSup>
            <m:e>
              <m:r>
                <m:t>σ</m:t>
              </m:r>
            </m:e>
            <m:sub>
              <m:r>
                <m:t>t</m:t>
              </m:r>
              <m:r>
                <m:rPr>
                  <m:sty m:val="p"/>
                </m:rPr>
                <m:t>−</m:t>
              </m:r>
              <m:r>
                <m:t>1</m:t>
              </m:r>
            </m:sub>
            <m:sup>
              <m:r>
                <m:t>2</m:t>
              </m:r>
            </m:sup>
          </m:sSubSup>
        </m:oMath>
      </m:oMathPara>
    </w:p>
    <w:p>
      <w:pPr>
        <w:pStyle w:val="FirstParagraph"/>
        <w:spacing w:line="360" w:lineRule="auto" w:before="0" w:after="120"/>
        <w:jc w:val="both"/>
      </w:pPr>
      <w:r>
        <w:rPr>
          <w:rFonts w:ascii="Times New Roman" w:hAnsi="Times New Roman"/>
          <w:sz w:val="24"/>
        </w:rPr>
        <w:t xml:space="preserve">La distribución</w:t>
      </w:r>
      <w:r>
        <w:rPr>
          <w:rFonts w:ascii="Times New Roman" w:hAnsi="Times New Roman"/>
          <w:sz w:val="24"/>
        </w:rPr>
        <w:t xml:space="preserve"> </w:t>
      </w:r>
      <m:oMath>
        <m:r>
          <m:t>t</m:t>
        </m:r>
      </m:oMath>
      <w:r>
        <w:rPr>
          <w:rFonts w:ascii="Times New Roman" w:hAnsi="Times New Roman"/>
          <w:sz w:val="24"/>
        </w:rPr>
        <w:t xml:space="preserve">-Student de los residuos captura las colas pesadas documentadas en el EDA. El parámetro</w:t>
      </w:r>
      <w:r>
        <w:rPr>
          <w:rFonts w:ascii="Times New Roman" w:hAnsi="Times New Roman"/>
          <w:sz w:val="24"/>
        </w:rPr>
        <w:t xml:space="preserve"> </w:t>
      </w:r>
      <m:oMath>
        <m:r>
          <m:t>α</m:t>
        </m:r>
      </m:oMath>
      <w:r>
        <w:rPr>
          <w:rFonts w:ascii="Times New Roman" w:hAnsi="Times New Roman"/>
          <w:sz w:val="24"/>
        </w:rPr>
        <w:t xml:space="preserve"> </w:t>
      </w:r>
      <w:r>
        <w:rPr>
          <w:rFonts w:ascii="Times New Roman" w:hAnsi="Times New Roman"/>
          <w:sz w:val="24"/>
        </w:rPr>
        <w:t xml:space="preserve">(efecto ARCH) mide la reacción a noticias pasadas;</w:t>
      </w:r>
      <w:r>
        <w:rPr>
          <w:rFonts w:ascii="Times New Roman" w:hAnsi="Times New Roman"/>
          <w:sz w:val="24"/>
        </w:rPr>
        <w:t xml:space="preserve"> </w:t>
      </w:r>
      <m:oMath>
        <m:r>
          <m:t>β</m:t>
        </m:r>
      </m:oMath>
      <w:r>
        <w:rPr>
          <w:rFonts w:ascii="Times New Roman" w:hAnsi="Times New Roman"/>
          <w:sz w:val="24"/>
        </w:rPr>
        <w:t xml:space="preserve"> </w:t>
      </w:r>
      <w:r>
        <w:rPr>
          <w:rFonts w:ascii="Times New Roman" w:hAnsi="Times New Roman"/>
          <w:sz w:val="24"/>
        </w:rPr>
        <w:t xml:space="preserve">(efecto GARCH) la persistencia de la volatilidad.</w:t>
      </w:r>
    </w:p>
    <w:bookmarkEnd w:id="20"/>
    <w:bookmarkStart w:id="21" w:name="xgboost-captura-de-no-linealidades"/>
    <w:p>
      <w:pPr>
        <w:pStyle w:val="Heading3"/>
        <w:spacing w:line="360" w:lineRule="auto" w:before="0" w:after="120"/>
        <w:jc w:val="both"/>
      </w:pPr>
      <w:r>
        <w:rPr>
          <w:rFonts w:ascii="Times New Roman" w:hAnsi="Times New Roman"/>
          <w:sz w:val="24"/>
        </w:rPr>
        <w:t xml:space="preserve">2.5. XGBoost: captura de no linealidades</w:t>
      </w:r>
    </w:p>
    <w:p>
      <w:pPr>
        <w:pStyle w:val="FirstParagraph"/>
        <w:spacing w:line="360" w:lineRule="auto" w:before="0" w:after="120"/>
        <w:jc w:val="both"/>
      </w:pPr>
      <w:r>
        <w:rPr>
          <w:rFonts w:ascii="Times New Roman" w:hAnsi="Times New Roman"/>
          <w:b/>
          <w:bCs/>
          <w:sz w:val="24"/>
        </w:rPr>
        <w:t xml:space="preserve">XGBoost</w:t>
      </w:r>
      <w:r>
        <w:rPr>
          <w:rFonts w:ascii="Times New Roman" w:hAnsi="Times New Roman"/>
          <w:sz w:val="24"/>
        </w:rPr>
        <w:t xml:space="preserve"> </w:t>
      </w:r>
      <w:r>
        <w:rPr>
          <w:rFonts w:ascii="Times New Roman" w:hAnsi="Times New Roman"/>
          <w:sz w:val="24"/>
        </w:rPr>
        <w:t xml:space="preserve">es un algoritmo de ensamble de árboles que minimiza iterativamente una función de pérdida regularizada. Sus ventajas para nuestro contexto son: (1) captura no linealidades entre macro y volatilidad, (2) es robusto a multicolinealidad, (3) permite interpretabilidad vía SHAP values.</w:t>
      </w:r>
    </w:p>
    <w:bookmarkEnd w:id="21"/>
    <w:bookmarkStart w:id="22" w:name="métricas-de-evaluación"/>
    <w:p>
      <w:pPr>
        <w:pStyle w:val="Heading3"/>
        <w:spacing w:line="360" w:lineRule="auto" w:before="0" w:after="120"/>
        <w:jc w:val="both"/>
      </w:pPr>
      <w:r>
        <w:rPr>
          <w:rFonts w:ascii="Times New Roman" w:hAnsi="Times New Roman"/>
          <w:sz w:val="24"/>
        </w:rPr>
        <w:t xml:space="preserve">2.6. Métricas de evaluación</w:t>
      </w:r>
    </w:p>
    <w:p>
      <w:pPr>
        <w:pStyle w:val="FirstParagraph"/>
        <w:spacing w:line="360" w:lineRule="auto" w:before="0" w:after="120"/>
        <w:jc w:val="both"/>
      </w:pPr>
      <w:r>
        <w:rPr>
          <w:rFonts w:ascii="Times New Roman" w:hAnsi="Times New Roman"/>
          <w:sz w:val="24"/>
        </w:rPr>
        <w:t xml:space="preserve">Se emplean cuatro métricas complementarias, siguiendo el estándar de la literatura de volatilidad (Patton, 2011):</w:t>
      </w:r>
    </w:p>
    <w:tbl>
      <w:tblPr>
        <w:tblStyle w:val="Table"/>
        <w:tblW w:type="pct" w:w="5000"/>
        <w:tblLayout w:type="fixed"/>
        <w:tblLook w:firstRow="1" w:lastRow="0" w:firstColumn="0" w:lastColumn="0" w:noHBand="0" w:noVBand="0" w:val="0020"/>
      </w:tblPr>
      <w:tblGrid>
        <w:gridCol w:w="2457"/>
        <w:gridCol w:w="2457"/>
        <w:gridCol w:w="3004"/>
      </w:tblGrid>
      <w:tr>
        <w:trPr>
          <w:tblHeader w:val="on"/>
        </w:trPr>
        <w:tc>
          <w:tcPr>
            <w:shd w:fill="404040"/>
          </w:tcPr>
          <w:p>
            <w:pPr>
              <w:pStyle w:val="Compact"/>
              <w:jc w:val="center"/>
            </w:pPr>
            <w:r>
              <w:rPr>
                <w:rFonts w:ascii="Times New Roman" w:hAnsi="Times New Roman"/>
                <w:b/>
                <w:color w:val="FFFFFF"/>
                <w:sz w:val="22"/>
              </w:rPr>
              <w:t xml:space="preserve">Métrica</w:t>
            </w:r>
          </w:p>
        </w:tc>
        <w:tc>
          <w:tcPr>
            <w:shd w:fill="404040"/>
          </w:tcPr>
          <w:p>
            <w:pPr>
              <w:pStyle w:val="Compact"/>
              <w:jc w:val="center"/>
            </w:pPr>
            <w:r>
              <w:rPr>
                <w:rFonts w:ascii="Times New Roman" w:hAnsi="Times New Roman"/>
                <w:b/>
                <w:color w:val="FFFFFF"/>
                <w:sz w:val="22"/>
              </w:rPr>
              <w:t xml:space="preserve">Fórmula</w:t>
            </w:r>
          </w:p>
        </w:tc>
        <w:tc>
          <w:tcPr>
            <w:shd w:fill="404040"/>
          </w:tcPr>
          <w:p>
            <w:pPr>
              <w:pStyle w:val="Compact"/>
              <w:jc w:val="center"/>
            </w:pPr>
            <w:r>
              <w:rPr>
                <w:rFonts w:ascii="Times New Roman" w:hAnsi="Times New Roman"/>
                <w:b/>
                <w:color w:val="FFFFFF"/>
                <w:sz w:val="22"/>
              </w:rPr>
              <w:t xml:space="preserve">Propiedad</w:t>
            </w:r>
          </w:p>
        </w:tc>
      </w:tr>
      <w:tr>
        <w:tc>
          <w:tcPr/>
          <w:p>
            <w:pPr>
              <w:pStyle w:val="Compact"/>
              <w:spacing w:line="360" w:lineRule="auto"/>
            </w:pPr>
            <w:r>
              <w:rPr>
                <w:rFonts w:ascii="Times New Roman" w:hAnsi="Times New Roman"/>
                <w:b/>
                <w:bCs/>
                <w:sz w:val="22"/>
              </w:rPr>
              <w:t xml:space="preserve">RMSE</w:t>
            </w:r>
          </w:p>
        </w:tc>
        <w:tc>
          <w:tcPr/>
          <w:p>
            <w:pPr>
              <w:pStyle w:val="Compact"/>
              <w:spacing w:line="360" w:lineRule="auto"/>
            </w:pPr>
            <m:oMath>
              <m:rad>
                <m:radPr>
                  <m:degHide m:val="on"/>
                </m:radPr>
                <m:deg/>
                <m:e>
                  <m:f>
                    <m:fPr>
                      <m:type m:val="bar"/>
                    </m:fPr>
                    <m:num>
                      <m:r>
                        <m:t>1</m:t>
                      </m:r>
                    </m:num>
                    <m:den>
                      <m:r>
                        <m:t>T</m:t>
                      </m:r>
                    </m:den>
                  </m:f>
                  <m:r>
                    <m:rPr>
                      <m:sty m:val="p"/>
                    </m:rPr>
                    <m:t>∑</m:t>
                  </m:r>
                  <m:r>
                    <m:rPr>
                      <m:sty m:val="p"/>
                    </m:rPr>
                    <m:t>(</m:t>
                  </m:r>
                  <m:sSub>
                    <m:e>
                      <m:r>
                        <m:t>V</m:t>
                      </m:r>
                    </m:e>
                    <m:sub>
                      <m:r>
                        <m:t>t</m:t>
                      </m:r>
                    </m:sub>
                  </m:sSub>
                  <m:r>
                    <m:rPr>
                      <m:sty m:val="p"/>
                    </m:rPr>
                    <m:t>−</m:t>
                  </m:r>
                  <m:sSub>
                    <m:e>
                      <m:acc>
                        <m:accPr>
                          <m:chr m:val="̂"/>
                        </m:accPr>
                        <m:e>
                          <m:r>
                            <m:t>V</m:t>
                          </m:r>
                        </m:e>
                      </m:acc>
                    </m:e>
                    <m:sub>
                      <m:r>
                        <m:t>t</m:t>
                      </m:r>
                    </m:sub>
                  </m:sSub>
                  <m:sSup>
                    <m:e>
                      <m:r>
                        <m:rPr>
                          <m:sty m:val="p"/>
                        </m:rPr>
                        <m:t>)</m:t>
                      </m:r>
                    </m:e>
                    <m:sup>
                      <m:r>
                        <m:t>2</m:t>
                      </m:r>
                    </m:sup>
                  </m:sSup>
                </m:e>
              </m:rad>
            </m:oMath>
          </w:p>
        </w:tc>
        <w:tc>
          <w:tcPr/>
          <w:p>
            <w:pPr>
              <w:pStyle w:val="Compact"/>
              <w:spacing w:line="360" w:lineRule="auto"/>
            </w:pPr>
            <w:r>
              <w:rPr>
                <w:rFonts w:ascii="Times New Roman" w:hAnsi="Times New Roman"/>
                <w:sz w:val="22"/>
              </w:rPr>
              <w:t xml:space="preserve">Penaliza errores grandes; unidades de vol</w:t>
            </w:r>
          </w:p>
        </w:tc>
      </w:tr>
      <w:tr>
        <w:tc>
          <w:tcPr/>
          <w:p>
            <w:pPr>
              <w:pStyle w:val="Compact"/>
              <w:spacing w:line="360" w:lineRule="auto"/>
            </w:pPr>
            <w:r>
              <w:rPr>
                <w:rFonts w:ascii="Times New Roman" w:hAnsi="Times New Roman"/>
                <w:b/>
                <w:bCs/>
                <w:sz w:val="22"/>
              </w:rPr>
              <w:t xml:space="preserve">MAE</w:t>
            </w:r>
          </w:p>
        </w:tc>
        <w:tc>
          <w:tcPr/>
          <w:p>
            <w:pPr>
              <w:pStyle w:val="Compact"/>
              <w:spacing w:line="360" w:lineRule="auto"/>
            </w:pPr>
            <m:oMath>
              <m:f>
                <m:fPr>
                  <m:type m:val="bar"/>
                </m:fPr>
                <m:num>
                  <m:r>
                    <m:t>1</m:t>
                  </m:r>
                </m:num>
                <m:den>
                  <m:r>
                    <m:t>T</m:t>
                  </m:r>
                </m:den>
              </m:f>
              <m:r>
                <m:rPr>
                  <m:sty m:val="p"/>
                </m:rPr>
                <m:t>∑</m:t>
              </m:r>
              <m:r>
                <m:rPr>
                  <m:sty m:val="p"/>
                </m:rPr>
                <m:t>|</m:t>
              </m:r>
              <m:sSub>
                <m:e>
                  <m:r>
                    <m:t>V</m:t>
                  </m:r>
                </m:e>
                <m:sub>
                  <m:r>
                    <m:t>t</m:t>
                  </m:r>
                </m:sub>
              </m:sSub>
              <m:r>
                <m:rPr>
                  <m:sty m:val="p"/>
                </m:rPr>
                <m:t>−</m:t>
              </m:r>
              <m:sSub>
                <m:e>
                  <m:acc>
                    <m:accPr>
                      <m:chr m:val="̂"/>
                    </m:accPr>
                    <m:e>
                      <m:r>
                        <m:t>V</m:t>
                      </m:r>
                    </m:e>
                  </m:acc>
                </m:e>
                <m:sub>
                  <m:r>
                    <m:t>t</m:t>
                  </m:r>
                </m:sub>
              </m:sSub>
              <m:r>
                <m:rPr>
                  <m:sty m:val="p"/>
                </m:rPr>
                <m:t>|</m:t>
              </m:r>
            </m:oMath>
          </w:p>
        </w:tc>
        <w:tc>
          <w:tcPr/>
          <w:p>
            <w:pPr>
              <w:pStyle w:val="Compact"/>
              <w:spacing w:line="360" w:lineRule="auto"/>
            </w:pPr>
            <w:r>
              <w:rPr>
                <w:rFonts w:ascii="Times New Roman" w:hAnsi="Times New Roman"/>
                <w:sz w:val="22"/>
              </w:rPr>
              <w:t xml:space="preserve">Robusta a outliers</w:t>
            </w:r>
          </w:p>
        </w:tc>
      </w:tr>
      <w:tr>
        <w:tc>
          <w:tcPr/>
          <w:p>
            <w:pPr>
              <w:pStyle w:val="Compact"/>
              <w:spacing w:line="360" w:lineRule="auto"/>
            </w:pPr>
            <w:r>
              <w:rPr>
                <w:rFonts w:ascii="Times New Roman" w:hAnsi="Times New Roman"/>
                <w:b/>
                <w:bCs/>
                <w:sz w:val="22"/>
              </w:rPr>
              <w:t xml:space="preserve">R²</w:t>
            </w:r>
          </w:p>
        </w:tc>
        <w:tc>
          <w:tcPr/>
          <w:p>
            <w:pPr>
              <w:pStyle w:val="Compact"/>
              <w:spacing w:line="360" w:lineRule="auto"/>
            </w:pPr>
            <m:oMath>
              <m:r>
                <m:t>1</m:t>
              </m:r>
              <m:r>
                <m:rPr>
                  <m:sty m:val="p"/>
                </m:rPr>
                <m:t>−</m:t>
              </m:r>
              <m:sSub>
                <m:e>
                  <m:r>
                    <m:rPr>
                      <m:nor/>
                      <m:sty m:val="p"/>
                    </m:rPr>
                    <m:t>SS</m:t>
                  </m:r>
                </m:e>
                <m:sub>
                  <m:r>
                    <m:rPr>
                      <m:nor/>
                      <m:sty m:val="p"/>
                    </m:rPr>
                    <m:t>res</m:t>
                  </m:r>
                </m:sub>
              </m:sSub>
              <m:r>
                <m:rPr>
                  <m:sty m:val="p"/>
                </m:rPr>
                <m:t>/</m:t>
              </m:r>
              <m:sSub>
                <m:e>
                  <m:r>
                    <m:rPr>
                      <m:nor/>
                      <m:sty m:val="p"/>
                    </m:rPr>
                    <m:t>SS</m:t>
                  </m:r>
                </m:e>
                <m:sub>
                  <m:r>
                    <m:rPr>
                      <m:nor/>
                      <m:sty m:val="p"/>
                    </m:rPr>
                    <m:t>tot</m:t>
                  </m:r>
                </m:sub>
              </m:sSub>
            </m:oMath>
          </w:p>
        </w:tc>
        <w:tc>
          <w:tcPr/>
          <w:p>
            <w:pPr>
              <w:pStyle w:val="Compact"/>
              <w:spacing w:line="360" w:lineRule="auto"/>
            </w:pPr>
            <w:r>
              <w:rPr>
                <w:rFonts w:ascii="Times New Roman" w:hAnsi="Times New Roman"/>
                <w:sz w:val="22"/>
              </w:rPr>
              <w:t xml:space="preserve">Proporción de varianza explicada</w:t>
            </w:r>
          </w:p>
        </w:tc>
      </w:tr>
      <w:tr>
        <w:tc>
          <w:tcPr/>
          <w:p>
            <w:pPr>
              <w:pStyle w:val="Compact"/>
              <w:spacing w:line="360" w:lineRule="auto"/>
            </w:pPr>
            <w:r>
              <w:rPr>
                <w:rFonts w:ascii="Times New Roman" w:hAnsi="Times New Roman"/>
                <w:b/>
                <w:bCs/>
                <w:sz w:val="22"/>
              </w:rPr>
              <w:t xml:space="preserve">QLIKE</w:t>
            </w:r>
          </w:p>
        </w:tc>
        <w:tc>
          <w:tcPr/>
          <w:p>
            <w:pPr>
              <w:pStyle w:val="Compact"/>
              <w:spacing w:line="360" w:lineRule="auto"/>
            </w:pPr>
            <m:oMath>
              <m:f>
                <m:fPr>
                  <m:type m:val="bar"/>
                </m:fPr>
                <m:num>
                  <m:r>
                    <m:t>1</m:t>
                  </m:r>
                </m:num>
                <m:den>
                  <m:r>
                    <m:t>T</m:t>
                  </m:r>
                </m:den>
              </m:f>
              <m:r>
                <m:rPr>
                  <m:sty m:val="p"/>
                </m:rPr>
                <m:t>∑</m:t>
              </m:r>
              <m:r>
                <m:rPr>
                  <m:sty m:val="p"/>
                </m:rPr>
                <m:t>(</m:t>
              </m:r>
              <m:r>
                <m:rPr>
                  <m:sty m:val="p"/>
                </m:rPr>
                <m:t>log</m:t>
              </m:r>
              <m:sSubSup>
                <m:e>
                  <m:acc>
                    <m:accPr>
                      <m:chr m:val="̂"/>
                    </m:accPr>
                    <m:e>
                      <m:r>
                        <m:t>V</m:t>
                      </m:r>
                    </m:e>
                  </m:acc>
                </m:e>
                <m:sub>
                  <m:r>
                    <m:t>t</m:t>
                  </m:r>
                </m:sub>
                <m:sup>
                  <m:r>
                    <m:t>2</m:t>
                  </m:r>
                </m:sup>
              </m:sSubSup>
              <m:r>
                <m:rPr>
                  <m:sty m:val="p"/>
                </m:rPr>
                <m:t>+</m:t>
              </m:r>
              <m:sSubSup>
                <m:e>
                  <m:r>
                    <m:t>V</m:t>
                  </m:r>
                </m:e>
                <m:sub>
                  <m:r>
                    <m:t>t</m:t>
                  </m:r>
                </m:sub>
                <m:sup>
                  <m:r>
                    <m:t>2</m:t>
                  </m:r>
                </m:sup>
              </m:sSubSup>
              <m:r>
                <m:rPr>
                  <m:sty m:val="p"/>
                </m:rPr>
                <m:t>/</m:t>
              </m:r>
              <m:sSubSup>
                <m:e>
                  <m:acc>
                    <m:accPr>
                      <m:chr m:val="̂"/>
                    </m:accPr>
                    <m:e>
                      <m:r>
                        <m:t>V</m:t>
                      </m:r>
                    </m:e>
                  </m:acc>
                </m:e>
                <m:sub>
                  <m:r>
                    <m:t>t</m:t>
                  </m:r>
                </m:sub>
                <m:sup>
                  <m:r>
                    <m:t>2</m:t>
                  </m:r>
                </m:sup>
              </m:sSubSup>
              <m:r>
                <m:rPr>
                  <m:sty m:val="p"/>
                </m:rPr>
                <m:t>)</m:t>
              </m:r>
            </m:oMath>
          </w:p>
        </w:tc>
        <w:tc>
          <w:tcPr/>
          <w:p>
            <w:pPr>
              <w:pStyle w:val="Compact"/>
              <w:spacing w:line="360" w:lineRule="auto"/>
            </w:pPr>
            <w:r>
              <w:rPr>
                <w:rFonts w:ascii="Times New Roman" w:hAnsi="Times New Roman"/>
                <w:sz w:val="22"/>
              </w:rPr>
              <w:t xml:space="preserve">Estándar en volatilidad; robusta a errores de proxy</w:t>
            </w:r>
          </w:p>
        </w:tc>
      </w:tr>
    </w:tbl>
    <w:p>
      <w:pPr>
        <w:pStyle w:val="BodyText"/>
        <w:spacing w:line="360" w:lineRule="auto" w:before="0" w:after="120"/>
        <w:jc w:val="both"/>
      </w:pPr>
      <w:r>
        <w:rPr>
          <w:rFonts w:ascii="Times New Roman" w:hAnsi="Times New Roman"/>
          <w:sz w:val="24"/>
        </w:rPr>
        <w:t xml:space="preserve">Adicionalmente, se realiza el</w:t>
      </w:r>
      <w:r>
        <w:rPr>
          <w:rFonts w:ascii="Times New Roman" w:hAnsi="Times New Roman"/>
          <w:sz w:val="24"/>
        </w:rPr>
        <w:t xml:space="preserve"> </w:t>
      </w:r>
      <w:r>
        <w:rPr>
          <w:rFonts w:ascii="Times New Roman" w:hAnsi="Times New Roman"/>
          <w:b/>
          <w:bCs/>
          <w:sz w:val="24"/>
        </w:rPr>
        <w:t xml:space="preserve">test de Diebold-Mariano</w:t>
      </w:r>
      <w:r>
        <w:rPr>
          <w:rFonts w:ascii="Times New Roman" w:hAnsi="Times New Roman"/>
          <w:sz w:val="24"/>
        </w:rPr>
        <w:t xml:space="preserve"> </w:t>
      </w:r>
      <w:r>
        <w:rPr>
          <w:rFonts w:ascii="Times New Roman" w:hAnsi="Times New Roman"/>
          <w:sz w:val="24"/>
        </w:rPr>
        <w:t xml:space="preserve">(1995) para comparar formalmente la precisión predictiva de pares de modelos.</w:t>
      </w:r>
    </w:p>
    <w:p>
      <w:pPr>
        <w:spacing w:line="360" w:lineRule="auto" w:before="0" w:after="120"/>
        <w:jc w:val="both"/>
      </w:pPr>
      <w:r>
        <w:rPr>
          <w:rFonts w:ascii="Times New Roman" w:hAnsi="Times New Roman"/>
          <w:sz w:val="24"/>
        </w:rPr>
        <w:pict>
          <v:rect style="width:0;height:1.5pt" o:hralign="center" o:hrstd="t" o:hr="t"/>
        </w:pict>
      </w:r>
    </w:p>
    <w:bookmarkEnd w:id="22"/>
    <w:bookmarkEnd w:id="23"/>
    <w:bookmarkEnd w:id="24"/>
    <w:bookmarkStart w:id="49" w:name="trabajo-técnico"/>
    <w:p>
      <w:pPr>
        <w:pStyle w:val="Heading1"/>
        <w:spacing w:line="360" w:lineRule="auto" w:before="0" w:after="120"/>
        <w:jc w:val="both"/>
      </w:pPr>
      <w:r>
        <w:rPr>
          <w:rFonts w:ascii="Times New Roman" w:hAnsi="Times New Roman"/>
          <w:sz w:val="24"/>
        </w:rPr>
        <w:t xml:space="preserve">TRABAJO TÉCNICO</w:t>
      </w:r>
    </w:p>
    <w:bookmarkStart w:id="29" w:name="X243363fbf3b9650ded1911043c05db33564cacc"/>
    <w:p>
      <w:pPr>
        <w:pStyle w:val="Heading2"/>
        <w:spacing w:line="360" w:lineRule="auto" w:before="0" w:after="120"/>
        <w:jc w:val="both"/>
      </w:pPr>
      <w:r>
        <w:rPr>
          <w:rFonts w:ascii="Times New Roman" w:hAnsi="Times New Roman"/>
          <w:sz w:val="24"/>
        </w:rPr>
        <w:t xml:space="preserve">3. Feature engineering e ingeniería de variables</w:t>
      </w:r>
    </w:p>
    <w:bookmarkStart w:id="25" w:name="Xba1ad37578f9f8ada17d0d567105ae208f8f81d"/>
    <w:p>
      <w:pPr>
        <w:pStyle w:val="Heading3"/>
        <w:spacing w:line="360" w:lineRule="auto" w:before="0" w:after="120"/>
        <w:jc w:val="both"/>
      </w:pPr>
      <w:r>
        <w:rPr>
          <w:rFonts w:ascii="Times New Roman" w:hAnsi="Times New Roman"/>
          <w:sz w:val="24"/>
        </w:rPr>
        <w:t xml:space="preserve">3.1. Colapso del formato panel a serie IBEX agregada</w:t>
      </w:r>
    </w:p>
    <w:p>
      <w:pPr>
        <w:pStyle w:val="FirstParagraph"/>
        <w:spacing w:line="360" w:lineRule="auto" w:before="0" w:after="120"/>
        <w:jc w:val="both"/>
      </w:pPr>
      <w:r>
        <w:rPr>
          <w:rFonts w:ascii="Times New Roman" w:hAnsi="Times New Roman"/>
          <w:sz w:val="24"/>
        </w:rPr>
        <w:t xml:space="preserve">El dataset maestro almacena 157.455 filas en formato panel (35 empresas × ~4.500 días). Los modelos predictivos</w:t>
      </w:r>
      <w:r>
        <w:rPr>
          <w:rFonts w:ascii="Times New Roman" w:hAnsi="Times New Roman"/>
          <w:sz w:val="24"/>
        </w:rPr>
        <w:t xml:space="preserve"> </w:t>
      </w:r>
      <w:r>
        <w:rPr>
          <w:rFonts w:ascii="Times New Roman" w:hAnsi="Times New Roman"/>
          <w:b/>
          <w:bCs/>
          <w:sz w:val="24"/>
        </w:rPr>
        <w:t xml:space="preserve">no trabajan sobre este formato</w:t>
      </w:r>
      <w:r>
        <w:rPr>
          <w:rFonts w:ascii="Times New Roman" w:hAnsi="Times New Roman"/>
          <w:sz w:val="24"/>
        </w:rPr>
        <w:t xml:space="preserve">: se colapsan las 35 empresas calculando la</w:t>
      </w:r>
      <w:r>
        <w:rPr>
          <w:rFonts w:ascii="Times New Roman" w:hAnsi="Times New Roman"/>
          <w:sz w:val="24"/>
        </w:rPr>
        <w:t xml:space="preserve"> </w:t>
      </w:r>
      <w:r>
        <w:rPr>
          <w:rFonts w:ascii="Times New Roman" w:hAnsi="Times New Roman"/>
          <w:b/>
          <w:bCs/>
          <w:sz w:val="24"/>
        </w:rPr>
        <w:t xml:space="preserve">media diaria</w:t>
      </w:r>
      <w:r>
        <w:rPr>
          <w:rFonts w:ascii="Times New Roman" w:hAnsi="Times New Roman"/>
          <w:sz w:val="24"/>
        </w:rPr>
        <w:t xml:space="preserve"> </w:t>
      </w:r>
      <w:r>
        <w:rPr>
          <w:rFonts w:ascii="Times New Roman" w:hAnsi="Times New Roman"/>
          <w:sz w:val="24"/>
        </w:rPr>
        <w:t xml:space="preserve">de la volatilidad y los log-retornos, generando una serie representativa del índice de</w:t>
      </w:r>
      <w:r>
        <w:rPr>
          <w:rFonts w:ascii="Times New Roman" w:hAnsi="Times New Roman"/>
          <w:sz w:val="24"/>
        </w:rPr>
        <w:t xml:space="preserve"> </w:t>
      </w:r>
      <w:r>
        <w:rPr>
          <w:rFonts w:ascii="Times New Roman" w:hAnsi="Times New Roman"/>
          <w:b/>
          <w:bCs/>
          <w:sz w:val="24"/>
        </w:rPr>
        <w:t xml:space="preserve">3.455 observaciones × 15 columnas</w:t>
      </w:r>
      <w:r>
        <w:rPr>
          <w:rFonts w:ascii="Times New Roman" w:hAnsi="Times New Roman"/>
          <w:sz w:val="24"/>
        </w:rPr>
        <w:t xml:space="preserve">.</w:t>
      </w:r>
    </w:p>
    <w:p>
      <w:pPr>
        <w:pStyle w:val="BodyText"/>
        <w:spacing w:line="360" w:lineRule="auto" w:before="0" w:after="120"/>
        <w:jc w:val="both"/>
      </w:pPr>
      <w:r>
        <w:rPr>
          <w:rFonts w:ascii="Times New Roman" w:hAnsi="Times New Roman"/>
          <w:sz w:val="24"/>
        </w:rPr>
        <w:t xml:space="preserve">Esta decisión se justifica por cuatro razones: (1) los precios individuales no son estacionarios; (2) las 35 acciones correlacionan fuertemente entre sí; (3) la ratio observaciones/features sería demasiado baja, aumentando el sobreajuste; (4) el TFG estudia la volatilidad del IBEX 35</w:t>
      </w:r>
      <w:r>
        <w:rPr>
          <w:rFonts w:ascii="Times New Roman" w:hAnsi="Times New Roman"/>
          <w:sz w:val="24"/>
        </w:rPr>
        <w:t xml:space="preserve"> </w:t>
      </w:r>
      <w:r>
        <w:rPr>
          <w:rFonts w:ascii="Times New Roman" w:hAnsi="Times New Roman"/>
          <w:b/>
          <w:bCs/>
          <w:sz w:val="24"/>
        </w:rPr>
        <w:t xml:space="preserve">como índice</w:t>
      </w:r>
      <w:r>
        <w:rPr>
          <w:rFonts w:ascii="Times New Roman" w:hAnsi="Times New Roman"/>
          <w:sz w:val="24"/>
        </w:rPr>
        <w:t xml:space="preserve">, coherente con la literatura.</w:t>
      </w:r>
    </w:p>
    <w:bookmarkEnd w:id="25"/>
    <w:bookmarkStart w:id="26" w:name="construcción-de-features-har"/>
    <w:p>
      <w:pPr>
        <w:pStyle w:val="Heading3"/>
        <w:spacing w:line="360" w:lineRule="auto" w:before="0" w:after="120"/>
        <w:jc w:val="both"/>
      </w:pPr>
      <w:r>
        <w:rPr>
          <w:rFonts w:ascii="Times New Roman" w:hAnsi="Times New Roman"/>
          <w:sz w:val="24"/>
        </w:rPr>
        <w:t xml:space="preserve">3.2. Construcción de features HAR</w:t>
      </w:r>
    </w:p>
    <w:p>
      <w:pPr>
        <w:pStyle w:val="FirstParagraph"/>
        <w:spacing w:line="360" w:lineRule="auto" w:before="0" w:after="120"/>
        <w:jc w:val="both"/>
      </w:pPr>
      <w:r>
        <w:rPr>
          <w:rFonts w:ascii="Times New Roman" w:hAnsi="Times New Roman"/>
          <w:sz w:val="24"/>
        </w:rPr>
        <w:t xml:space="preserve">Los features HAR capturan la memoria de la volatilidad a tres escalas temporales (Corsi, 2009):</w:t>
      </w:r>
    </w:p>
    <w:p>
      <w:pPr>
        <w:pStyle w:val="Compact"/>
        <w:numPr>
          <w:ilvl w:val="0"/>
          <w:numId w:val="1003"/>
        </w:numPr>
        <w:spacing w:line="360" w:lineRule="auto" w:before="0" w:after="120"/>
        <w:jc w:val="both"/>
      </w:pPr>
      <w:r>
        <w:rPr>
          <w:rStyle w:val="VerbatimChar"/>
          <w:rFonts w:ascii="Times New Roman" w:hAnsi="Times New Roman"/>
          <w:b/>
          <w:bCs/>
          <w:sz w:val="24"/>
        </w:rPr>
        <w:t xml:space="preserve">vol_lag1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sSub>
          <m:e>
            <m:r>
              <m:t>V</m:t>
            </m:r>
          </m:e>
          <m:sub>
            <m:r>
              <m:t>t</m:t>
            </m:r>
            <m:r>
              <m:rPr>
                <m:sty m:val="p"/>
              </m:rPr>
              <m:t>−</m:t>
            </m:r>
            <m:r>
              <m:t>1</m:t>
            </m:r>
          </m:sub>
        </m:sSub>
      </m:oMath>
      <w:r>
        <w:rPr>
          <w:rFonts w:ascii="Times New Roman" w:hAnsi="Times New Roman"/>
          <w:sz w:val="24"/>
        </w:rPr>
        <w:t xml:space="preserve">: volatilidad del día anterior</w:t>
      </w:r>
    </w:p>
    <w:p>
      <w:pPr>
        <w:pStyle w:val="Compact"/>
        <w:numPr>
          <w:ilvl w:val="0"/>
          <w:numId w:val="1003"/>
        </w:numPr>
        <w:spacing w:line="360" w:lineRule="auto" w:before="0" w:after="120"/>
        <w:jc w:val="both"/>
      </w:pPr>
      <w:r>
        <w:rPr>
          <w:rStyle w:val="VerbatimChar"/>
          <w:rFonts w:ascii="Times New Roman" w:hAnsi="Times New Roman"/>
          <w:b/>
          <w:bCs/>
          <w:sz w:val="24"/>
        </w:rPr>
        <w:t xml:space="preserve">vol_lag5</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f>
          <m:fPr>
            <m:type m:val="bar"/>
          </m:fPr>
          <m:num>
            <m:r>
              <m:t>1</m:t>
            </m:r>
          </m:num>
          <m:den>
            <m:r>
              <m:t>5</m:t>
            </m:r>
          </m:den>
        </m:f>
        <m:nary>
          <m:naryPr>
            <m:chr m:val="∑"/>
            <m:limLoc m:val="undOvr"/>
            <m:subHide m:val="off"/>
            <m:supHide m:val="off"/>
          </m:naryPr>
          <m:sub>
            <m:r>
              <m:t>i</m:t>
            </m:r>
            <m:r>
              <m:rPr>
                <m:sty m:val="p"/>
              </m:rPr>
              <m:t>=</m:t>
            </m:r>
            <m:r>
              <m:t>1</m:t>
            </m:r>
          </m:sub>
          <m:sup>
            <m:r>
              <m:t>5</m:t>
            </m:r>
          </m:sup>
          <m:e>
            <m:sSub>
              <m:e>
                <m:r>
                  <m:t>V</m:t>
                </m:r>
              </m:e>
              <m:sub>
                <m:r>
                  <m:t>t</m:t>
                </m:r>
                <m:r>
                  <m:rPr>
                    <m:sty m:val="p"/>
                  </m:rPr>
                  <m:t>−</m:t>
                </m:r>
                <m:r>
                  <m:t>i</m:t>
                </m:r>
              </m:sub>
            </m:sSub>
          </m:e>
        </m:nary>
      </m:oMath>
      <w:r>
        <w:rPr>
          <w:rFonts w:ascii="Times New Roman" w:hAnsi="Times New Roman"/>
          <w:sz w:val="24"/>
        </w:rPr>
        <w:t xml:space="preserve">: media semanal</w:t>
      </w:r>
    </w:p>
    <w:p>
      <w:pPr>
        <w:pStyle w:val="Compact"/>
        <w:numPr>
          <w:ilvl w:val="0"/>
          <w:numId w:val="1003"/>
        </w:numPr>
        <w:spacing w:line="360" w:lineRule="auto" w:before="0" w:after="120"/>
        <w:jc w:val="both"/>
      </w:pPr>
      <w:r>
        <w:rPr>
          <w:rStyle w:val="VerbatimChar"/>
          <w:rFonts w:ascii="Times New Roman" w:hAnsi="Times New Roman"/>
          <w:b/>
          <w:bCs/>
          <w:sz w:val="24"/>
        </w:rPr>
        <w:t xml:space="preserve">vol_lag21</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m:oMath>
        <m:f>
          <m:fPr>
            <m:type m:val="bar"/>
          </m:fPr>
          <m:num>
            <m:r>
              <m:t>1</m:t>
            </m:r>
          </m:num>
          <m:den>
            <m:r>
              <m:t>21</m:t>
            </m:r>
          </m:den>
        </m:f>
        <m:nary>
          <m:naryPr>
            <m:chr m:val="∑"/>
            <m:limLoc m:val="undOvr"/>
            <m:subHide m:val="off"/>
            <m:supHide m:val="off"/>
          </m:naryPr>
          <m:sub>
            <m:r>
              <m:t>i</m:t>
            </m:r>
            <m:r>
              <m:rPr>
                <m:sty m:val="p"/>
              </m:rPr>
              <m:t>=</m:t>
            </m:r>
            <m:r>
              <m:t>1</m:t>
            </m:r>
          </m:sub>
          <m:sup>
            <m:r>
              <m:t>21</m:t>
            </m:r>
          </m:sup>
          <m:e>
            <m:sSub>
              <m:e>
                <m:r>
                  <m:t>V</m:t>
                </m:r>
              </m:e>
              <m:sub>
                <m:r>
                  <m:t>t</m:t>
                </m:r>
                <m:r>
                  <m:rPr>
                    <m:sty m:val="p"/>
                  </m:rPr>
                  <m:t>−</m:t>
                </m:r>
                <m:r>
                  <m:t>i</m:t>
                </m:r>
              </m:sub>
            </m:sSub>
          </m:e>
        </m:nary>
      </m:oMath>
      <w:r>
        <w:rPr>
          <w:rFonts w:ascii="Times New Roman" w:hAnsi="Times New Roman"/>
          <w:sz w:val="24"/>
        </w:rPr>
        <w:t xml:space="preserve">: media mensual</w:t>
      </w:r>
    </w:p>
    <w:p>
      <w:pPr>
        <w:pStyle w:val="FirstParagraph"/>
        <w:spacing w:line="360" w:lineRule="auto" w:before="0" w:after="120"/>
        <w:jc w:val="both"/>
      </w:pPr>
      <w:r>
        <w:rPr>
          <w:rFonts w:ascii="Times New Roman" w:hAnsi="Times New Roman"/>
          <w:sz w:val="24"/>
        </w:rPr>
        <w:t xml:space="preserve">Todos los features se calculan con</w:t>
      </w:r>
      <w:r>
        <w:rPr>
          <w:rFonts w:ascii="Times New Roman" w:hAnsi="Times New Roman"/>
          <w:sz w:val="24"/>
        </w:rPr>
        <w:t xml:space="preserve"> </w:t>
      </w:r>
      <w:r>
        <w:rPr>
          <w:rStyle w:val="VerbatimChar"/>
          <w:rFonts w:ascii="Times New Roman" w:hAnsi="Times New Roman"/>
          <w:b/>
          <w:bCs/>
          <w:sz w:val="24"/>
        </w:rPr>
        <w:t xml:space="preserve">shift(1)</w:t>
      </w:r>
      <w:r>
        <w:rPr>
          <w:rFonts w:ascii="Times New Roman" w:hAnsi="Times New Roman"/>
          <w:sz w:val="24"/>
        </w:rPr>
        <w:t xml:space="preserve"> </w:t>
      </w:r>
      <w:r>
        <w:rPr>
          <w:rFonts w:ascii="Times New Roman" w:hAnsi="Times New Roman"/>
          <w:sz w:val="24"/>
        </w:rPr>
        <w:t xml:space="preserve">para evitar</w:t>
      </w:r>
      <w:r>
        <w:rPr>
          <w:rFonts w:ascii="Times New Roman" w:hAnsi="Times New Roman"/>
          <w:sz w:val="24"/>
        </w:rPr>
        <w:t xml:space="preserve"> </w:t>
      </w:r>
      <w:r>
        <w:rPr>
          <w:rFonts w:ascii="Times New Roman" w:hAnsi="Times New Roman"/>
          <w:i/>
          <w:iCs/>
          <w:sz w:val="24"/>
        </w:rPr>
        <w:t xml:space="preserve">data leakage</w:t>
      </w:r>
      <w:r>
        <w:rPr>
          <w:rFonts w:ascii="Times New Roman" w:hAnsi="Times New Roman"/>
          <w:sz w:val="24"/>
        </w:rPr>
        <w:t xml:space="preserve">.</w:t>
      </w:r>
    </w:p>
    <w:bookmarkEnd w:id="26"/>
    <w:bookmarkStart w:id="27" w:name="variables-macroeconómicas-como-features"/>
    <w:p>
      <w:pPr>
        <w:pStyle w:val="Heading3"/>
        <w:spacing w:line="360" w:lineRule="auto" w:before="0" w:after="120"/>
        <w:jc w:val="both"/>
      </w:pPr>
      <w:r>
        <w:rPr>
          <w:rFonts w:ascii="Times New Roman" w:hAnsi="Times New Roman"/>
          <w:sz w:val="24"/>
        </w:rPr>
        <w:t xml:space="preserve">3.3. Variables macroeconómicas como features</w:t>
      </w:r>
    </w:p>
    <w:p>
      <w:pPr>
        <w:pStyle w:val="FirstParagraph"/>
        <w:spacing w:line="360" w:lineRule="auto" w:before="0" w:after="120"/>
        <w:jc w:val="both"/>
      </w:pPr>
      <w:r>
        <w:rPr>
          <w:rFonts w:ascii="Times New Roman" w:hAnsi="Times New Roman"/>
          <w:sz w:val="24"/>
        </w:rPr>
        <w:t xml:space="preserve">Se utilizan</w:t>
      </w:r>
      <w:r>
        <w:rPr>
          <w:rFonts w:ascii="Times New Roman" w:hAnsi="Times New Roman"/>
          <w:sz w:val="24"/>
        </w:rPr>
        <w:t xml:space="preserve"> </w:t>
      </w:r>
      <w:r>
        <w:rPr>
          <w:rFonts w:ascii="Times New Roman" w:hAnsi="Times New Roman"/>
          <w:b/>
          <w:bCs/>
          <w:sz w:val="24"/>
        </w:rPr>
        <w:t xml:space="preserve">12 variables macroeconómicas</w:t>
      </w:r>
      <w:r>
        <w:rPr>
          <w:rFonts w:ascii="Times New Roman" w:hAnsi="Times New Roman"/>
          <w:sz w:val="24"/>
        </w:rPr>
        <w:t xml:space="preserve"> </w:t>
      </w:r>
      <w:r>
        <w:rPr>
          <w:rFonts w:ascii="Times New Roman" w:hAnsi="Times New Roman"/>
          <w:sz w:val="24"/>
        </w:rPr>
        <w:t xml:space="preserve">después de excluir aquellas con cobertura insuficiente (</w:t>
      </w:r>
      <w:r>
        <w:rPr>
          <w:rStyle w:val="VerbatimChar"/>
          <w:rFonts w:ascii="Times New Roman" w:hAnsi="Times New Roman"/>
          <w:sz w:val="24"/>
        </w:rPr>
        <w:t xml:space="preserve">vibex</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vstoxx</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pmi</w:t>
      </w:r>
      <w:r>
        <w:rPr>
          <w:rFonts w:ascii="Times New Roman" w:hAnsi="Times New Roman"/>
          <w:sz w:val="24"/>
        </w:rPr>
        <w:t xml:space="preserve">) y redundantes (</w:t>
      </w:r>
      <w:r>
        <w:rPr>
          <w:rStyle w:val="VerbatimChar"/>
          <w:rFonts w:ascii="Times New Roman" w:hAnsi="Times New Roman"/>
          <w:sz w:val="24"/>
        </w:rPr>
        <w:t xml:space="preserve">tipo_mlf</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tipo_mro</w:t>
      </w:r>
      <w:r>
        <w:rPr>
          <w:rFonts w:ascii="Times New Roman" w:hAnsi="Times New Roman"/>
          <w:sz w:val="24"/>
        </w:rPr>
        <w:t xml:space="preserve">):</w:t>
      </w:r>
    </w:p>
    <w:tbl>
      <w:tblPr>
        <w:tblStyle w:val="Table"/>
        <w:tblW w:type="pct" w:w="5000"/>
        <w:tblLayout w:type="fixed"/>
        <w:tblLook w:firstRow="1" w:lastRow="0" w:firstColumn="0" w:lastColumn="0" w:noHBand="0" w:noVBand="0" w:val="0020"/>
      </w:tblPr>
      <w:tblGrid>
        <w:gridCol w:w="3334"/>
        <w:gridCol w:w="4585"/>
      </w:tblGrid>
      <w:tr>
        <w:trPr>
          <w:tblHeader w:val="on"/>
        </w:trPr>
        <w:tc>
          <w:tcPr>
            <w:shd w:fill="404040"/>
          </w:tcPr>
          <w:p>
            <w:pPr>
              <w:pStyle w:val="Compact"/>
              <w:jc w:val="center"/>
            </w:pPr>
            <w:r>
              <w:rPr>
                <w:rFonts w:ascii="Times New Roman" w:hAnsi="Times New Roman"/>
                <w:b/>
                <w:color w:val="FFFFFF"/>
                <w:sz w:val="22"/>
              </w:rPr>
              <w:t xml:space="preserve">Bloque</w:t>
            </w:r>
          </w:p>
        </w:tc>
        <w:tc>
          <w:tcPr>
            <w:shd w:fill="404040"/>
          </w:tcPr>
          <w:p>
            <w:pPr>
              <w:pStyle w:val="Compact"/>
              <w:jc w:val="center"/>
            </w:pPr>
            <w:r>
              <w:rPr>
                <w:rFonts w:ascii="Times New Roman" w:hAnsi="Times New Roman"/>
                <w:b/>
                <w:color w:val="FFFFFF"/>
                <w:sz w:val="22"/>
              </w:rPr>
              <w:t xml:space="preserve">Variables</w:t>
            </w:r>
          </w:p>
        </w:tc>
      </w:tr>
      <w:tr>
        <w:tc>
          <w:tcPr/>
          <w:p>
            <w:pPr>
              <w:pStyle w:val="Compact"/>
              <w:spacing w:line="360" w:lineRule="auto"/>
            </w:pPr>
            <w:r>
              <w:rPr>
                <w:rFonts w:ascii="Times New Roman" w:hAnsi="Times New Roman"/>
                <w:sz w:val="22"/>
              </w:rPr>
              <w:t xml:space="preserve">Riesgo global</w:t>
            </w:r>
          </w:p>
        </w:tc>
        <w:tc>
          <w:tcPr/>
          <w:p>
            <w:pPr>
              <w:pStyle w:val="Compact"/>
              <w:spacing w:line="360" w:lineRule="auto"/>
            </w:pPr>
            <w:r>
              <w:rPr>
                <w:rFonts w:ascii="Times New Roman" w:hAnsi="Times New Roman"/>
                <w:sz w:val="22"/>
              </w:rPr>
              <w:t xml:space="preserve">VIX, Brent</w:t>
            </w:r>
          </w:p>
        </w:tc>
      </w:tr>
      <w:tr>
        <w:tc>
          <w:tcPr/>
          <w:p>
            <w:pPr>
              <w:pStyle w:val="Compact"/>
              <w:spacing w:line="360" w:lineRule="auto"/>
            </w:pPr>
            <w:r>
              <w:rPr>
                <w:rFonts w:ascii="Times New Roman" w:hAnsi="Times New Roman"/>
                <w:sz w:val="22"/>
              </w:rPr>
              <w:t xml:space="preserve">Condiciones monetarias</w:t>
            </w:r>
          </w:p>
        </w:tc>
        <w:tc>
          <w:tcPr/>
          <w:p>
            <w:pPr>
              <w:pStyle w:val="Compact"/>
              <w:spacing w:line="360" w:lineRule="auto"/>
            </w:pPr>
            <w:r>
              <w:rPr>
                <w:rFonts w:ascii="Times New Roman" w:hAnsi="Times New Roman"/>
                <w:sz w:val="22"/>
              </w:rPr>
              <w:t xml:space="preserve">Bono ES 10Y, Bono DE 10Y, EUR/USD, Euribor 3M, Tipo BCE (DFR)</w:t>
            </w:r>
          </w:p>
        </w:tc>
      </w:tr>
      <w:tr>
        <w:tc>
          <w:tcPr/>
          <w:p>
            <w:pPr>
              <w:pStyle w:val="Compact"/>
              <w:spacing w:line="360" w:lineRule="auto"/>
            </w:pPr>
            <w:r>
              <w:rPr>
                <w:rFonts w:ascii="Times New Roman" w:hAnsi="Times New Roman"/>
                <w:sz w:val="22"/>
              </w:rPr>
              <w:t xml:space="preserve">Actividad económica</w:t>
            </w:r>
          </w:p>
        </w:tc>
        <w:tc>
          <w:tcPr/>
          <w:p>
            <w:pPr>
              <w:pStyle w:val="Compact"/>
              <w:spacing w:line="360" w:lineRule="auto"/>
            </w:pPr>
            <w:r>
              <w:rPr>
                <w:rFonts w:ascii="Times New Roman" w:hAnsi="Times New Roman"/>
                <w:sz w:val="22"/>
              </w:rPr>
              <w:t xml:space="preserve">IPC YoY, IPC Subyacente MoM, PIB YoY, Tasa de Paro, IPI YoY</w:t>
            </w:r>
          </w:p>
        </w:tc>
      </w:tr>
    </w:tbl>
    <w:bookmarkEnd w:id="27"/>
    <w:bookmarkStart w:id="28" w:name="split-temporal-traintest"/>
    <w:p>
      <w:pPr>
        <w:pStyle w:val="Heading3"/>
        <w:spacing w:line="360" w:lineRule="auto" w:before="0" w:after="120"/>
        <w:jc w:val="both"/>
      </w:pPr>
      <w:r>
        <w:rPr>
          <w:rFonts w:ascii="Times New Roman" w:hAnsi="Times New Roman"/>
          <w:sz w:val="24"/>
        </w:rPr>
        <w:t xml:space="preserve">3.4. Split temporal train/test</w:t>
      </w:r>
    </w:p>
    <w:p>
      <w:pPr>
        <w:pStyle w:val="FirstParagraph"/>
        <w:spacing w:line="360" w:lineRule="auto" w:before="0" w:after="120"/>
        <w:jc w:val="both"/>
      </w:pPr>
      <w:r>
        <w:rPr>
          <w:rFonts w:ascii="Times New Roman" w:hAnsi="Times New Roman"/>
          <w:sz w:val="24"/>
        </w:rPr>
        <w:t xml:space="preserve">Se adopta un</w:t>
      </w:r>
      <w:r>
        <w:rPr>
          <w:rFonts w:ascii="Times New Roman" w:hAnsi="Times New Roman"/>
          <w:sz w:val="24"/>
        </w:rPr>
        <w:t xml:space="preserve"> </w:t>
      </w:r>
      <w:r>
        <w:rPr>
          <w:rFonts w:ascii="Times New Roman" w:hAnsi="Times New Roman"/>
          <w:b/>
          <w:bCs/>
          <w:sz w:val="24"/>
        </w:rPr>
        <w:t xml:space="preserve">split fijo 80/20 por fecha</w:t>
      </w:r>
      <w:r>
        <w:rPr>
          <w:rFonts w:ascii="Times New Roman" w:hAnsi="Times New Roman"/>
          <w:sz w:val="24"/>
        </w:rPr>
        <w:t xml:space="preserve"> </w:t>
      </w:r>
      <w:r>
        <w:rPr>
          <w:rFonts w:ascii="Times New Roman" w:hAnsi="Times New Roman"/>
          <w:sz w:val="24"/>
        </w:rPr>
        <w:t xml:space="preserve">(no aleatorio):</w:t>
      </w:r>
    </w:p>
    <w:p>
      <w:pPr>
        <w:pStyle w:val="Compact"/>
        <w:numPr>
          <w:ilvl w:val="0"/>
          <w:numId w:val="1004"/>
        </w:numPr>
        <w:spacing w:line="360" w:lineRule="auto" w:before="0" w:after="120"/>
        <w:jc w:val="both"/>
      </w:pPr>
      <w:r>
        <w:rPr>
          <w:rFonts w:ascii="Times New Roman" w:hAnsi="Times New Roman"/>
          <w:b/>
          <w:bCs/>
          <w:sz w:val="24"/>
        </w:rPr>
        <w:t xml:space="preserve">Train (80%)</w:t>
      </w:r>
      <w:r>
        <w:rPr>
          <w:rFonts w:ascii="Times New Roman" w:hAnsi="Times New Roman"/>
          <w:sz w:val="24"/>
        </w:rPr>
        <w:t xml:space="preserve">: 2.764 observaciones (2 mayo 2012 – 16 febrero 2023)</w:t>
      </w:r>
    </w:p>
    <w:p>
      <w:pPr>
        <w:pStyle w:val="Compact"/>
        <w:numPr>
          <w:ilvl w:val="0"/>
          <w:numId w:val="1004"/>
        </w:numPr>
        <w:spacing w:line="360" w:lineRule="auto" w:before="0" w:after="120"/>
        <w:jc w:val="both"/>
      </w:pPr>
      <w:r>
        <w:rPr>
          <w:rFonts w:ascii="Times New Roman" w:hAnsi="Times New Roman"/>
          <w:b/>
          <w:bCs/>
          <w:sz w:val="24"/>
        </w:rPr>
        <w:t xml:space="preserve">Test (20%)</w:t>
      </w:r>
      <w:r>
        <w:rPr>
          <w:rFonts w:ascii="Times New Roman" w:hAnsi="Times New Roman"/>
          <w:sz w:val="24"/>
        </w:rPr>
        <w:t xml:space="preserve">: 691 observaciones (17 febrero 2023 – 31 octubre 2025)</w:t>
      </w:r>
    </w:p>
    <w:bookmarkEnd w:id="28"/>
    <w:bookmarkEnd w:id="29"/>
    <w:bookmarkStart w:id="30" w:name="Xae366ad8e0ef22be200170a9f6ba765ee586fee"/>
    <w:p>
      <w:pPr>
        <w:pStyle w:val="Heading2"/>
        <w:spacing w:line="360" w:lineRule="auto" w:before="0" w:after="120"/>
        <w:jc w:val="both"/>
      </w:pPr>
      <w:r>
        <w:rPr>
          <w:rFonts w:ascii="Times New Roman" w:hAnsi="Times New Roman"/>
          <w:sz w:val="24"/>
        </w:rPr>
        <w:t xml:space="preserve">4. Modelo A0 — Regresión Lineal Simple (baseline)</w:t>
      </w:r>
    </w:p>
    <w:p>
      <w:pPr>
        <w:pStyle w:val="FirstParagraph"/>
        <w:spacing w:line="360" w:lineRule="auto" w:before="0" w:after="120"/>
        <w:jc w:val="both"/>
      </w:pPr>
      <w:r>
        <w:rPr>
          <w:rFonts w:ascii="Times New Roman" w:hAnsi="Times New Roman"/>
          <w:sz w:val="24"/>
        </w:rPr>
        <w:t xml:space="preserve">El modelo más simple utiliza un único predictor: la volatilidad del día anterior.</w:t>
      </w:r>
    </w:p>
    <w:p>
      <w:pPr>
        <w:pStyle w:val="BodyText"/>
        <w:spacing w:line="360" w:lineRule="auto" w:before="0" w:after="120"/>
        <w:jc w:val="both"/>
      </w:pPr>
      <m:oMathPara>
        <m:oMathParaPr>
          <m:jc m:val="center"/>
        </m:oMathParaPr>
        <m:oMath>
          <m:sSub>
            <m:e>
              <m:acc>
                <m:accPr>
                  <m:chr m:val="̂"/>
                </m:accPr>
                <m:e>
                  <m:r>
                    <m:t>V</m:t>
                  </m:r>
                </m:e>
              </m:acc>
            </m:e>
            <m:sub>
              <m:r>
                <m:t>t</m:t>
              </m:r>
            </m:sub>
          </m:sSub>
          <m:r>
            <m:rPr>
              <m:sty m:val="p"/>
            </m:rPr>
            <m:t>=</m:t>
          </m:r>
          <m:r>
            <m:t>0</m:t>
          </m:r>
          <m:r>
            <m:rPr>
              <m:sty m:val="p"/>
            </m:rPr>
            <m:t>,</m:t>
          </m:r>
          <m:r>
            <m:t>0021</m:t>
          </m:r>
          <m:r>
            <m:rPr>
              <m:sty m:val="p"/>
            </m:rPr>
            <m:t>+</m:t>
          </m:r>
          <m:r>
            <m:t>0</m:t>
          </m:r>
          <m:r>
            <m:rPr>
              <m:sty m:val="p"/>
            </m:rPr>
            <m:t>,</m:t>
          </m:r>
          <m:r>
            <m:t>9925</m:t>
          </m:r>
          <m:r>
            <m:rPr>
              <m:sty m:val="p"/>
            </m:rPr>
            <m:t>⋅</m:t>
          </m:r>
          <m:sSub>
            <m:e>
              <m:r>
                <m:t>V</m:t>
              </m:r>
            </m:e>
            <m:sub>
              <m:r>
                <m:t>t</m:t>
              </m:r>
              <m:r>
                <m:rPr>
                  <m:sty m:val="p"/>
                </m:rPr>
                <m:t>−</m:t>
              </m:r>
              <m:r>
                <m:t>1</m:t>
              </m:r>
            </m:sub>
          </m:sSub>
        </m:oMath>
      </m:oMathPara>
    </w:p>
    <w:p>
      <w:pPr>
        <w:pStyle w:val="FirstParagraph"/>
        <w:spacing w:line="360" w:lineRule="auto" w:before="0" w:after="120"/>
        <w:jc w:val="both"/>
      </w:pPr>
      <w:r>
        <w:rPr>
          <w:rFonts w:ascii="Times New Roman" w:hAnsi="Times New Roman"/>
          <w:sz w:val="24"/>
        </w:rPr>
        <w:t xml:space="preserve">El coeficiente de 0,9925 confirma la alta persistencia de la volatilidad. Este modelo sirve como</w:t>
      </w:r>
      <w:r>
        <w:rPr>
          <w:rFonts w:ascii="Times New Roman" w:hAnsi="Times New Roman"/>
          <w:sz w:val="24"/>
        </w:rPr>
        <w:t xml:space="preserve"> </w:t>
      </w:r>
      <w:r>
        <w:rPr>
          <w:rFonts w:ascii="Times New Roman" w:hAnsi="Times New Roman"/>
          <w:b/>
          <w:bCs/>
          <w:sz w:val="24"/>
        </w:rPr>
        <w:t xml:space="preserve">baseline absoluto</w:t>
      </w:r>
      <w:r>
        <w:rPr>
          <w:rFonts w:ascii="Times New Roman" w:hAnsi="Times New Roman"/>
          <w:sz w:val="24"/>
        </w:rPr>
        <w:t xml:space="preserve"> </w:t>
      </w:r>
      <w:r>
        <w:rPr>
          <w:rFonts w:ascii="Times New Roman" w:hAnsi="Times New Roman"/>
          <w:sz w:val="24"/>
        </w:rPr>
        <w:t xml:space="preserve">— cualquier modelo útil debe superarlo.</w:t>
      </w:r>
    </w:p>
    <w:tbl>
      <w:tblPr>
        <w:tblStyle w:val="Table"/>
        <w:tblW w:type="auto" w:w="0"/>
        <w:tblLook w:firstRow="1" w:lastRow="0" w:firstColumn="0" w:lastColumn="0" w:noHBand="0" w:noVBand="0" w:val="0020"/>
      </w:tblPr>
      <w:tblGrid>
        <w:gridCol w:w="3960"/>
        <w:gridCol w:w="3960"/>
      </w:tblGrid>
      <w:tr>
        <w:trPr>
          <w:tblHeader w:val="on"/>
        </w:trPr>
        <w:tc>
          <w:tcPr>
            <w:shd w:fill="404040"/>
          </w:tcPr>
          <w:p>
            <w:pPr>
              <w:pStyle w:val="Compact"/>
              <w:jc w:val="center"/>
            </w:pPr>
            <w:r>
              <w:rPr>
                <w:rFonts w:ascii="Times New Roman" w:hAnsi="Times New Roman"/>
                <w:b/>
                <w:color w:val="FFFFFF"/>
                <w:sz w:val="22"/>
              </w:rPr>
              <w:t xml:space="preserve">Métrica</w:t>
            </w:r>
          </w:p>
        </w:tc>
        <w:tc>
          <w:tcPr>
            <w:shd w:fill="404040"/>
          </w:tcPr>
          <w:p>
            <w:pPr>
              <w:pStyle w:val="Compact"/>
              <w:jc w:val="center"/>
            </w:pPr>
            <w:r>
              <w:rPr>
                <w:rFonts w:ascii="Times New Roman" w:hAnsi="Times New Roman"/>
                <w:b/>
                <w:color w:val="FFFFFF"/>
                <w:sz w:val="22"/>
              </w:rPr>
              <w:t xml:space="preserve">Valor</w:t>
            </w:r>
          </w:p>
        </w:tc>
      </w:tr>
      <w:tr>
        <w:tc>
          <w:tcPr/>
          <w:p>
            <w:pPr>
              <w:pStyle w:val="Compact"/>
              <w:spacing w:line="360" w:lineRule="auto"/>
            </w:pPr>
            <w:r>
              <w:rPr>
                <w:rFonts w:ascii="Times New Roman" w:hAnsi="Times New Roman"/>
                <w:sz w:val="22"/>
              </w:rPr>
              <w:t xml:space="preserve">RMSE</w:t>
            </w:r>
          </w:p>
        </w:tc>
        <w:tc>
          <w:tcPr/>
          <w:p>
            <w:pPr>
              <w:pStyle w:val="Compact"/>
              <w:spacing w:line="360" w:lineRule="auto"/>
            </w:pPr>
            <w:r>
              <w:rPr>
                <w:rFonts w:ascii="Times New Roman" w:hAnsi="Times New Roman"/>
                <w:sz w:val="22"/>
              </w:rPr>
              <w:t xml:space="preserve">0,0083</w:t>
            </w:r>
          </w:p>
        </w:tc>
      </w:tr>
      <w:tr>
        <w:tc>
          <w:tcPr/>
          <w:p>
            <w:pPr>
              <w:pStyle w:val="Compact"/>
              <w:spacing w:line="360" w:lineRule="auto"/>
            </w:pPr>
            <w:r>
              <w:rPr>
                <w:rFonts w:ascii="Times New Roman" w:hAnsi="Times New Roman"/>
                <w:sz w:val="22"/>
              </w:rPr>
              <w:t xml:space="preserve">MAE</w:t>
            </w:r>
          </w:p>
        </w:tc>
        <w:tc>
          <w:tcPr/>
          <w:p>
            <w:pPr>
              <w:pStyle w:val="Compact"/>
              <w:spacing w:line="360" w:lineRule="auto"/>
            </w:pPr>
            <w:r>
              <w:rPr>
                <w:rFonts w:ascii="Times New Roman" w:hAnsi="Times New Roman"/>
                <w:sz w:val="22"/>
              </w:rPr>
              <w:t xml:space="preserve">0,0048</w:t>
            </w:r>
          </w:p>
        </w:tc>
      </w:tr>
      <w:tr>
        <w:tc>
          <w:tcPr/>
          <w:p>
            <w:pPr>
              <w:pStyle w:val="Compact"/>
              <w:spacing w:line="360" w:lineRule="auto"/>
            </w:pPr>
            <w:r>
              <w:rPr>
                <w:rFonts w:ascii="Times New Roman" w:hAnsi="Times New Roman"/>
                <w:sz w:val="22"/>
              </w:rPr>
              <w:t xml:space="preserve">R²</w:t>
            </w:r>
          </w:p>
        </w:tc>
        <w:tc>
          <w:tcPr/>
          <w:p>
            <w:pPr>
              <w:pStyle w:val="Compact"/>
              <w:spacing w:line="360" w:lineRule="auto"/>
            </w:pPr>
            <w:r>
              <w:rPr>
                <w:rFonts w:ascii="Times New Roman" w:hAnsi="Times New Roman"/>
                <w:sz w:val="22"/>
              </w:rPr>
              <w:t xml:space="preserve">0,9686</w:t>
            </w:r>
          </w:p>
        </w:tc>
      </w:tr>
      <w:tr>
        <w:tc>
          <w:tcPr/>
          <w:p>
            <w:pPr>
              <w:pStyle w:val="Compact"/>
              <w:spacing w:line="360" w:lineRule="auto"/>
            </w:pPr>
            <w:r>
              <w:rPr>
                <w:rFonts w:ascii="Times New Roman" w:hAnsi="Times New Roman"/>
                <w:sz w:val="22"/>
              </w:rPr>
              <w:t xml:space="preserve">QLIKE</w:t>
            </w:r>
          </w:p>
        </w:tc>
        <w:tc>
          <w:tcPr/>
          <w:p>
            <w:pPr>
              <w:pStyle w:val="Compact"/>
              <w:spacing w:line="360" w:lineRule="auto"/>
            </w:pPr>
            <w:r>
              <w:rPr>
                <w:rFonts w:ascii="Times New Roman" w:hAnsi="Times New Roman"/>
                <w:sz w:val="22"/>
              </w:rPr>
              <w:t xml:space="preserve">−1,8419</w:t>
            </w:r>
          </w:p>
        </w:tc>
      </w:tr>
    </w:tbl>
    <w:p>
      <w:pPr>
        <w:pStyle w:val="BodyText"/>
        <w:spacing w:line="360" w:lineRule="auto" w:before="0" w:after="120"/>
        <w:jc w:val="both"/>
      </w:pPr>
      <w:r>
        <w:rPr>
          <w:rFonts w:ascii="Times New Roman" w:hAnsi="Times New Roman"/>
          <w:sz w:val="24"/>
        </w:rPr>
        <w:t xml:space="preserve">Un R² de 0,9686 con un solo feature demuestra que la mayor parte de la señal proviene de la persistencia temporal.</w:t>
      </w:r>
    </w:p>
    <w:bookmarkEnd w:id="30"/>
    <w:bookmarkStart w:id="31" w:name="X2189c63e57559acb7988fe42f0886b80679f780"/>
    <w:p>
      <w:pPr>
        <w:pStyle w:val="Heading2"/>
        <w:spacing w:line="360" w:lineRule="auto" w:before="0" w:after="120"/>
        <w:jc w:val="both"/>
      </w:pPr>
      <w:r>
        <w:rPr>
          <w:rFonts w:ascii="Times New Roman" w:hAnsi="Times New Roman"/>
          <w:sz w:val="24"/>
        </w:rPr>
        <w:t xml:space="preserve">5. Modelo A — OLS con estructura HAR y variables macroeconómicas</w:t>
      </w:r>
    </w:p>
    <w:p>
      <w:pPr>
        <w:pStyle w:val="FirstParagraph"/>
        <w:spacing w:line="360" w:lineRule="auto" w:before="0" w:after="120"/>
        <w:jc w:val="both"/>
      </w:pPr>
      <w:r>
        <w:rPr>
          <w:rFonts w:ascii="Times New Roman" w:hAnsi="Times New Roman"/>
          <w:sz w:val="24"/>
        </w:rPr>
        <w:t xml:space="preserve">El OLS extiende el baseline incorporando la estructura HAR completa (3 lags) y 12 variables macroeconómicas (15 features en total). Los coeficientes estimados revelan la contribución relativa de cada variable:</w:t>
      </w:r>
    </w:p>
    <w:p>
      <w:pPr>
        <w:pStyle w:val="BodyText"/>
        <w:spacing w:line="360" w:lineRule="auto" w:before="0" w:after="120"/>
        <w:jc w:val="both"/>
      </w:pPr>
      <w:r>
        <w:rPr>
          <w:rFonts w:ascii="Times New Roman" w:hAnsi="Times New Roman"/>
          <w:b/>
          <w:bCs/>
          <w:sz w:val="24"/>
        </w:rPr>
        <w:t xml:space="preserve">Coeficientes más relevantes:</w:t>
      </w:r>
    </w:p>
    <w:p>
      <w:pPr>
        <w:pStyle w:val="Compact"/>
        <w:numPr>
          <w:ilvl w:val="0"/>
          <w:numId w:val="1005"/>
        </w:numPr>
        <w:spacing w:line="360" w:lineRule="auto" w:before="0" w:after="120"/>
        <w:jc w:val="both"/>
      </w:pPr>
      <w:r>
        <w:rPr>
          <w:rStyle w:val="VerbatimChar"/>
          <w:rFonts w:ascii="Times New Roman" w:hAnsi="Times New Roman"/>
          <w:b/>
          <w:bCs/>
          <w:sz w:val="24"/>
        </w:rPr>
        <w:t xml:space="preserve">vol_lag1</w:t>
      </w:r>
      <w:r>
        <w:rPr>
          <w:rFonts w:ascii="Times New Roman" w:hAnsi="Times New Roman"/>
          <w:sz w:val="24"/>
        </w:rPr>
        <w:t xml:space="preserve">: +1,0446 (domina el modelo)</w:t>
      </w:r>
    </w:p>
    <w:p>
      <w:pPr>
        <w:pStyle w:val="Compact"/>
        <w:numPr>
          <w:ilvl w:val="0"/>
          <w:numId w:val="1005"/>
        </w:numPr>
        <w:spacing w:line="360" w:lineRule="auto" w:before="0" w:after="120"/>
        <w:jc w:val="both"/>
      </w:pPr>
      <w:r>
        <w:rPr>
          <w:rStyle w:val="VerbatimChar"/>
          <w:rFonts w:ascii="Times New Roman" w:hAnsi="Times New Roman"/>
          <w:b/>
          <w:bCs/>
          <w:sz w:val="24"/>
        </w:rPr>
        <w:t xml:space="preserve">euribor_3m</w:t>
      </w:r>
      <w:r>
        <w:rPr>
          <w:rFonts w:ascii="Times New Roman" w:hAnsi="Times New Roman"/>
          <w:sz w:val="24"/>
        </w:rPr>
        <w:t xml:space="preserve">: +0,0070 (mayor efecto macro positivo)</w:t>
      </w:r>
    </w:p>
    <w:p>
      <w:pPr>
        <w:pStyle w:val="Compact"/>
        <w:numPr>
          <w:ilvl w:val="0"/>
          <w:numId w:val="1005"/>
        </w:numPr>
        <w:spacing w:line="360" w:lineRule="auto" w:before="0" w:after="120"/>
        <w:jc w:val="both"/>
      </w:pPr>
      <w:r>
        <w:rPr>
          <w:rStyle w:val="VerbatimChar"/>
          <w:rFonts w:ascii="Times New Roman" w:hAnsi="Times New Roman"/>
          <w:b/>
          <w:bCs/>
          <w:sz w:val="24"/>
        </w:rPr>
        <w:t xml:space="preserve">eur_usd</w:t>
      </w:r>
      <w:r>
        <w:rPr>
          <w:rFonts w:ascii="Times New Roman" w:hAnsi="Times New Roman"/>
          <w:sz w:val="24"/>
        </w:rPr>
        <w:t xml:space="preserve">: +0,0067 (apreciación del euro asociada a volatilidad)</w:t>
      </w:r>
    </w:p>
    <w:p>
      <w:pPr>
        <w:pStyle w:val="Compact"/>
        <w:numPr>
          <w:ilvl w:val="0"/>
          <w:numId w:val="1005"/>
        </w:numPr>
        <w:spacing w:line="360" w:lineRule="auto" w:before="0" w:after="120"/>
        <w:jc w:val="both"/>
      </w:pPr>
      <w:r>
        <w:rPr>
          <w:rStyle w:val="VerbatimChar"/>
          <w:rFonts w:ascii="Times New Roman" w:hAnsi="Times New Roman"/>
          <w:b/>
          <w:bCs/>
          <w:sz w:val="24"/>
        </w:rPr>
        <w:t xml:space="preserve">tipo_dfr</w:t>
      </w:r>
      <w:r>
        <w:rPr>
          <w:rFonts w:ascii="Times New Roman" w:hAnsi="Times New Roman"/>
          <w:sz w:val="24"/>
        </w:rPr>
        <w:t xml:space="preserve">: −0,0060 (tipos altos reducen volatilidad)</w:t>
      </w:r>
    </w:p>
    <w:p>
      <w:pPr>
        <w:pStyle w:val="Compact"/>
        <w:numPr>
          <w:ilvl w:val="0"/>
          <w:numId w:val="1005"/>
        </w:numPr>
        <w:spacing w:line="360" w:lineRule="auto" w:before="0" w:after="120"/>
        <w:jc w:val="both"/>
      </w:pPr>
      <w:r>
        <w:rPr>
          <w:rStyle w:val="VerbatimChar"/>
          <w:rFonts w:ascii="Times New Roman" w:hAnsi="Times New Roman"/>
          <w:b/>
          <w:bCs/>
          <w:sz w:val="24"/>
        </w:rPr>
        <w:t xml:space="preserve">bono_de_10y</w:t>
      </w:r>
      <w:r>
        <w:rPr>
          <w:rFonts w:ascii="Times New Roman" w:hAnsi="Times New Roman"/>
          <w:sz w:val="24"/>
        </w:rPr>
        <w:t xml:space="preserve">: −0,0048 (flight to quality)</w:t>
      </w:r>
    </w:p>
    <w:tbl>
      <w:tblPr>
        <w:tblStyle w:val="Table"/>
        <w:tblW w:type="auto" w:w="0"/>
        <w:tblLook w:firstRow="1" w:lastRow="0" w:firstColumn="0" w:lastColumn="0" w:noHBand="0" w:noVBand="0" w:val="0020"/>
      </w:tblPr>
      <w:tblGrid>
        <w:gridCol w:w="3960"/>
        <w:gridCol w:w="3960"/>
      </w:tblGrid>
      <w:tr>
        <w:trPr>
          <w:tblHeader w:val="on"/>
        </w:trPr>
        <w:tc>
          <w:tcPr>
            <w:shd w:fill="404040"/>
          </w:tcPr>
          <w:p>
            <w:pPr>
              <w:pStyle w:val="Compact"/>
              <w:jc w:val="center"/>
            </w:pPr>
            <w:r>
              <w:rPr>
                <w:rFonts w:ascii="Times New Roman" w:hAnsi="Times New Roman"/>
                <w:b/>
                <w:color w:val="FFFFFF"/>
                <w:sz w:val="22"/>
              </w:rPr>
              <w:t xml:space="preserve">Métrica</w:t>
            </w:r>
          </w:p>
        </w:tc>
        <w:tc>
          <w:tcPr>
            <w:shd w:fill="404040"/>
          </w:tcPr>
          <w:p>
            <w:pPr>
              <w:pStyle w:val="Compact"/>
              <w:jc w:val="center"/>
            </w:pPr>
            <w:r>
              <w:rPr>
                <w:rFonts w:ascii="Times New Roman" w:hAnsi="Times New Roman"/>
                <w:b/>
                <w:color w:val="FFFFFF"/>
                <w:sz w:val="22"/>
              </w:rPr>
              <w:t xml:space="preserve">Valor</w:t>
            </w:r>
          </w:p>
        </w:tc>
      </w:tr>
      <w:tr>
        <w:tc>
          <w:tcPr/>
          <w:p>
            <w:pPr>
              <w:pStyle w:val="Compact"/>
              <w:spacing w:line="360" w:lineRule="auto"/>
            </w:pPr>
            <w:r>
              <w:rPr>
                <w:rFonts w:ascii="Times New Roman" w:hAnsi="Times New Roman"/>
                <w:sz w:val="22"/>
              </w:rPr>
              <w:t xml:space="preserve">RMSE</w:t>
            </w:r>
          </w:p>
        </w:tc>
        <w:tc>
          <w:tcPr/>
          <w:p>
            <w:pPr>
              <w:pStyle w:val="Compact"/>
              <w:spacing w:line="360" w:lineRule="auto"/>
            </w:pPr>
            <w:r>
              <w:rPr>
                <w:rFonts w:ascii="Times New Roman" w:hAnsi="Times New Roman"/>
                <w:sz w:val="22"/>
              </w:rPr>
              <w:t xml:space="preserve">0,0084</w:t>
            </w:r>
          </w:p>
        </w:tc>
      </w:tr>
      <w:tr>
        <w:tc>
          <w:tcPr/>
          <w:p>
            <w:pPr>
              <w:pStyle w:val="Compact"/>
              <w:spacing w:line="360" w:lineRule="auto"/>
            </w:pPr>
            <w:r>
              <w:rPr>
                <w:rFonts w:ascii="Times New Roman" w:hAnsi="Times New Roman"/>
                <w:sz w:val="22"/>
              </w:rPr>
              <w:t xml:space="preserve">MAE</w:t>
            </w:r>
          </w:p>
        </w:tc>
        <w:tc>
          <w:tcPr/>
          <w:p>
            <w:pPr>
              <w:pStyle w:val="Compact"/>
              <w:spacing w:line="360" w:lineRule="auto"/>
            </w:pPr>
            <w:r>
              <w:rPr>
                <w:rFonts w:ascii="Times New Roman" w:hAnsi="Times New Roman"/>
                <w:sz w:val="22"/>
              </w:rPr>
              <w:t xml:space="preserve">0,0061</w:t>
            </w:r>
          </w:p>
        </w:tc>
      </w:tr>
      <w:tr>
        <w:tc>
          <w:tcPr/>
          <w:p>
            <w:pPr>
              <w:pStyle w:val="Compact"/>
              <w:spacing w:line="360" w:lineRule="auto"/>
            </w:pPr>
            <w:r>
              <w:rPr>
                <w:rFonts w:ascii="Times New Roman" w:hAnsi="Times New Roman"/>
                <w:sz w:val="22"/>
              </w:rPr>
              <w:t xml:space="preserve">R²</w:t>
            </w:r>
          </w:p>
        </w:tc>
        <w:tc>
          <w:tcPr/>
          <w:p>
            <w:pPr>
              <w:pStyle w:val="Compact"/>
              <w:spacing w:line="360" w:lineRule="auto"/>
            </w:pPr>
            <w:r>
              <w:rPr>
                <w:rFonts w:ascii="Times New Roman" w:hAnsi="Times New Roman"/>
                <w:sz w:val="22"/>
              </w:rPr>
              <w:t xml:space="preserve">0,9677</w:t>
            </w:r>
          </w:p>
        </w:tc>
      </w:tr>
      <w:tr>
        <w:tc>
          <w:tcPr/>
          <w:p>
            <w:pPr>
              <w:pStyle w:val="Compact"/>
              <w:spacing w:line="360" w:lineRule="auto"/>
            </w:pPr>
            <w:r>
              <w:rPr>
                <w:rFonts w:ascii="Times New Roman" w:hAnsi="Times New Roman"/>
                <w:sz w:val="22"/>
              </w:rPr>
              <w:t xml:space="preserve">QLIKE</w:t>
            </w:r>
          </w:p>
        </w:tc>
        <w:tc>
          <w:tcPr/>
          <w:p>
            <w:pPr>
              <w:pStyle w:val="Compact"/>
              <w:spacing w:line="360" w:lineRule="auto"/>
            </w:pPr>
            <w:r>
              <w:rPr>
                <w:rFonts w:ascii="Times New Roman" w:hAnsi="Times New Roman"/>
                <w:sz w:val="22"/>
              </w:rPr>
              <w:t xml:space="preserve">−1,8416</w:t>
            </w:r>
          </w:p>
        </w:tc>
      </w:tr>
    </w:tbl>
    <w:p>
      <w:pPr>
        <w:pStyle w:val="BodyText"/>
        <w:spacing w:line="360" w:lineRule="auto" w:before="0" w:after="120"/>
        <w:jc w:val="both"/>
      </w:pPr>
      <w:r>
        <w:rPr>
          <w:rFonts w:ascii="Times New Roman" w:hAnsi="Times New Roman"/>
          <w:sz w:val="24"/>
        </w:rPr>
        <w:t xml:space="preserve">El R² (0,9677) es ligeramente inferior al del modelo Simple (0,9686), sugiriendo que las variables macro, en un contexto lineal,</w:t>
      </w:r>
      <w:r>
        <w:rPr>
          <w:rFonts w:ascii="Times New Roman" w:hAnsi="Times New Roman"/>
          <w:sz w:val="24"/>
        </w:rPr>
        <w:t xml:space="preserve"> </w:t>
      </w:r>
      <w:r>
        <w:rPr>
          <w:rFonts w:ascii="Times New Roman" w:hAnsi="Times New Roman"/>
          <w:b/>
          <w:bCs/>
          <w:sz w:val="24"/>
        </w:rPr>
        <w:t xml:space="preserve">introducen ruido</w:t>
      </w:r>
      <w:r>
        <w:rPr>
          <w:rFonts w:ascii="Times New Roman" w:hAnsi="Times New Roman"/>
          <w:sz w:val="24"/>
        </w:rPr>
        <w:t xml:space="preserve"> </w:t>
      </w:r>
      <w:r>
        <w:rPr>
          <w:rFonts w:ascii="Times New Roman" w:hAnsi="Times New Roman"/>
          <w:sz w:val="24"/>
        </w:rPr>
        <w:t xml:space="preserve">más que señal.</w:t>
      </w:r>
    </w:p>
    <w:bookmarkEnd w:id="31"/>
    <w:bookmarkStart w:id="32" w:name="modelo-b-garch11"/>
    <w:p>
      <w:pPr>
        <w:pStyle w:val="Heading2"/>
        <w:spacing w:line="360" w:lineRule="auto" w:before="0" w:after="120"/>
        <w:jc w:val="both"/>
      </w:pPr>
      <w:r>
        <w:rPr>
          <w:rFonts w:ascii="Times New Roman" w:hAnsi="Times New Roman"/>
          <w:sz w:val="24"/>
        </w:rPr>
        <w:t xml:space="preserve">6. Modelo B — GARCH(1,1)</w:t>
      </w:r>
    </w:p>
    <w:p>
      <w:pPr>
        <w:pStyle w:val="FirstParagraph"/>
        <w:spacing w:line="360" w:lineRule="auto" w:before="0" w:after="120"/>
        <w:jc w:val="both"/>
      </w:pPr>
      <w:r>
        <w:rPr>
          <w:rFonts w:ascii="Times New Roman" w:hAnsi="Times New Roman"/>
          <w:sz w:val="24"/>
        </w:rPr>
        <w:t xml:space="preserve">El GARCH(1,1) se estima sobre los log-retornos medios del IBEX 35 con distribución</w:t>
      </w:r>
      <w:r>
        <w:rPr>
          <w:rFonts w:ascii="Times New Roman" w:hAnsi="Times New Roman"/>
          <w:sz w:val="24"/>
        </w:rPr>
        <w:t xml:space="preserve"> </w:t>
      </w:r>
      <m:oMath>
        <m:r>
          <m:t>t</m:t>
        </m:r>
      </m:oMath>
      <w:r>
        <w:rPr>
          <w:rFonts w:ascii="Times New Roman" w:hAnsi="Times New Roman"/>
          <w:sz w:val="24"/>
        </w:rPr>
        <w:t xml:space="preserve">-Student. Los parámetros estimados son:</w:t>
      </w:r>
    </w:p>
    <w:tbl>
      <w:tblPr>
        <w:tblStyle w:val="Table"/>
        <w:tblW w:type="auto" w:w="0"/>
        <w:tblLook w:firstRow="1" w:lastRow="0" w:firstColumn="0" w:lastColumn="0" w:noHBand="0" w:noVBand="0" w:val="0020"/>
      </w:tblPr>
      <w:tblGrid>
        <w:gridCol w:w="2640"/>
        <w:gridCol w:w="2640"/>
        <w:gridCol w:w="2640"/>
      </w:tblGrid>
      <w:tr>
        <w:trPr>
          <w:tblHeader w:val="on"/>
        </w:trPr>
        <w:tc>
          <w:tcPr>
            <w:shd w:fill="404040"/>
          </w:tcPr>
          <w:p>
            <w:pPr>
              <w:pStyle w:val="Compact"/>
              <w:jc w:val="center"/>
            </w:pPr>
            <w:r>
              <w:rPr>
                <w:rFonts w:ascii="Times New Roman" w:hAnsi="Times New Roman"/>
                <w:b/>
                <w:color w:val="FFFFFF"/>
                <w:sz w:val="22"/>
              </w:rPr>
              <w:t xml:space="preserve">Parámetro</w:t>
            </w:r>
          </w:p>
        </w:tc>
        <w:tc>
          <w:tcPr>
            <w:shd w:fill="404040"/>
          </w:tcPr>
          <w:p>
            <w:pPr>
              <w:pStyle w:val="Compact"/>
              <w:jc w:val="center"/>
            </w:pPr>
            <w:r>
              <w:rPr>
                <w:rFonts w:ascii="Times New Roman" w:hAnsi="Times New Roman"/>
                <w:b/>
                <w:color w:val="FFFFFF"/>
                <w:sz w:val="22"/>
              </w:rPr>
              <w:t xml:space="preserve">Valor</w:t>
            </w:r>
          </w:p>
        </w:tc>
        <w:tc>
          <w:tcPr>
            <w:shd w:fill="404040"/>
          </w:tcPr>
          <w:p>
            <w:pPr>
              <w:pStyle w:val="Compact"/>
              <w:jc w:val="center"/>
            </w:pPr>
            <w:r>
              <w:rPr>
                <w:rFonts w:ascii="Times New Roman" w:hAnsi="Times New Roman"/>
                <w:b/>
                <w:color w:val="FFFFFF"/>
                <w:sz w:val="22"/>
              </w:rPr>
              <w:t xml:space="preserve">Interpretación</w:t>
            </w:r>
          </w:p>
        </w:tc>
      </w:tr>
      <w:tr>
        <w:tc>
          <w:tcPr/>
          <w:p>
            <w:pPr>
              <w:pStyle w:val="Compact"/>
              <w:spacing w:line="360" w:lineRule="auto"/>
            </w:pPr>
            <m:oMath>
              <m:r>
                <m:t>ω</m:t>
              </m:r>
            </m:oMath>
          </w:p>
        </w:tc>
        <w:tc>
          <w:tcPr/>
          <w:p>
            <w:pPr>
              <w:pStyle w:val="Compact"/>
              <w:spacing w:line="360" w:lineRule="auto"/>
            </w:pPr>
            <w:r>
              <w:rPr>
                <w:rFonts w:ascii="Times New Roman" w:hAnsi="Times New Roman"/>
                <w:sz w:val="22"/>
              </w:rPr>
              <w:t xml:space="preserve">0,0402</w:t>
            </w:r>
          </w:p>
        </w:tc>
        <w:tc>
          <w:tcPr/>
          <w:p>
            <w:pPr>
              <w:pStyle w:val="Compact"/>
              <w:spacing w:line="360" w:lineRule="auto"/>
            </w:pPr>
            <w:r>
              <w:rPr>
                <w:rFonts w:ascii="Times New Roman" w:hAnsi="Times New Roman"/>
                <w:sz w:val="22"/>
              </w:rPr>
              <w:t xml:space="preserve">Varianza de largo plazo base</w:t>
            </w:r>
          </w:p>
        </w:tc>
      </w:tr>
      <w:tr>
        <w:tc>
          <w:tcPr/>
          <w:p>
            <w:pPr>
              <w:pStyle w:val="Compact"/>
              <w:spacing w:line="360" w:lineRule="auto"/>
            </w:pPr>
            <m:oMath>
              <m:r>
                <m:t>α</m:t>
              </m:r>
            </m:oMath>
            <w:r>
              <w:rPr>
                <w:rFonts w:ascii="Times New Roman" w:hAnsi="Times New Roman"/>
                <w:sz w:val="22"/>
              </w:rPr>
              <w:t xml:space="preserve"> </w:t>
            </w:r>
            <w:r>
              <w:rPr>
                <w:rFonts w:ascii="Times New Roman" w:hAnsi="Times New Roman"/>
                <w:sz w:val="22"/>
              </w:rPr>
              <w:t xml:space="preserve">(ARCH)</w:t>
            </w:r>
          </w:p>
        </w:tc>
        <w:tc>
          <w:tcPr/>
          <w:p>
            <w:pPr>
              <w:pStyle w:val="Compact"/>
              <w:spacing w:line="360" w:lineRule="auto"/>
            </w:pPr>
            <w:r>
              <w:rPr>
                <w:rFonts w:ascii="Times New Roman" w:hAnsi="Times New Roman"/>
                <w:sz w:val="22"/>
              </w:rPr>
              <w:t xml:space="preserve">0,1001</w:t>
            </w:r>
          </w:p>
        </w:tc>
        <w:tc>
          <w:tcPr/>
          <w:p>
            <w:pPr>
              <w:pStyle w:val="Compact"/>
              <w:spacing w:line="360" w:lineRule="auto"/>
            </w:pPr>
            <w:r>
              <w:rPr>
                <w:rFonts w:ascii="Times New Roman" w:hAnsi="Times New Roman"/>
                <w:sz w:val="22"/>
              </w:rPr>
              <w:t xml:space="preserve">Sensibilidad a shocks — reacción moderada</w:t>
            </w:r>
          </w:p>
        </w:tc>
      </w:tr>
      <w:tr>
        <w:tc>
          <w:tcPr/>
          <w:p>
            <w:pPr>
              <w:pStyle w:val="Compact"/>
              <w:spacing w:line="360" w:lineRule="auto"/>
            </w:pPr>
            <m:oMath>
              <m:r>
                <m:t>β</m:t>
              </m:r>
            </m:oMath>
            <w:r>
              <w:rPr>
                <w:rFonts w:ascii="Times New Roman" w:hAnsi="Times New Roman"/>
                <w:sz w:val="22"/>
              </w:rPr>
              <w:t xml:space="preserve"> </w:t>
            </w:r>
            <w:r>
              <w:rPr>
                <w:rFonts w:ascii="Times New Roman" w:hAnsi="Times New Roman"/>
                <w:sz w:val="22"/>
              </w:rPr>
              <w:t xml:space="preserve">(GARCH)</w:t>
            </w:r>
          </w:p>
        </w:tc>
        <w:tc>
          <w:tcPr/>
          <w:p>
            <w:pPr>
              <w:pStyle w:val="Compact"/>
              <w:spacing w:line="360" w:lineRule="auto"/>
            </w:pPr>
            <w:r>
              <w:rPr>
                <w:rFonts w:ascii="Times New Roman" w:hAnsi="Times New Roman"/>
                <w:sz w:val="22"/>
              </w:rPr>
              <w:t xml:space="preserve">0,8722</w:t>
            </w:r>
          </w:p>
        </w:tc>
        <w:tc>
          <w:tcPr/>
          <w:p>
            <w:pPr>
              <w:pStyle w:val="Compact"/>
              <w:spacing w:line="360" w:lineRule="auto"/>
            </w:pPr>
            <w:r>
              <w:rPr>
                <w:rFonts w:ascii="Times New Roman" w:hAnsi="Times New Roman"/>
                <w:sz w:val="22"/>
              </w:rPr>
              <w:t xml:space="preserve">Persistencia alta</w:t>
            </w:r>
          </w:p>
        </w:tc>
      </w:tr>
      <w:tr>
        <w:tc>
          <w:tcPr/>
          <w:p>
            <w:pPr>
              <w:pStyle w:val="Compact"/>
              <w:spacing w:line="360" w:lineRule="auto"/>
            </w:pPr>
            <m:oMath>
              <m:r>
                <m:t>α</m:t>
              </m:r>
              <m:r>
                <m:rPr>
                  <m:sty m:val="p"/>
                </m:rPr>
                <m:t>+</m:t>
              </m:r>
              <m:r>
                <m:t>β</m:t>
              </m:r>
            </m:oMath>
          </w:p>
        </w:tc>
        <w:tc>
          <w:tcPr/>
          <w:p>
            <w:pPr>
              <w:pStyle w:val="Compact"/>
              <w:spacing w:line="360" w:lineRule="auto"/>
            </w:pPr>
            <w:r>
              <w:rPr>
                <w:rFonts w:ascii="Times New Roman" w:hAnsi="Times New Roman"/>
                <w:sz w:val="22"/>
              </w:rPr>
              <w:t xml:space="preserve">0,9722</w:t>
            </w:r>
          </w:p>
        </w:tc>
        <w:tc>
          <w:tcPr/>
          <w:p>
            <w:pPr>
              <w:pStyle w:val="Compact"/>
              <w:spacing w:line="360" w:lineRule="auto"/>
            </w:pPr>
            <w:r>
              <w:rPr>
                <w:rFonts w:ascii="Times New Roman" w:hAnsi="Times New Roman"/>
                <w:sz w:val="22"/>
              </w:rPr>
              <w:t xml:space="preserve">Persistencia total — cercana a la unidad</w:t>
            </w:r>
          </w:p>
        </w:tc>
      </w:tr>
      <w:tr>
        <w:tc>
          <w:tcPr/>
          <w:p>
            <w:pPr>
              <w:pStyle w:val="Compact"/>
              <w:spacing w:line="360" w:lineRule="auto"/>
            </w:pPr>
            <m:oMath>
              <m:r>
                <m:t>ν</m:t>
              </m:r>
            </m:oMath>
            <w:r>
              <w:rPr>
                <w:rFonts w:ascii="Times New Roman" w:hAnsi="Times New Roman"/>
                <w:sz w:val="22"/>
              </w:rPr>
              <w:t xml:space="preserve"> </w:t>
            </w:r>
            <w:r>
              <w:rPr>
                <w:rFonts w:ascii="Times New Roman" w:hAnsi="Times New Roman"/>
                <w:sz w:val="22"/>
              </w:rPr>
              <w:t xml:space="preserve">(t-Student)</w:t>
            </w:r>
          </w:p>
        </w:tc>
        <w:tc>
          <w:tcPr/>
          <w:p>
            <w:pPr>
              <w:pStyle w:val="Compact"/>
              <w:spacing w:line="360" w:lineRule="auto"/>
            </w:pPr>
            <w:r>
              <w:rPr>
                <w:rFonts w:ascii="Times New Roman" w:hAnsi="Times New Roman"/>
                <w:sz w:val="22"/>
              </w:rPr>
              <w:t xml:space="preserve">6,35</w:t>
            </w:r>
          </w:p>
        </w:tc>
        <w:tc>
          <w:tcPr/>
          <w:p>
            <w:pPr>
              <w:pStyle w:val="Compact"/>
              <w:spacing w:line="360" w:lineRule="auto"/>
            </w:pPr>
            <w:r>
              <w:rPr>
                <w:rFonts w:ascii="Times New Roman" w:hAnsi="Times New Roman"/>
                <w:sz w:val="22"/>
              </w:rPr>
              <w:t xml:space="preserve">Colas pesadas</w:t>
            </w:r>
          </w:p>
        </w:tc>
      </w:tr>
    </w:tbl>
    <w:p>
      <w:pPr>
        <w:spacing w:line="360" w:lineRule="auto" w:before="0" w:after="120"/>
        <w:jc w:val="both"/>
      </w:pPr>
    </w:p>
    <w:tbl>
      <w:tblPr>
        <w:tblStyle w:val="Table"/>
        <w:tblW w:type="auto" w:w="0"/>
        <w:tblLook w:firstRow="1" w:lastRow="0" w:firstColumn="0" w:lastColumn="0" w:noHBand="0" w:noVBand="0" w:val="0020"/>
      </w:tblPr>
      <w:tblGrid>
        <w:gridCol w:w="3960"/>
        <w:gridCol w:w="3960"/>
      </w:tblGrid>
      <w:tr>
        <w:trPr>
          <w:tblHeader w:val="on"/>
        </w:trPr>
        <w:tc>
          <w:tcPr>
            <w:shd w:fill="404040"/>
          </w:tcPr>
          <w:p>
            <w:pPr>
              <w:pStyle w:val="Compact"/>
              <w:jc w:val="center"/>
            </w:pPr>
            <w:r>
              <w:rPr>
                <w:rFonts w:ascii="Times New Roman" w:hAnsi="Times New Roman"/>
                <w:b/>
                <w:color w:val="FFFFFF"/>
                <w:sz w:val="22"/>
              </w:rPr>
              <w:t xml:space="preserve">Métrica</w:t>
            </w:r>
          </w:p>
        </w:tc>
        <w:tc>
          <w:tcPr>
            <w:shd w:fill="404040"/>
          </w:tcPr>
          <w:p>
            <w:pPr>
              <w:pStyle w:val="Compact"/>
              <w:jc w:val="center"/>
            </w:pPr>
            <w:r>
              <w:rPr>
                <w:rFonts w:ascii="Times New Roman" w:hAnsi="Times New Roman"/>
                <w:b/>
                <w:color w:val="FFFFFF"/>
                <w:sz w:val="22"/>
              </w:rPr>
              <w:t xml:space="preserve">Valor</w:t>
            </w:r>
          </w:p>
        </w:tc>
      </w:tr>
      <w:tr>
        <w:tc>
          <w:tcPr/>
          <w:p>
            <w:pPr>
              <w:pStyle w:val="Compact"/>
              <w:spacing w:line="360" w:lineRule="auto"/>
            </w:pPr>
            <w:r>
              <w:rPr>
                <w:rFonts w:ascii="Times New Roman" w:hAnsi="Times New Roman"/>
                <w:sz w:val="22"/>
              </w:rPr>
              <w:t xml:space="preserve">RMSE</w:t>
            </w:r>
          </w:p>
        </w:tc>
        <w:tc>
          <w:tcPr/>
          <w:p>
            <w:pPr>
              <w:pStyle w:val="Compact"/>
              <w:spacing w:line="360" w:lineRule="auto"/>
            </w:pPr>
            <w:r>
              <w:rPr>
                <w:rFonts w:ascii="Times New Roman" w:hAnsi="Times New Roman"/>
                <w:sz w:val="22"/>
              </w:rPr>
              <w:t xml:space="preserve">0,1029</w:t>
            </w:r>
          </w:p>
        </w:tc>
      </w:tr>
      <w:tr>
        <w:tc>
          <w:tcPr/>
          <w:p>
            <w:pPr>
              <w:pStyle w:val="Compact"/>
              <w:spacing w:line="360" w:lineRule="auto"/>
            </w:pPr>
            <w:r>
              <w:rPr>
                <w:rFonts w:ascii="Times New Roman" w:hAnsi="Times New Roman"/>
                <w:sz w:val="22"/>
              </w:rPr>
              <w:t xml:space="preserve">MAE</w:t>
            </w:r>
          </w:p>
        </w:tc>
        <w:tc>
          <w:tcPr/>
          <w:p>
            <w:pPr>
              <w:pStyle w:val="Compact"/>
              <w:spacing w:line="360" w:lineRule="auto"/>
            </w:pPr>
            <w:r>
              <w:rPr>
                <w:rFonts w:ascii="Times New Roman" w:hAnsi="Times New Roman"/>
                <w:sz w:val="22"/>
              </w:rPr>
              <w:t xml:space="preserve">0,0986</w:t>
            </w:r>
          </w:p>
        </w:tc>
      </w:tr>
      <w:tr>
        <w:tc>
          <w:tcPr/>
          <w:p>
            <w:pPr>
              <w:pStyle w:val="Compact"/>
              <w:spacing w:line="360" w:lineRule="auto"/>
            </w:pPr>
            <w:r>
              <w:rPr>
                <w:rFonts w:ascii="Times New Roman" w:hAnsi="Times New Roman"/>
                <w:sz w:val="22"/>
              </w:rPr>
              <w:t xml:space="preserve">R²</w:t>
            </w:r>
          </w:p>
        </w:tc>
        <w:tc>
          <w:tcPr/>
          <w:p>
            <w:pPr>
              <w:pStyle w:val="Compact"/>
              <w:spacing w:line="360" w:lineRule="auto"/>
            </w:pPr>
            <w:r>
              <w:rPr>
                <w:rFonts w:ascii="Times New Roman" w:hAnsi="Times New Roman"/>
                <w:sz w:val="22"/>
              </w:rPr>
              <w:t xml:space="preserve">−3,8375</w:t>
            </w:r>
          </w:p>
        </w:tc>
      </w:tr>
      <w:tr>
        <w:tc>
          <w:tcPr/>
          <w:p>
            <w:pPr>
              <w:pStyle w:val="Compact"/>
              <w:spacing w:line="360" w:lineRule="auto"/>
            </w:pPr>
            <w:r>
              <w:rPr>
                <w:rFonts w:ascii="Times New Roman" w:hAnsi="Times New Roman"/>
                <w:sz w:val="22"/>
              </w:rPr>
              <w:t xml:space="preserve">QLIKE</w:t>
            </w:r>
          </w:p>
        </w:tc>
        <w:tc>
          <w:tcPr/>
          <w:p>
            <w:pPr>
              <w:pStyle w:val="Compact"/>
              <w:spacing w:line="360" w:lineRule="auto"/>
            </w:pPr>
            <w:r>
              <w:rPr>
                <w:rFonts w:ascii="Times New Roman" w:hAnsi="Times New Roman"/>
                <w:sz w:val="22"/>
              </w:rPr>
              <w:t xml:space="preserve">−0,9319</w:t>
            </w:r>
          </w:p>
        </w:tc>
      </w:tr>
    </w:tbl>
    <w:p>
      <w:pPr>
        <w:pStyle w:val="BodyText"/>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R² negativo</w:t>
      </w:r>
      <w:r>
        <w:rPr>
          <w:rFonts w:ascii="Times New Roman" w:hAnsi="Times New Roman"/>
          <w:sz w:val="24"/>
        </w:rPr>
        <w:t xml:space="preserve"> </w:t>
      </w:r>
      <w:r>
        <w:rPr>
          <w:rFonts w:ascii="Times New Roman" w:hAnsi="Times New Roman"/>
          <w:sz w:val="24"/>
        </w:rPr>
        <w:t xml:space="preserve">refleja que el GARCH modela la volatilidad condicional</w:t>
      </w:r>
      <w:r>
        <w:rPr>
          <w:rFonts w:ascii="Times New Roman" w:hAnsi="Times New Roman"/>
          <w:sz w:val="24"/>
        </w:rPr>
        <w:t xml:space="preserve"> </w:t>
      </w:r>
      <w:r>
        <w:rPr>
          <w:rFonts w:ascii="Times New Roman" w:hAnsi="Times New Roman"/>
          <w:b/>
          <w:bCs/>
          <w:sz w:val="24"/>
        </w:rPr>
        <w:t xml:space="preserve">diaria</w:t>
      </w:r>
      <w:r>
        <w:rPr>
          <w:rFonts w:ascii="Times New Roman" w:hAnsi="Times New Roman"/>
          <w:sz w:val="24"/>
        </w:rPr>
        <w:t xml:space="preserve"> </w:t>
      </w:r>
      <w:r>
        <w:rPr>
          <w:rFonts w:ascii="Times New Roman" w:hAnsi="Times New Roman"/>
          <w:sz w:val="24"/>
        </w:rPr>
        <w:t xml:space="preserve">(muy reactiva), mientras que el target</w:t>
      </w:r>
      <w:r>
        <w:rPr>
          <w:rFonts w:ascii="Times New Roman" w:hAnsi="Times New Roman"/>
          <w:sz w:val="24"/>
        </w:rPr>
        <w:t xml:space="preserve"> </w:t>
      </w:r>
      <m:oMath>
        <m:sSubSup>
          <m:e>
            <m:r>
              <m:t>V</m:t>
            </m:r>
          </m:e>
          <m:sub>
            <m:r>
              <m:t>t</m:t>
            </m:r>
          </m:sub>
          <m:sup>
            <m:r>
              <m:rPr>
                <m:sty m:val="p"/>
              </m:rPr>
              <m:t>(</m:t>
            </m:r>
            <m:r>
              <m:t>21</m:t>
            </m:r>
            <m:r>
              <m:rPr>
                <m:sty m:val="p"/>
              </m:rPr>
              <m:t>)</m:t>
            </m:r>
          </m:sup>
        </m:sSubSup>
      </m:oMath>
      <w:r>
        <w:rPr>
          <w:rFonts w:ascii="Times New Roman" w:hAnsi="Times New Roman"/>
          <w:sz w:val="24"/>
        </w:rPr>
        <w:t xml:space="preserve"> </w:t>
      </w:r>
      <w:r>
        <w:rPr>
          <w:rFonts w:ascii="Times New Roman" w:hAnsi="Times New Roman"/>
          <w:sz w:val="24"/>
        </w:rPr>
        <w:t xml:space="preserve">promedia 21 días (muy suave). Esto no es un error sino una consecuencia de frecuencias distintas.</w:t>
      </w:r>
    </w:p>
    <w:bookmarkEnd w:id="32"/>
    <w:bookmarkStart w:id="33" w:name="modelo-c-xgboost-gradient-boosting"/>
    <w:p>
      <w:pPr>
        <w:pStyle w:val="Heading2"/>
        <w:spacing w:line="360" w:lineRule="auto" w:before="0" w:after="120"/>
        <w:jc w:val="both"/>
      </w:pPr>
      <w:r>
        <w:rPr>
          <w:rFonts w:ascii="Times New Roman" w:hAnsi="Times New Roman"/>
          <w:sz w:val="24"/>
        </w:rPr>
        <w:t xml:space="preserve">7. Modelo C — XGBoost Gradient Boosting</w:t>
      </w:r>
    </w:p>
    <w:p>
      <w:pPr>
        <w:pStyle w:val="FirstParagraph"/>
        <w:spacing w:line="360" w:lineRule="auto" w:before="0" w:after="120"/>
        <w:jc w:val="both"/>
      </w:pPr>
      <w:r>
        <w:rPr>
          <w:rFonts w:ascii="Times New Roman" w:hAnsi="Times New Roman"/>
          <w:sz w:val="24"/>
        </w:rPr>
        <w:t xml:space="preserve">XGBoost se optimiza mediante validación cruzada temporal (TimeSeriesSplit con 5 folds), seleccionándose</w:t>
      </w:r>
      <w:r>
        <w:rPr>
          <w:rFonts w:ascii="Times New Roman" w:hAnsi="Times New Roman"/>
          <w:sz w:val="24"/>
        </w:rPr>
        <w:t xml:space="preserve"> </w:t>
      </w:r>
      <w:r>
        <w:rPr>
          <w:rStyle w:val="VerbatimChar"/>
          <w:rFonts w:ascii="Times New Roman" w:hAnsi="Times New Roman"/>
          <w:sz w:val="24"/>
        </w:rPr>
        <w:t xml:space="preserve">n_estimators=100</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learning_rate=0,05</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max_depth=4</w:t>
      </w:r>
      <w:r>
        <w:rPr>
          <w:rFonts w:ascii="Times New Roman" w:hAnsi="Times New Roman"/>
          <w:sz w:val="24"/>
        </w:rPr>
        <w:t xml:space="preserve">.</w:t>
      </w:r>
    </w:p>
    <w:tbl>
      <w:tblPr>
        <w:tblStyle w:val="Table"/>
        <w:tblW w:type="auto" w:w="0"/>
        <w:tblLook w:firstRow="1" w:lastRow="0" w:firstColumn="0" w:lastColumn="0" w:noHBand="0" w:noVBand="0" w:val="0020"/>
      </w:tblPr>
      <w:tblGrid>
        <w:gridCol w:w="3960"/>
        <w:gridCol w:w="3960"/>
      </w:tblGrid>
      <w:tr>
        <w:trPr>
          <w:tblHeader w:val="on"/>
        </w:trPr>
        <w:tc>
          <w:tcPr>
            <w:shd w:fill="404040"/>
          </w:tcPr>
          <w:p>
            <w:pPr>
              <w:pStyle w:val="Compact"/>
              <w:jc w:val="center"/>
            </w:pPr>
            <w:r>
              <w:rPr>
                <w:rFonts w:ascii="Times New Roman" w:hAnsi="Times New Roman"/>
                <w:b/>
                <w:color w:val="FFFFFF"/>
                <w:sz w:val="22"/>
              </w:rPr>
              <w:t xml:space="preserve">Métrica</w:t>
            </w:r>
          </w:p>
        </w:tc>
        <w:tc>
          <w:tcPr>
            <w:shd w:fill="404040"/>
          </w:tcPr>
          <w:p>
            <w:pPr>
              <w:pStyle w:val="Compact"/>
              <w:jc w:val="center"/>
            </w:pPr>
            <w:r>
              <w:rPr>
                <w:rFonts w:ascii="Times New Roman" w:hAnsi="Times New Roman"/>
                <w:b/>
                <w:color w:val="FFFFFF"/>
                <w:sz w:val="22"/>
              </w:rPr>
              <w:t xml:space="preserve">Valor</w:t>
            </w:r>
          </w:p>
        </w:tc>
      </w:tr>
      <w:tr>
        <w:tc>
          <w:tcPr/>
          <w:p>
            <w:pPr>
              <w:pStyle w:val="Compact"/>
              <w:spacing w:line="360" w:lineRule="auto"/>
            </w:pPr>
            <w:r>
              <w:rPr>
                <w:rFonts w:ascii="Times New Roman" w:hAnsi="Times New Roman"/>
                <w:sz w:val="22"/>
              </w:rPr>
              <w:t xml:space="preserve">RMSE</w:t>
            </w:r>
          </w:p>
        </w:tc>
        <w:tc>
          <w:tcPr/>
          <w:p>
            <w:pPr>
              <w:pStyle w:val="Compact"/>
              <w:spacing w:line="360" w:lineRule="auto"/>
            </w:pPr>
            <w:r>
              <w:rPr>
                <w:rFonts w:ascii="Times New Roman" w:hAnsi="Times New Roman"/>
                <w:sz w:val="22"/>
              </w:rPr>
              <w:t xml:space="preserve">0,0082</w:t>
            </w:r>
          </w:p>
        </w:tc>
      </w:tr>
      <w:tr>
        <w:tc>
          <w:tcPr/>
          <w:p>
            <w:pPr>
              <w:pStyle w:val="Compact"/>
              <w:spacing w:line="360" w:lineRule="auto"/>
            </w:pPr>
            <w:r>
              <w:rPr>
                <w:rFonts w:ascii="Times New Roman" w:hAnsi="Times New Roman"/>
                <w:sz w:val="22"/>
              </w:rPr>
              <w:t xml:space="preserve">MAE</w:t>
            </w:r>
          </w:p>
        </w:tc>
        <w:tc>
          <w:tcPr/>
          <w:p>
            <w:pPr>
              <w:pStyle w:val="Compact"/>
              <w:spacing w:line="360" w:lineRule="auto"/>
            </w:pPr>
            <w:r>
              <w:rPr>
                <w:rFonts w:ascii="Times New Roman" w:hAnsi="Times New Roman"/>
                <w:sz w:val="22"/>
              </w:rPr>
              <w:t xml:space="preserve">0,0052</w:t>
            </w:r>
          </w:p>
        </w:tc>
      </w:tr>
      <w:tr>
        <w:tc>
          <w:tcPr/>
          <w:p>
            <w:pPr>
              <w:pStyle w:val="Compact"/>
              <w:spacing w:line="360" w:lineRule="auto"/>
            </w:pPr>
            <w:r>
              <w:rPr>
                <w:rFonts w:ascii="Times New Roman" w:hAnsi="Times New Roman"/>
                <w:sz w:val="22"/>
              </w:rPr>
              <w:t xml:space="preserve">R²</w:t>
            </w:r>
          </w:p>
        </w:tc>
        <w:tc>
          <w:tcPr/>
          <w:p>
            <w:pPr>
              <w:pStyle w:val="Compact"/>
              <w:spacing w:line="360" w:lineRule="auto"/>
            </w:pPr>
            <w:r>
              <w:rPr>
                <w:rFonts w:ascii="Times New Roman" w:hAnsi="Times New Roman"/>
                <w:sz w:val="22"/>
              </w:rPr>
              <w:t xml:space="preserve">0,9691</w:t>
            </w:r>
          </w:p>
        </w:tc>
      </w:tr>
      <w:tr>
        <w:tc>
          <w:tcPr/>
          <w:p>
            <w:pPr>
              <w:pStyle w:val="Compact"/>
              <w:spacing w:line="360" w:lineRule="auto"/>
            </w:pPr>
            <w:r>
              <w:rPr>
                <w:rFonts w:ascii="Times New Roman" w:hAnsi="Times New Roman"/>
                <w:sz w:val="22"/>
              </w:rPr>
              <w:t xml:space="preserve">QLIKE</w:t>
            </w:r>
          </w:p>
        </w:tc>
        <w:tc>
          <w:tcPr/>
          <w:p>
            <w:pPr>
              <w:pStyle w:val="Compact"/>
              <w:spacing w:line="360" w:lineRule="auto"/>
            </w:pPr>
            <w:r>
              <w:rPr>
                <w:rFonts w:ascii="Times New Roman" w:hAnsi="Times New Roman"/>
                <w:sz w:val="22"/>
              </w:rPr>
              <w:t xml:space="preserve">−1,8419</w:t>
            </w:r>
          </w:p>
        </w:tc>
      </w:tr>
    </w:tbl>
    <w:p>
      <w:pPr>
        <w:pStyle w:val="BodyText"/>
        <w:spacing w:line="360" w:lineRule="auto" w:before="0" w:after="120"/>
        <w:jc w:val="both"/>
      </w:pPr>
      <w:r>
        <w:rPr>
          <w:rFonts w:ascii="Times New Roman" w:hAnsi="Times New Roman"/>
          <w:sz w:val="24"/>
        </w:rPr>
        <w:t xml:space="preserve">XGBoost obtiene el</w:t>
      </w:r>
      <w:r>
        <w:rPr>
          <w:rFonts w:ascii="Times New Roman" w:hAnsi="Times New Roman"/>
          <w:sz w:val="24"/>
        </w:rPr>
        <w:t xml:space="preserve"> </w:t>
      </w:r>
      <w:r>
        <w:rPr>
          <w:rFonts w:ascii="Times New Roman" w:hAnsi="Times New Roman"/>
          <w:b/>
          <w:bCs/>
          <w:sz w:val="24"/>
        </w:rPr>
        <w:t xml:space="preserve">menor RMSE</w:t>
      </w:r>
      <w:r>
        <w:rPr>
          <w:rFonts w:ascii="Times New Roman" w:hAnsi="Times New Roman"/>
          <w:sz w:val="24"/>
        </w:rPr>
        <w:t xml:space="preserve"> </w:t>
      </w:r>
      <w:r>
        <w:rPr>
          <w:rFonts w:ascii="Times New Roman" w:hAnsi="Times New Roman"/>
          <w:sz w:val="24"/>
        </w:rPr>
        <w:t xml:space="preserve">y el</w:t>
      </w:r>
      <w:r>
        <w:rPr>
          <w:rFonts w:ascii="Times New Roman" w:hAnsi="Times New Roman"/>
          <w:sz w:val="24"/>
        </w:rPr>
        <w:t xml:space="preserve"> </w:t>
      </w:r>
      <w:r>
        <w:rPr>
          <w:rFonts w:ascii="Times New Roman" w:hAnsi="Times New Roman"/>
          <w:b/>
          <w:bCs/>
          <w:sz w:val="24"/>
        </w:rPr>
        <w:t xml:space="preserve">mayor R²</w:t>
      </w:r>
      <w:r>
        <w:rPr>
          <w:rFonts w:ascii="Times New Roman" w:hAnsi="Times New Roman"/>
          <w:sz w:val="24"/>
        </w:rPr>
        <w:t xml:space="preserve"> </w:t>
      </w:r>
      <w:r>
        <w:rPr>
          <w:rFonts w:ascii="Times New Roman" w:hAnsi="Times New Roman"/>
          <w:sz w:val="24"/>
        </w:rPr>
        <w:t xml:space="preserve">de todos los modelos, aunque la diferencia es marginal.</w:t>
      </w:r>
    </w:p>
    <w:p>
      <w:pPr>
        <w:pStyle w:val="BodyText"/>
        <w:spacing w:line="360" w:lineRule="auto" w:before="0" w:after="120"/>
        <w:jc w:val="both"/>
      </w:pPr>
      <w:r>
        <w:rPr>
          <w:rFonts w:ascii="Times New Roman" w:hAnsi="Times New Roman"/>
          <w:b/>
          <w:bCs/>
          <w:sz w:val="24"/>
        </w:rPr>
        <w:t xml:space="preserve">Importancia de variables (SHAP):</w:t>
      </w:r>
    </w:p>
    <w:p>
      <w:pPr>
        <w:pStyle w:val="Compact"/>
        <w:numPr>
          <w:ilvl w:val="0"/>
          <w:numId w:val="1006"/>
        </w:numPr>
        <w:spacing w:line="360" w:lineRule="auto" w:before="0" w:after="120"/>
        <w:jc w:val="both"/>
      </w:pPr>
      <w:r>
        <w:rPr>
          <w:rStyle w:val="VerbatimChar"/>
          <w:rFonts w:ascii="Times New Roman" w:hAnsi="Times New Roman"/>
          <w:b/>
          <w:bCs/>
          <w:sz w:val="24"/>
        </w:rPr>
        <w:t xml:space="preserve">vol_lag1</w:t>
      </w:r>
      <w:r>
        <w:rPr>
          <w:rFonts w:ascii="Times New Roman" w:hAnsi="Times New Roman"/>
          <w:sz w:val="24"/>
        </w:rPr>
        <w:t xml:space="preserve">: 0,0547 (domina ampliamente)</w:t>
      </w:r>
    </w:p>
    <w:p>
      <w:pPr>
        <w:pStyle w:val="Compact"/>
        <w:numPr>
          <w:ilvl w:val="0"/>
          <w:numId w:val="1006"/>
        </w:numPr>
        <w:spacing w:line="360" w:lineRule="auto" w:before="0" w:after="120"/>
        <w:jc w:val="both"/>
      </w:pPr>
      <w:r>
        <w:rPr>
          <w:rStyle w:val="VerbatimChar"/>
          <w:rFonts w:ascii="Times New Roman" w:hAnsi="Times New Roman"/>
          <w:b/>
          <w:bCs/>
          <w:sz w:val="24"/>
        </w:rPr>
        <w:t xml:space="preserve">vol_lag5</w:t>
      </w:r>
      <w:r>
        <w:rPr>
          <w:rFonts w:ascii="Times New Roman" w:hAnsi="Times New Roman"/>
          <w:sz w:val="24"/>
        </w:rPr>
        <w:t xml:space="preserve">: 0,0080</w:t>
      </w:r>
    </w:p>
    <w:p>
      <w:pPr>
        <w:pStyle w:val="Compact"/>
        <w:numPr>
          <w:ilvl w:val="0"/>
          <w:numId w:val="1006"/>
        </w:numPr>
        <w:spacing w:line="360" w:lineRule="auto" w:before="0" w:after="120"/>
        <w:jc w:val="both"/>
      </w:pPr>
      <w:r>
        <w:rPr>
          <w:rStyle w:val="VerbatimChar"/>
          <w:rFonts w:ascii="Times New Roman" w:hAnsi="Times New Roman"/>
          <w:b/>
          <w:bCs/>
          <w:sz w:val="24"/>
        </w:rPr>
        <w:t xml:space="preserve">vix</w:t>
      </w:r>
      <w:r>
        <w:rPr>
          <w:rFonts w:ascii="Times New Roman" w:hAnsi="Times New Roman"/>
          <w:sz w:val="24"/>
        </w:rPr>
        <w:t xml:space="preserve">: 0,0026 (principal variable macro)</w:t>
      </w:r>
    </w:p>
    <w:p>
      <w:pPr>
        <w:pStyle w:val="Compact"/>
        <w:numPr>
          <w:ilvl w:val="0"/>
          <w:numId w:val="1006"/>
        </w:numPr>
        <w:spacing w:line="360" w:lineRule="auto" w:before="0" w:after="120"/>
        <w:jc w:val="both"/>
      </w:pPr>
      <w:r>
        <w:rPr>
          <w:rStyle w:val="VerbatimChar"/>
          <w:rFonts w:ascii="Times New Roman" w:hAnsi="Times New Roman"/>
          <w:b/>
          <w:bCs/>
          <w:sz w:val="24"/>
        </w:rPr>
        <w:t xml:space="preserve">vol_lag21</w:t>
      </w:r>
      <w:r>
        <w:rPr>
          <w:rFonts w:ascii="Times New Roman" w:hAnsi="Times New Roman"/>
          <w:sz w:val="24"/>
        </w:rPr>
        <w:t xml:space="preserve">: 0,0011</w:t>
      </w:r>
    </w:p>
    <w:p>
      <w:pPr>
        <w:pStyle w:val="Compact"/>
        <w:numPr>
          <w:ilvl w:val="0"/>
          <w:numId w:val="1006"/>
        </w:numPr>
        <w:spacing w:line="360" w:lineRule="auto" w:before="0" w:after="120"/>
        <w:jc w:val="both"/>
      </w:pPr>
      <w:r>
        <w:rPr>
          <w:rStyle w:val="VerbatimChar"/>
          <w:rFonts w:ascii="Times New Roman" w:hAnsi="Times New Roman"/>
          <w:b/>
          <w:bCs/>
          <w:sz w:val="24"/>
        </w:rPr>
        <w:t xml:space="preserve">bono_es_10y</w:t>
      </w:r>
      <w:r>
        <w:rPr>
          <w:rFonts w:ascii="Times New Roman" w:hAnsi="Times New Roman"/>
          <w:sz w:val="24"/>
        </w:rPr>
        <w:t xml:space="preserve">: 0,0003</w:t>
      </w:r>
    </w:p>
    <w:p>
      <w:pPr>
        <w:pStyle w:val="FirstParagraph"/>
        <w:spacing w:line="360" w:lineRule="auto" w:before="0" w:after="120"/>
        <w:jc w:val="both"/>
      </w:pPr>
      <w:r>
        <w:rPr>
          <w:rFonts w:ascii="Times New Roman" w:hAnsi="Times New Roman"/>
          <w:sz w:val="24"/>
        </w:rPr>
        <w:t xml:space="preserve">El</w:t>
      </w:r>
      <w:r>
        <w:rPr>
          <w:rFonts w:ascii="Times New Roman" w:hAnsi="Times New Roman"/>
          <w:sz w:val="24"/>
        </w:rPr>
        <w:t xml:space="preserve"> </w:t>
      </w:r>
      <w:r>
        <w:rPr>
          <w:rFonts w:ascii="Times New Roman" w:hAnsi="Times New Roman"/>
          <w:b/>
          <w:bCs/>
          <w:sz w:val="24"/>
        </w:rPr>
        <w:t xml:space="preserve">VIX</w:t>
      </w:r>
      <w:r>
        <w:rPr>
          <w:rFonts w:ascii="Times New Roman" w:hAnsi="Times New Roman"/>
          <w:sz w:val="24"/>
        </w:rPr>
        <w:t xml:space="preserve"> </w:t>
      </w:r>
      <w:r>
        <w:rPr>
          <w:rFonts w:ascii="Times New Roman" w:hAnsi="Times New Roman"/>
          <w:sz w:val="24"/>
        </w:rPr>
        <w:t xml:space="preserve">es la variable macro más relevante según SHAP.</w:t>
      </w:r>
    </w:p>
    <w:bookmarkEnd w:id="33"/>
    <w:bookmarkStart w:id="37" w:name="comparación-de-modelos"/>
    <w:p>
      <w:pPr>
        <w:pStyle w:val="Heading2"/>
        <w:spacing w:line="360" w:lineRule="auto" w:before="0" w:after="120"/>
        <w:jc w:val="both"/>
      </w:pPr>
      <w:r>
        <w:rPr>
          <w:rFonts w:ascii="Times New Roman" w:hAnsi="Times New Roman"/>
          <w:sz w:val="24"/>
        </w:rPr>
        <w:t xml:space="preserve">8. Comparación de modelos</w:t>
      </w:r>
    </w:p>
    <w:bookmarkStart w:id="34" w:name="resumen-de-métricas"/>
    <w:p>
      <w:pPr>
        <w:pStyle w:val="Heading3"/>
        <w:spacing w:line="360" w:lineRule="auto" w:before="0" w:after="120"/>
        <w:jc w:val="both"/>
      </w:pPr>
      <w:r>
        <w:rPr>
          <w:rFonts w:ascii="Times New Roman" w:hAnsi="Times New Roman"/>
          <w:sz w:val="24"/>
        </w:rPr>
        <w:t xml:space="preserve">8.1. Resumen de métricas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fill="404040"/>
          </w:tcPr>
          <w:p>
            <w:pPr>
              <w:pStyle w:val="Compact"/>
              <w:jc w:val="center"/>
            </w:pPr>
            <w:r>
              <w:rPr>
                <w:rFonts w:ascii="Times New Roman" w:hAnsi="Times New Roman"/>
                <w:b/>
                <w:color w:val="FFFFFF"/>
                <w:sz w:val="22"/>
              </w:rPr>
              <w:t xml:space="preserve">Modelo</w:t>
            </w:r>
          </w:p>
        </w:tc>
        <w:tc>
          <w:tcPr>
            <w:shd w:fill="404040"/>
          </w:tcPr>
          <w:p>
            <w:pPr>
              <w:pStyle w:val="Compact"/>
              <w:jc w:val="center"/>
            </w:pPr>
            <w:r>
              <w:rPr>
                <w:rFonts w:ascii="Times New Roman" w:hAnsi="Times New Roman"/>
                <w:b/>
                <w:color w:val="FFFFFF"/>
                <w:sz w:val="22"/>
              </w:rPr>
              <w:t xml:space="preserve">RMSE</w:t>
            </w:r>
          </w:p>
        </w:tc>
        <w:tc>
          <w:tcPr>
            <w:shd w:fill="404040"/>
          </w:tcPr>
          <w:p>
            <w:pPr>
              <w:pStyle w:val="Compact"/>
              <w:jc w:val="center"/>
            </w:pPr>
            <w:r>
              <w:rPr>
                <w:rFonts w:ascii="Times New Roman" w:hAnsi="Times New Roman"/>
                <w:b/>
                <w:color w:val="FFFFFF"/>
                <w:sz w:val="22"/>
              </w:rPr>
              <w:t xml:space="preserve">MAE</w:t>
            </w:r>
          </w:p>
        </w:tc>
        <w:tc>
          <w:tcPr>
            <w:shd w:fill="404040"/>
          </w:tcPr>
          <w:p>
            <w:pPr>
              <w:pStyle w:val="Compact"/>
              <w:jc w:val="center"/>
            </w:pPr>
            <w:r>
              <w:rPr>
                <w:rFonts w:ascii="Times New Roman" w:hAnsi="Times New Roman"/>
                <w:b/>
                <w:color w:val="FFFFFF"/>
                <w:sz w:val="22"/>
              </w:rPr>
              <w:t xml:space="preserve">R²</w:t>
            </w:r>
          </w:p>
        </w:tc>
        <w:tc>
          <w:tcPr>
            <w:shd w:fill="404040"/>
          </w:tcPr>
          <w:p>
            <w:pPr>
              <w:pStyle w:val="Compact"/>
              <w:jc w:val="center"/>
            </w:pPr>
            <w:r>
              <w:rPr>
                <w:rFonts w:ascii="Times New Roman" w:hAnsi="Times New Roman"/>
                <w:b/>
                <w:color w:val="FFFFFF"/>
                <w:sz w:val="22"/>
              </w:rPr>
              <w:t xml:space="preserve">QLIKE</w:t>
            </w:r>
          </w:p>
        </w:tc>
      </w:tr>
      <w:tr>
        <w:tc>
          <w:tcPr/>
          <w:p>
            <w:pPr>
              <w:pStyle w:val="Compact"/>
              <w:spacing w:line="360" w:lineRule="auto"/>
            </w:pPr>
            <w:r>
              <w:rPr>
                <w:rFonts w:ascii="Times New Roman" w:hAnsi="Times New Roman"/>
                <w:sz w:val="22"/>
              </w:rPr>
              <w:t xml:space="preserve">Simple (</w:t>
            </w:r>
            <w:r>
              <w:rPr>
                <w:rStyle w:val="VerbatimChar"/>
                <w:rFonts w:ascii="Times New Roman" w:hAnsi="Times New Roman"/>
                <w:sz w:val="22"/>
              </w:rPr>
              <w:t xml:space="preserve">vol_lag1</w:t>
            </w:r>
            <w:r>
              <w:rPr>
                <w:rFonts w:ascii="Times New Roman" w:hAnsi="Times New Roman"/>
                <w:sz w:val="22"/>
              </w:rPr>
              <w:t xml:space="preserve">)</w:t>
            </w:r>
          </w:p>
        </w:tc>
        <w:tc>
          <w:tcPr/>
          <w:p>
            <w:pPr>
              <w:pStyle w:val="Compact"/>
              <w:spacing w:line="360" w:lineRule="auto"/>
            </w:pPr>
            <w:r>
              <w:rPr>
                <w:rFonts w:ascii="Times New Roman" w:hAnsi="Times New Roman"/>
                <w:sz w:val="22"/>
              </w:rPr>
              <w:t xml:space="preserve">0,0083</w:t>
            </w:r>
          </w:p>
        </w:tc>
        <w:tc>
          <w:tcPr/>
          <w:p>
            <w:pPr>
              <w:pStyle w:val="Compact"/>
              <w:spacing w:line="360" w:lineRule="auto"/>
            </w:pPr>
            <w:r>
              <w:rPr>
                <w:rFonts w:ascii="Times New Roman" w:hAnsi="Times New Roman"/>
                <w:sz w:val="22"/>
              </w:rPr>
              <w:t xml:space="preserve">0,0048</w:t>
            </w:r>
          </w:p>
        </w:tc>
        <w:tc>
          <w:tcPr/>
          <w:p>
            <w:pPr>
              <w:pStyle w:val="Compact"/>
              <w:spacing w:line="360" w:lineRule="auto"/>
            </w:pPr>
            <w:r>
              <w:rPr>
                <w:rFonts w:ascii="Times New Roman" w:hAnsi="Times New Roman"/>
                <w:sz w:val="22"/>
              </w:rPr>
              <w:t xml:space="preserve">0,9686</w:t>
            </w:r>
          </w:p>
        </w:tc>
        <w:tc>
          <w:tcPr/>
          <w:p>
            <w:pPr>
              <w:pStyle w:val="Compact"/>
              <w:spacing w:line="360" w:lineRule="auto"/>
            </w:pPr>
            <w:r>
              <w:rPr>
                <w:rFonts w:ascii="Times New Roman" w:hAnsi="Times New Roman"/>
                <w:sz w:val="22"/>
              </w:rPr>
              <w:t xml:space="preserve">−1,8419</w:t>
            </w:r>
          </w:p>
        </w:tc>
      </w:tr>
      <w:tr>
        <w:tc>
          <w:tcPr/>
          <w:p>
            <w:pPr>
              <w:pStyle w:val="Compact"/>
              <w:spacing w:line="360" w:lineRule="auto"/>
            </w:pPr>
            <w:r>
              <w:rPr>
                <w:rFonts w:ascii="Times New Roman" w:hAnsi="Times New Roman"/>
                <w:sz w:val="22"/>
              </w:rPr>
              <w:t xml:space="preserve">OLS (HAR+macro)</w:t>
            </w:r>
          </w:p>
        </w:tc>
        <w:tc>
          <w:tcPr/>
          <w:p>
            <w:pPr>
              <w:pStyle w:val="Compact"/>
              <w:spacing w:line="360" w:lineRule="auto"/>
            </w:pPr>
            <w:r>
              <w:rPr>
                <w:rFonts w:ascii="Times New Roman" w:hAnsi="Times New Roman"/>
                <w:sz w:val="22"/>
              </w:rPr>
              <w:t xml:space="preserve">0,0084</w:t>
            </w:r>
          </w:p>
        </w:tc>
        <w:tc>
          <w:tcPr/>
          <w:p>
            <w:pPr>
              <w:pStyle w:val="Compact"/>
              <w:spacing w:line="360" w:lineRule="auto"/>
            </w:pPr>
            <w:r>
              <w:rPr>
                <w:rFonts w:ascii="Times New Roman" w:hAnsi="Times New Roman"/>
                <w:sz w:val="22"/>
              </w:rPr>
              <w:t xml:space="preserve">0,0061</w:t>
            </w:r>
          </w:p>
        </w:tc>
        <w:tc>
          <w:tcPr/>
          <w:p>
            <w:pPr>
              <w:pStyle w:val="Compact"/>
              <w:spacing w:line="360" w:lineRule="auto"/>
            </w:pPr>
            <w:r>
              <w:rPr>
                <w:rFonts w:ascii="Times New Roman" w:hAnsi="Times New Roman"/>
                <w:sz w:val="22"/>
              </w:rPr>
              <w:t xml:space="preserve">0,9677</w:t>
            </w:r>
          </w:p>
        </w:tc>
        <w:tc>
          <w:tcPr/>
          <w:p>
            <w:pPr>
              <w:pStyle w:val="Compact"/>
              <w:spacing w:line="360" w:lineRule="auto"/>
            </w:pPr>
            <w:r>
              <w:rPr>
                <w:rFonts w:ascii="Times New Roman" w:hAnsi="Times New Roman"/>
                <w:sz w:val="22"/>
              </w:rPr>
              <w:t xml:space="preserve">−1,8416</w:t>
            </w:r>
          </w:p>
        </w:tc>
      </w:tr>
      <w:tr>
        <w:tc>
          <w:tcPr/>
          <w:p>
            <w:pPr>
              <w:pStyle w:val="Compact"/>
              <w:spacing w:line="360" w:lineRule="auto"/>
            </w:pPr>
            <w:r>
              <w:rPr>
                <w:rFonts w:ascii="Times New Roman" w:hAnsi="Times New Roman"/>
                <w:sz w:val="22"/>
              </w:rPr>
              <w:t xml:space="preserve">GARCH(1,1)</w:t>
            </w:r>
          </w:p>
        </w:tc>
        <w:tc>
          <w:tcPr/>
          <w:p>
            <w:pPr>
              <w:pStyle w:val="Compact"/>
              <w:spacing w:line="360" w:lineRule="auto"/>
            </w:pPr>
            <w:r>
              <w:rPr>
                <w:rFonts w:ascii="Times New Roman" w:hAnsi="Times New Roman"/>
                <w:sz w:val="22"/>
              </w:rPr>
              <w:t xml:space="preserve">0,1029</w:t>
            </w:r>
          </w:p>
        </w:tc>
        <w:tc>
          <w:tcPr/>
          <w:p>
            <w:pPr>
              <w:pStyle w:val="Compact"/>
              <w:spacing w:line="360" w:lineRule="auto"/>
            </w:pPr>
            <w:r>
              <w:rPr>
                <w:rFonts w:ascii="Times New Roman" w:hAnsi="Times New Roman"/>
                <w:sz w:val="22"/>
              </w:rPr>
              <w:t xml:space="preserve">0,0986</w:t>
            </w:r>
          </w:p>
        </w:tc>
        <w:tc>
          <w:tcPr/>
          <w:p>
            <w:pPr>
              <w:pStyle w:val="Compact"/>
              <w:spacing w:line="360" w:lineRule="auto"/>
            </w:pPr>
            <w:r>
              <w:rPr>
                <w:rFonts w:ascii="Times New Roman" w:hAnsi="Times New Roman"/>
                <w:sz w:val="22"/>
              </w:rPr>
              <w:t xml:space="preserve">−3,8375</w:t>
            </w:r>
          </w:p>
        </w:tc>
        <w:tc>
          <w:tcPr/>
          <w:p>
            <w:pPr>
              <w:pStyle w:val="Compact"/>
              <w:spacing w:line="360" w:lineRule="auto"/>
            </w:pPr>
            <w:r>
              <w:rPr>
                <w:rFonts w:ascii="Times New Roman" w:hAnsi="Times New Roman"/>
                <w:sz w:val="22"/>
              </w:rPr>
              <w:t xml:space="preserve">−0,9319</w:t>
            </w:r>
          </w:p>
        </w:tc>
      </w:tr>
      <w:tr>
        <w:tc>
          <w:tcPr/>
          <w:p>
            <w:pPr>
              <w:pStyle w:val="Compact"/>
              <w:spacing w:line="360" w:lineRule="auto"/>
            </w:pPr>
            <w:r>
              <w:rPr>
                <w:rFonts w:ascii="Times New Roman" w:hAnsi="Times New Roman"/>
                <w:sz w:val="22"/>
              </w:rPr>
              <w:t xml:space="preserve">XGBoost</w:t>
            </w:r>
          </w:p>
        </w:tc>
        <w:tc>
          <w:tcPr/>
          <w:p>
            <w:pPr>
              <w:pStyle w:val="Compact"/>
              <w:spacing w:line="360" w:lineRule="auto"/>
            </w:pPr>
            <w:r>
              <w:rPr>
                <w:rFonts w:ascii="Times New Roman" w:hAnsi="Times New Roman"/>
                <w:sz w:val="22"/>
              </w:rPr>
              <w:t xml:space="preserve">0,0082</w:t>
            </w:r>
          </w:p>
        </w:tc>
        <w:tc>
          <w:tcPr/>
          <w:p>
            <w:pPr>
              <w:pStyle w:val="Compact"/>
              <w:spacing w:line="360" w:lineRule="auto"/>
            </w:pPr>
            <w:r>
              <w:rPr>
                <w:rFonts w:ascii="Times New Roman" w:hAnsi="Times New Roman"/>
                <w:sz w:val="22"/>
              </w:rPr>
              <w:t xml:space="preserve">0,0052</w:t>
            </w:r>
          </w:p>
        </w:tc>
        <w:tc>
          <w:tcPr/>
          <w:p>
            <w:pPr>
              <w:pStyle w:val="Compact"/>
              <w:spacing w:line="360" w:lineRule="auto"/>
            </w:pPr>
            <w:r>
              <w:rPr>
                <w:rFonts w:ascii="Times New Roman" w:hAnsi="Times New Roman"/>
                <w:sz w:val="22"/>
              </w:rPr>
              <w:t xml:space="preserve">0,9691</w:t>
            </w:r>
          </w:p>
        </w:tc>
        <w:tc>
          <w:tcPr/>
          <w:p>
            <w:pPr>
              <w:pStyle w:val="Compact"/>
              <w:spacing w:line="360" w:lineRule="auto"/>
            </w:pPr>
            <w:r>
              <w:rPr>
                <w:rFonts w:ascii="Times New Roman" w:hAnsi="Times New Roman"/>
                <w:sz w:val="22"/>
              </w:rPr>
              <w:t xml:space="preserve">−1,8419</w:t>
            </w:r>
          </w:p>
        </w:tc>
      </w:tr>
    </w:tbl>
    <w:p>
      <w:pPr>
        <w:pStyle w:val="BodyText"/>
        <w:spacing w:line="360" w:lineRule="auto" w:before="0" w:after="120"/>
        <w:jc w:val="both"/>
      </w:pPr>
      <w:r>
        <w:rPr>
          <w:rFonts w:ascii="Times New Roman" w:hAnsi="Times New Roman"/>
          <w:sz w:val="24"/>
        </w:rPr>
        <w:t xml:space="preserve">Los tres modelos supervisados (Simple, OLS, XGBoost) alcanzan un R² superior al 96%.</w:t>
      </w:r>
    </w:p>
    <w:bookmarkEnd w:id="34"/>
    <w:bookmarkStart w:id="35" w:name="test-de-diebold-mariano"/>
    <w:p>
      <w:pPr>
        <w:pStyle w:val="Heading3"/>
        <w:spacing w:line="360" w:lineRule="auto" w:before="0" w:after="120"/>
        <w:jc w:val="both"/>
      </w:pPr>
      <w:r>
        <w:rPr>
          <w:rFonts w:ascii="Times New Roman" w:hAnsi="Times New Roman"/>
          <w:sz w:val="24"/>
        </w:rPr>
        <w:t xml:space="preserve">8.2. Test de Diebold-Mariano</w:t>
      </w:r>
    </w:p>
    <w:tbl>
      <w:tblPr>
        <w:tblStyle w:val="Table"/>
        <w:tblW w:type="pct" w:w="5000"/>
        <w:tblLayout w:type="fixed"/>
        <w:tblLook w:firstRow="1" w:lastRow="0" w:firstColumn="0" w:lastColumn="0" w:noHBand="0" w:noVBand="0" w:val="0020"/>
      </w:tblPr>
      <w:tblGrid>
        <w:gridCol w:w="2709"/>
        <w:gridCol w:w="1042"/>
        <w:gridCol w:w="1875"/>
        <w:gridCol w:w="2292"/>
      </w:tblGrid>
      <w:tr>
        <w:trPr>
          <w:tblHeader w:val="on"/>
        </w:trPr>
        <w:tc>
          <w:tcPr>
            <w:shd w:fill="404040"/>
          </w:tcPr>
          <w:p>
            <w:pPr>
              <w:pStyle w:val="Compact"/>
              <w:jc w:val="center"/>
            </w:pPr>
            <w:r>
              <w:rPr>
                <w:rFonts w:ascii="Times New Roman" w:hAnsi="Times New Roman"/>
                <w:b/>
                <w:color w:val="FFFFFF"/>
                <w:sz w:val="22"/>
              </w:rPr>
              <w:t xml:space="preserve">Comparación</w:t>
            </w:r>
          </w:p>
        </w:tc>
        <w:tc>
          <w:tcPr>
            <w:shd w:fill="404040"/>
          </w:tcPr>
          <w:p>
            <w:pPr>
              <w:pStyle w:val="Compact"/>
              <w:jc w:val="center"/>
            </w:pPr>
            <w:r>
              <w:rPr>
                <w:rFonts w:ascii="Times New Roman" w:hAnsi="Times New Roman"/>
                <w:b/>
                <w:color w:val="FFFFFF"/>
                <w:sz w:val="22"/>
              </w:rPr>
              <w:t xml:space="preserve">DM</w:t>
            </w:r>
          </w:p>
        </w:tc>
        <w:tc>
          <w:tcPr>
            <w:shd w:fill="404040"/>
          </w:tcPr>
          <w:p>
            <w:pPr>
              <w:pStyle w:val="Compact"/>
              <w:jc w:val="center"/>
            </w:pPr>
            <w:r>
              <w:rPr>
                <w:rFonts w:ascii="Times New Roman" w:hAnsi="Times New Roman"/>
                <w:b/>
                <w:color w:val="FFFFFF"/>
                <w:sz w:val="22"/>
              </w:rPr>
              <w:t xml:space="preserve">p-valor</w:t>
            </w:r>
          </w:p>
        </w:tc>
        <w:tc>
          <w:tcPr>
            <w:shd w:fill="404040"/>
          </w:tcPr>
          <w:p>
            <w:pPr>
              <w:pStyle w:val="Compact"/>
              <w:jc w:val="center"/>
            </w:pPr>
            <w:r>
              <w:rPr>
                <w:rFonts w:ascii="Times New Roman" w:hAnsi="Times New Roman"/>
                <w:b/>
                <w:color w:val="FFFFFF"/>
                <w:sz w:val="22"/>
              </w:rPr>
              <w:t xml:space="preserve">Resultado</w:t>
            </w:r>
          </w:p>
        </w:tc>
      </w:tr>
      <w:tr>
        <w:tc>
          <w:tcPr/>
          <w:p>
            <w:pPr>
              <w:pStyle w:val="Compact"/>
              <w:spacing w:line="360" w:lineRule="auto"/>
            </w:pPr>
            <w:r>
              <w:rPr>
                <w:rFonts w:ascii="Times New Roman" w:hAnsi="Times New Roman"/>
                <w:sz w:val="22"/>
              </w:rPr>
              <w:t xml:space="preserve">Simple vs OLS</w:t>
            </w:r>
          </w:p>
        </w:tc>
        <w:tc>
          <w:tcPr/>
          <w:p>
            <w:pPr>
              <w:pStyle w:val="Compact"/>
              <w:spacing w:line="360" w:lineRule="auto"/>
            </w:pPr>
            <w:r>
              <w:rPr>
                <w:rFonts w:ascii="Times New Roman" w:hAnsi="Times New Roman"/>
                <w:sz w:val="22"/>
              </w:rPr>
              <w:t xml:space="preserve">−0,373</w:t>
            </w:r>
          </w:p>
        </w:tc>
        <w:tc>
          <w:tcPr/>
          <w:p>
            <w:pPr>
              <w:pStyle w:val="Compact"/>
              <w:spacing w:line="360" w:lineRule="auto"/>
            </w:pPr>
            <w:r>
              <w:rPr>
                <w:rFonts w:ascii="Times New Roman" w:hAnsi="Times New Roman"/>
                <w:sz w:val="22"/>
              </w:rPr>
              <w:t xml:space="preserve">0,7093</w:t>
            </w:r>
          </w:p>
        </w:tc>
        <w:tc>
          <w:tcPr/>
          <w:p>
            <w:pPr>
              <w:pStyle w:val="Compact"/>
              <w:spacing w:line="360" w:lineRule="auto"/>
            </w:pPr>
            <w:r>
              <w:rPr>
                <w:rFonts w:ascii="Times New Roman" w:hAnsi="Times New Roman"/>
                <w:sz w:val="22"/>
              </w:rPr>
              <w:t xml:space="preserve">Sin diferencia significativa</w:t>
            </w:r>
          </w:p>
        </w:tc>
      </w:tr>
      <w:tr>
        <w:tc>
          <w:tcPr/>
          <w:p>
            <w:pPr>
              <w:pStyle w:val="Compact"/>
              <w:spacing w:line="360" w:lineRule="auto"/>
            </w:pPr>
            <w:r>
              <w:rPr>
                <w:rFonts w:ascii="Times New Roman" w:hAnsi="Times New Roman"/>
                <w:sz w:val="22"/>
              </w:rPr>
              <w:t xml:space="preserve">Simple vs XGBoost</w:t>
            </w:r>
          </w:p>
        </w:tc>
        <w:tc>
          <w:tcPr/>
          <w:p>
            <w:pPr>
              <w:pStyle w:val="Compact"/>
              <w:spacing w:line="360" w:lineRule="auto"/>
            </w:pPr>
            <w:r>
              <w:rPr>
                <w:rFonts w:ascii="Times New Roman" w:hAnsi="Times New Roman"/>
                <w:sz w:val="22"/>
              </w:rPr>
              <w:t xml:space="preserve">+0,253</w:t>
            </w:r>
          </w:p>
        </w:tc>
        <w:tc>
          <w:tcPr/>
          <w:p>
            <w:pPr>
              <w:pStyle w:val="Compact"/>
              <w:spacing w:line="360" w:lineRule="auto"/>
            </w:pPr>
            <w:r>
              <w:rPr>
                <w:rFonts w:ascii="Times New Roman" w:hAnsi="Times New Roman"/>
                <w:sz w:val="22"/>
              </w:rPr>
              <w:t xml:space="preserve">0,7999</w:t>
            </w:r>
          </w:p>
        </w:tc>
        <w:tc>
          <w:tcPr/>
          <w:p>
            <w:pPr>
              <w:pStyle w:val="Compact"/>
              <w:spacing w:line="360" w:lineRule="auto"/>
            </w:pPr>
            <w:r>
              <w:rPr>
                <w:rFonts w:ascii="Times New Roman" w:hAnsi="Times New Roman"/>
                <w:sz w:val="22"/>
              </w:rPr>
              <w:t xml:space="preserve">Sin diferencia significativa</w:t>
            </w:r>
          </w:p>
        </w:tc>
      </w:tr>
      <w:tr>
        <w:tc>
          <w:tcPr/>
          <w:p>
            <w:pPr>
              <w:pStyle w:val="Compact"/>
              <w:spacing w:line="360" w:lineRule="auto"/>
            </w:pPr>
            <w:r>
              <w:rPr>
                <w:rFonts w:ascii="Times New Roman" w:hAnsi="Times New Roman"/>
                <w:sz w:val="22"/>
              </w:rPr>
              <w:t xml:space="preserve">OLS vs GARCH</w:t>
            </w:r>
          </w:p>
        </w:tc>
        <w:tc>
          <w:tcPr/>
          <w:p>
            <w:pPr>
              <w:pStyle w:val="Compact"/>
              <w:spacing w:line="360" w:lineRule="auto"/>
            </w:pPr>
            <w:r>
              <w:rPr>
                <w:rFonts w:ascii="Times New Roman" w:hAnsi="Times New Roman"/>
                <w:sz w:val="22"/>
              </w:rPr>
              <w:t xml:space="preserve">−42,254</w:t>
            </w:r>
          </w:p>
        </w:tc>
        <w:tc>
          <w:tcPr/>
          <w:p>
            <w:pPr>
              <w:pStyle w:val="Compact"/>
              <w:spacing w:line="360" w:lineRule="auto"/>
            </w:pPr>
            <w:r>
              <w:rPr>
                <w:rFonts w:ascii="Times New Roman" w:hAnsi="Times New Roman"/>
                <w:sz w:val="22"/>
              </w:rPr>
              <w:t xml:space="preserve">0,0000</w:t>
            </w:r>
          </w:p>
        </w:tc>
        <w:tc>
          <w:tcPr/>
          <w:p>
            <w:pPr>
              <w:pStyle w:val="Compact"/>
              <w:spacing w:line="360" w:lineRule="auto"/>
            </w:pPr>
            <w:r>
              <w:rPr>
                <w:rFonts w:ascii="Times New Roman" w:hAnsi="Times New Roman"/>
                <w:sz w:val="22"/>
              </w:rPr>
              <w:t xml:space="preserve">OLS significativamente mejor</w:t>
            </w:r>
          </w:p>
        </w:tc>
      </w:tr>
      <w:tr>
        <w:tc>
          <w:tcPr/>
          <w:p>
            <w:pPr>
              <w:pStyle w:val="Compact"/>
              <w:spacing w:line="360" w:lineRule="auto"/>
            </w:pPr>
            <w:r>
              <w:rPr>
                <w:rFonts w:ascii="Times New Roman" w:hAnsi="Times New Roman"/>
                <w:sz w:val="22"/>
              </w:rPr>
              <w:t xml:space="preserve">OLS vs XGBoost</w:t>
            </w:r>
          </w:p>
        </w:tc>
        <w:tc>
          <w:tcPr/>
          <w:p>
            <w:pPr>
              <w:pStyle w:val="Compact"/>
              <w:spacing w:line="360" w:lineRule="auto"/>
            </w:pPr>
            <w:r>
              <w:rPr>
                <w:rFonts w:ascii="Times New Roman" w:hAnsi="Times New Roman"/>
                <w:sz w:val="22"/>
              </w:rPr>
              <w:t xml:space="preserve">+0,683</w:t>
            </w:r>
          </w:p>
        </w:tc>
        <w:tc>
          <w:tcPr/>
          <w:p>
            <w:pPr>
              <w:pStyle w:val="Compact"/>
              <w:spacing w:line="360" w:lineRule="auto"/>
            </w:pPr>
            <w:r>
              <w:rPr>
                <w:rFonts w:ascii="Times New Roman" w:hAnsi="Times New Roman"/>
                <w:sz w:val="22"/>
              </w:rPr>
              <w:t xml:space="preserve">0,4948</w:t>
            </w:r>
          </w:p>
        </w:tc>
        <w:tc>
          <w:tcPr/>
          <w:p>
            <w:pPr>
              <w:pStyle w:val="Compact"/>
              <w:spacing w:line="360" w:lineRule="auto"/>
            </w:pPr>
            <w:r>
              <w:rPr>
                <w:rFonts w:ascii="Times New Roman" w:hAnsi="Times New Roman"/>
                <w:sz w:val="22"/>
              </w:rPr>
              <w:t xml:space="preserve">Sin diferencia significativa</w:t>
            </w:r>
          </w:p>
        </w:tc>
      </w:tr>
      <w:tr>
        <w:tc>
          <w:tcPr/>
          <w:p>
            <w:pPr>
              <w:pStyle w:val="Compact"/>
              <w:spacing w:line="360" w:lineRule="auto"/>
            </w:pPr>
            <w:r>
              <w:rPr>
                <w:rFonts w:ascii="Times New Roman" w:hAnsi="Times New Roman"/>
                <w:sz w:val="22"/>
              </w:rPr>
              <w:t xml:space="preserve">GARCH vs XGBoost</w:t>
            </w:r>
          </w:p>
        </w:tc>
        <w:tc>
          <w:tcPr/>
          <w:p>
            <w:pPr>
              <w:pStyle w:val="Compact"/>
              <w:spacing w:line="360" w:lineRule="auto"/>
            </w:pPr>
            <w:r>
              <w:rPr>
                <w:rFonts w:ascii="Times New Roman" w:hAnsi="Times New Roman"/>
                <w:sz w:val="22"/>
              </w:rPr>
              <w:t xml:space="preserve">+42,183</w:t>
            </w:r>
          </w:p>
        </w:tc>
        <w:tc>
          <w:tcPr/>
          <w:p>
            <w:pPr>
              <w:pStyle w:val="Compact"/>
              <w:spacing w:line="360" w:lineRule="auto"/>
            </w:pPr>
            <w:r>
              <w:rPr>
                <w:rFonts w:ascii="Times New Roman" w:hAnsi="Times New Roman"/>
                <w:sz w:val="22"/>
              </w:rPr>
              <w:t xml:space="preserve">0,0000</w:t>
            </w:r>
          </w:p>
        </w:tc>
        <w:tc>
          <w:tcPr/>
          <w:p>
            <w:pPr>
              <w:pStyle w:val="Compact"/>
              <w:spacing w:line="360" w:lineRule="auto"/>
            </w:pPr>
            <w:r>
              <w:rPr>
                <w:rFonts w:ascii="Times New Roman" w:hAnsi="Times New Roman"/>
                <w:sz w:val="22"/>
              </w:rPr>
              <w:t xml:space="preserve">XGBoost significativamente mejor</w:t>
            </w:r>
          </w:p>
        </w:tc>
      </w:tr>
    </w:tbl>
    <w:p>
      <w:pPr>
        <w:pStyle w:val="BodyText"/>
        <w:spacing w:line="360" w:lineRule="auto" w:before="0" w:after="120"/>
        <w:jc w:val="both"/>
      </w:pPr>
      <w:r>
        <w:rPr>
          <w:rFonts w:ascii="Times New Roman" w:hAnsi="Times New Roman"/>
          <w:b/>
          <w:bCs/>
          <w:sz w:val="24"/>
        </w:rPr>
        <w:t xml:space="preserve">Interpretación:</w:t>
      </w:r>
      <w:r>
        <w:rPr>
          <w:rFonts w:ascii="Times New Roman" w:hAnsi="Times New Roman"/>
          <w:sz w:val="24"/>
        </w:rPr>
        <w:t xml:space="preserve"> </w:t>
      </w:r>
      <w:r>
        <w:rPr>
          <w:rFonts w:ascii="Times New Roman" w:hAnsi="Times New Roman"/>
          <w:sz w:val="24"/>
        </w:rPr>
        <w:t xml:space="preserve">Simple, OLS y XGBoost son</w:t>
      </w:r>
      <w:r>
        <w:rPr>
          <w:rFonts w:ascii="Times New Roman" w:hAnsi="Times New Roman"/>
          <w:sz w:val="24"/>
        </w:rPr>
        <w:t xml:space="preserve"> </w:t>
      </w:r>
      <w:r>
        <w:rPr>
          <w:rFonts w:ascii="Times New Roman" w:hAnsi="Times New Roman"/>
          <w:b/>
          <w:bCs/>
          <w:sz w:val="24"/>
        </w:rPr>
        <w:t xml:space="preserve">estadísticamente equivalentes</w:t>
      </w:r>
      <w:r>
        <w:rPr>
          <w:rFonts w:ascii="Times New Roman" w:hAnsi="Times New Roman"/>
          <w:sz w:val="24"/>
        </w:rPr>
        <w:t xml:space="preserve"> </w:t>
      </w:r>
      <w:r>
        <w:rPr>
          <w:rFonts w:ascii="Times New Roman" w:hAnsi="Times New Roman"/>
          <w:sz w:val="24"/>
        </w:rPr>
        <w:t xml:space="preserve">(</w:t>
      </w:r>
      <m:oMath>
        <m:r>
          <m:t>p</m:t>
        </m:r>
        <m:r>
          <m:rPr>
            <m:sty m:val="p"/>
          </m:rPr>
          <m:t>&gt;</m:t>
        </m:r>
        <m:r>
          <m:t>0</m:t>
        </m:r>
        <m:r>
          <m:rPr>
            <m:sty m:val="p"/>
          </m:rPr>
          <m:t>,</m:t>
        </m:r>
        <m:r>
          <m:t>05</m:t>
        </m:r>
      </m:oMath>
      <w:r>
        <w:rPr>
          <w:rFonts w:ascii="Times New Roman" w:hAnsi="Times New Roman"/>
          <w:sz w:val="24"/>
        </w:rPr>
        <w:t xml:space="preserve">). El GARCH es significativamente peor que cualquier modelo supervisado.</w:t>
      </w:r>
    </w:p>
    <w:bookmarkEnd w:id="35"/>
    <w:bookmarkStart w:id="36" w:name="síntesis"/>
    <w:p>
      <w:pPr>
        <w:pStyle w:val="Heading3"/>
        <w:spacing w:line="360" w:lineRule="auto" w:before="0" w:after="120"/>
        <w:jc w:val="both"/>
      </w:pPr>
      <w:r>
        <w:rPr>
          <w:rFonts w:ascii="Times New Roman" w:hAnsi="Times New Roman"/>
          <w:sz w:val="24"/>
        </w:rPr>
        <w:t xml:space="preserve">8.3. Síntesis</w:t>
      </w:r>
    </w:p>
    <w:p>
      <w:pPr>
        <w:pStyle w:val="FirstParagraph"/>
        <w:spacing w:line="360" w:lineRule="auto" w:before="0" w:after="120"/>
        <w:jc w:val="both"/>
      </w:pPr>
      <w:r>
        <w:rPr>
          <w:rFonts w:ascii="Times New Roman" w:hAnsi="Times New Roman"/>
          <w:sz w:val="24"/>
        </w:rPr>
        <w:t xml:space="preserve">Al contrario de invalidar la investigación, este hallazgo es relevante: confirma la</w:t>
      </w:r>
      <w:r>
        <w:rPr>
          <w:rFonts w:ascii="Times New Roman" w:hAnsi="Times New Roman"/>
          <w:sz w:val="24"/>
        </w:rPr>
        <w:t xml:space="preserve"> </w:t>
      </w:r>
      <w:r>
        <w:rPr>
          <w:rFonts w:ascii="Times New Roman" w:hAnsi="Times New Roman"/>
          <w:b/>
          <w:bCs/>
          <w:sz w:val="24"/>
        </w:rPr>
        <w:t xml:space="preserve">hiperpersistencia</w:t>
      </w:r>
      <w:r>
        <w:rPr>
          <w:rFonts w:ascii="Times New Roman" w:hAnsi="Times New Roman"/>
          <w:sz w:val="24"/>
        </w:rPr>
        <w:t xml:space="preserve"> </w:t>
      </w:r>
      <w:r>
        <w:rPr>
          <w:rFonts w:ascii="Times New Roman" w:hAnsi="Times New Roman"/>
          <w:sz w:val="24"/>
        </w:rPr>
        <w:t xml:space="preserve">de la volatilidad realizada, fenómeno bien documentado. Las variables macro sí aportan</w:t>
      </w:r>
      <w:r>
        <w:rPr>
          <w:rFonts w:ascii="Times New Roman" w:hAnsi="Times New Roman"/>
          <w:sz w:val="24"/>
        </w:rPr>
        <w:t xml:space="preserve"> </w:t>
      </w:r>
      <w:r>
        <w:rPr>
          <w:rFonts w:ascii="Times New Roman" w:hAnsi="Times New Roman"/>
          <w:b/>
          <w:bCs/>
          <w:sz w:val="24"/>
        </w:rPr>
        <w:t xml:space="preserve">valor marginal</w:t>
      </w:r>
      <w:r>
        <w:rPr>
          <w:rFonts w:ascii="Times New Roman" w:hAnsi="Times New Roman"/>
          <w:sz w:val="24"/>
        </w:rPr>
        <w:t xml:space="preserve"> </w:t>
      </w:r>
      <w:r>
        <w:rPr>
          <w:rFonts w:ascii="Times New Roman" w:hAnsi="Times New Roman"/>
          <w:sz w:val="24"/>
        </w:rPr>
        <w:t xml:space="preserve">en modelos no lineales (sección 9), aunque su contribución queda eclipsada por</w:t>
      </w:r>
      <w:r>
        <w:rPr>
          <w:rFonts w:ascii="Times New Roman" w:hAnsi="Times New Roman"/>
          <w:sz w:val="24"/>
        </w:rPr>
        <w:t xml:space="preserve"> </w:t>
      </w:r>
      <w:r>
        <w:rPr>
          <w:rStyle w:val="VerbatimChar"/>
          <w:rFonts w:ascii="Times New Roman" w:hAnsi="Times New Roman"/>
          <w:sz w:val="24"/>
        </w:rPr>
        <w:t xml:space="preserve">vol_lag1</w:t>
      </w:r>
      <w:r>
        <w:rPr>
          <w:rFonts w:ascii="Times New Roman" w:hAnsi="Times New Roman"/>
          <w:sz w:val="24"/>
        </w:rPr>
        <w:t xml:space="preserve">.</w:t>
      </w:r>
    </w:p>
    <w:bookmarkEnd w:id="36"/>
    <w:bookmarkEnd w:id="37"/>
    <w:bookmarkStart w:id="40" w:name="Xdc9ef74ad6f18606caf3f29dd73aceffb94944e"/>
    <w:p>
      <w:pPr>
        <w:pStyle w:val="Heading2"/>
        <w:spacing w:line="360" w:lineRule="auto" w:before="0" w:after="120"/>
        <w:jc w:val="both"/>
      </w:pPr>
      <w:r>
        <w:rPr>
          <w:rFonts w:ascii="Times New Roman" w:hAnsi="Times New Roman"/>
          <w:sz w:val="24"/>
        </w:rPr>
        <w:t xml:space="preserve">9. Valor añadido de las variables macroeconómicas</w:t>
      </w:r>
    </w:p>
    <w:p>
      <w:pPr>
        <w:pStyle w:val="FirstParagraph"/>
        <w:spacing w:line="360" w:lineRule="auto" w:before="0" w:after="120"/>
        <w:jc w:val="both"/>
      </w:pPr>
      <w:r>
        <w:rPr>
          <w:rFonts w:ascii="Times New Roman" w:hAnsi="Times New Roman"/>
          <w:sz w:val="24"/>
        </w:rPr>
        <w:t xml:space="preserve">Esta sección responde directamente a la</w:t>
      </w:r>
      <w:r>
        <w:rPr>
          <w:rFonts w:ascii="Times New Roman" w:hAnsi="Times New Roman"/>
          <w:sz w:val="24"/>
        </w:rPr>
        <w:t xml:space="preserve"> </w:t>
      </w:r>
      <w:r>
        <w:rPr>
          <w:rFonts w:ascii="Times New Roman" w:hAnsi="Times New Roman"/>
          <w:b/>
          <w:bCs/>
          <w:sz w:val="24"/>
        </w:rPr>
        <w:t xml:space="preserve">pregunta central del TFG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¿aportan las variables macroeconómicas información predictiva sobre la volatilidad del IBEX 35 más allá de su propia historia?</w:t>
      </w:r>
    </w:p>
    <w:p>
      <w:pPr>
        <w:pStyle w:val="BodyText"/>
        <w:spacing w:line="360" w:lineRule="auto" w:before="0" w:after="120"/>
        <w:jc w:val="both"/>
      </w:pPr>
      <w:r>
        <w:rPr>
          <w:rFonts w:ascii="Times New Roman" w:hAnsi="Times New Roman"/>
          <w:sz w:val="24"/>
        </w:rPr>
        <w:t xml:space="preserve">Se compara cada modelo en dos configuraciones:</w:t>
      </w:r>
      <w:r>
        <w:rPr>
          <w:rFonts w:ascii="Times New Roman" w:hAnsi="Times New Roman"/>
          <w:sz w:val="24"/>
        </w:rPr>
        <w:t xml:space="preserve"> </w:t>
      </w:r>
      <w:r>
        <w:rPr>
          <w:rFonts w:ascii="Times New Roman" w:hAnsi="Times New Roman"/>
          <w:b/>
          <w:bCs/>
          <w:sz w:val="24"/>
        </w:rPr>
        <w:t xml:space="preserve">HAR solo</w:t>
      </w:r>
      <w:r>
        <w:rPr>
          <w:rFonts w:ascii="Times New Roman" w:hAnsi="Times New Roman"/>
          <w:sz w:val="24"/>
        </w:rPr>
        <w:t xml:space="preserve"> </w:t>
      </w:r>
      <w:r>
        <w:rPr>
          <w:rFonts w:ascii="Times New Roman" w:hAnsi="Times New Roman"/>
          <w:sz w:val="24"/>
        </w:rPr>
        <w:t xml:space="preserve">(3 features) vs. </w:t>
      </w:r>
      <w:r>
        <w:rPr>
          <w:rFonts w:ascii="Times New Roman" w:hAnsi="Times New Roman"/>
          <w:b/>
          <w:bCs/>
          <w:sz w:val="24"/>
        </w:rPr>
        <w:t xml:space="preserve">HAR+macro</w:t>
      </w:r>
      <w:r>
        <w:rPr>
          <w:rFonts w:ascii="Times New Roman" w:hAnsi="Times New Roman"/>
          <w:sz w:val="24"/>
        </w:rPr>
        <w:t xml:space="preserve"> </w:t>
      </w:r>
      <w:r>
        <w:rPr>
          <w:rFonts w:ascii="Times New Roman" w:hAnsi="Times New Roman"/>
          <w:sz w:val="24"/>
        </w:rPr>
        <w:t xml:space="preserve">(15 features). La diferencia aísla la contribución marginal de las variables macro.</w:t>
      </w:r>
    </w:p>
    <w:bookmarkStart w:id="38" w:name="resultados"/>
    <w:p>
      <w:pPr>
        <w:pStyle w:val="Heading3"/>
        <w:spacing w:line="360" w:lineRule="auto" w:before="0" w:after="120"/>
        <w:jc w:val="both"/>
      </w:pPr>
      <w:r>
        <w:rPr>
          <w:rFonts w:ascii="Times New Roman" w:hAnsi="Times New Roman"/>
          <w:sz w:val="24"/>
        </w:rPr>
        <w:t xml:space="preserve">9.1. Resultados</w:t>
      </w:r>
    </w:p>
    <w:p>
      <w:pPr>
        <w:pStyle w:val="FirstParagraph"/>
        <w:spacing w:line="360" w:lineRule="auto" w:before="0" w:after="120"/>
        <w:jc w:val="both"/>
      </w:pPr>
      <w:r>
        <w:rPr>
          <w:rFonts w:ascii="Times New Roman" w:hAnsi="Times New Roman"/>
          <w:b/>
          <w:bCs/>
          <w:sz w:val="24"/>
        </w:rPr>
        <w:t xml:space="preserve">OLS — HAR solo vs. HAR+macro: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fill="404040"/>
          </w:tcPr>
          <w:p>
            <w:pPr>
              <w:pStyle w:val="Compact"/>
              <w:jc w:val="center"/>
            </w:pPr>
            <w:r>
              <w:rPr>
                <w:rFonts w:ascii="Times New Roman" w:hAnsi="Times New Roman"/>
                <w:b/>
                <w:color w:val="FFFFFF"/>
                <w:sz w:val="22"/>
              </w:rPr>
              <w:t xml:space="preserve">Configuración</w:t>
            </w:r>
          </w:p>
        </w:tc>
        <w:tc>
          <w:tcPr>
            <w:shd w:fill="404040"/>
          </w:tcPr>
          <w:p>
            <w:pPr>
              <w:pStyle w:val="Compact"/>
              <w:jc w:val="center"/>
            </w:pPr>
            <w:r>
              <w:rPr>
                <w:rFonts w:ascii="Times New Roman" w:hAnsi="Times New Roman"/>
                <w:b/>
                <w:color w:val="FFFFFF"/>
                <w:sz w:val="22"/>
              </w:rPr>
              <w:t xml:space="preserve">RMSE</w:t>
            </w:r>
          </w:p>
        </w:tc>
        <w:tc>
          <w:tcPr>
            <w:shd w:fill="404040"/>
          </w:tcPr>
          <w:p>
            <w:pPr>
              <w:pStyle w:val="Compact"/>
              <w:jc w:val="center"/>
            </w:pPr>
            <w:r>
              <w:rPr>
                <w:rFonts w:ascii="Times New Roman" w:hAnsi="Times New Roman"/>
                <w:b/>
                <w:color w:val="FFFFFF"/>
                <w:sz w:val="22"/>
              </w:rPr>
              <w:t xml:space="preserve">MAE</w:t>
            </w:r>
          </w:p>
        </w:tc>
        <w:tc>
          <w:tcPr>
            <w:shd w:fill="404040"/>
          </w:tcPr>
          <w:p>
            <w:pPr>
              <w:pStyle w:val="Compact"/>
              <w:jc w:val="center"/>
            </w:pPr>
            <w:r>
              <w:rPr>
                <w:rFonts w:ascii="Times New Roman" w:hAnsi="Times New Roman"/>
                <w:b/>
                <w:color w:val="FFFFFF"/>
                <w:sz w:val="22"/>
              </w:rPr>
              <w:t xml:space="preserve">R²</w:t>
            </w:r>
          </w:p>
        </w:tc>
        <w:tc>
          <w:tcPr>
            <w:shd w:fill="404040"/>
          </w:tcPr>
          <w:p>
            <w:pPr>
              <w:pStyle w:val="Compact"/>
              <w:jc w:val="center"/>
            </w:pPr>
            <w:r>
              <w:rPr>
                <w:rFonts w:ascii="Times New Roman" w:hAnsi="Times New Roman"/>
                <w:b/>
                <w:color w:val="FFFFFF"/>
                <w:sz w:val="22"/>
              </w:rPr>
              <w:t xml:space="preserve">QLIKE</w:t>
            </w:r>
          </w:p>
        </w:tc>
      </w:tr>
      <w:tr>
        <w:tc>
          <w:tcPr/>
          <w:p>
            <w:pPr>
              <w:pStyle w:val="Compact"/>
              <w:spacing w:line="360" w:lineRule="auto"/>
            </w:pPr>
            <w:r>
              <w:rPr>
                <w:rFonts w:ascii="Times New Roman" w:hAnsi="Times New Roman"/>
                <w:sz w:val="22"/>
              </w:rPr>
              <w:t xml:space="preserve">OLS (HAR solo)</w:t>
            </w:r>
          </w:p>
        </w:tc>
        <w:tc>
          <w:tcPr/>
          <w:p>
            <w:pPr>
              <w:pStyle w:val="Compact"/>
              <w:spacing w:line="360" w:lineRule="auto"/>
            </w:pPr>
            <w:r>
              <w:rPr>
                <w:rFonts w:ascii="Times New Roman" w:hAnsi="Times New Roman"/>
                <w:sz w:val="22"/>
              </w:rPr>
              <w:t xml:space="preserve">0,0078</w:t>
            </w:r>
          </w:p>
        </w:tc>
        <w:tc>
          <w:tcPr/>
          <w:p>
            <w:pPr>
              <w:pStyle w:val="Compact"/>
              <w:spacing w:line="360" w:lineRule="auto"/>
            </w:pPr>
            <w:r>
              <w:rPr>
                <w:rFonts w:ascii="Times New Roman" w:hAnsi="Times New Roman"/>
                <w:sz w:val="22"/>
              </w:rPr>
              <w:t xml:space="preserve">0,0047</w:t>
            </w:r>
          </w:p>
        </w:tc>
        <w:tc>
          <w:tcPr/>
          <w:p>
            <w:pPr>
              <w:pStyle w:val="Compact"/>
              <w:spacing w:line="360" w:lineRule="auto"/>
            </w:pPr>
            <w:r>
              <w:rPr>
                <w:rFonts w:ascii="Times New Roman" w:hAnsi="Times New Roman"/>
                <w:sz w:val="22"/>
              </w:rPr>
              <w:t xml:space="preserve">0,9719</w:t>
            </w:r>
          </w:p>
        </w:tc>
        <w:tc>
          <w:tcPr/>
          <w:p>
            <w:pPr>
              <w:pStyle w:val="Compact"/>
              <w:spacing w:line="360" w:lineRule="auto"/>
            </w:pPr>
            <w:r>
              <w:rPr>
                <w:rFonts w:ascii="Times New Roman" w:hAnsi="Times New Roman"/>
                <w:sz w:val="22"/>
              </w:rPr>
              <w:t xml:space="preserve">−1,8421</w:t>
            </w:r>
          </w:p>
        </w:tc>
      </w:tr>
      <w:tr>
        <w:tc>
          <w:tcPr/>
          <w:p>
            <w:pPr>
              <w:pStyle w:val="Compact"/>
              <w:spacing w:line="360" w:lineRule="auto"/>
            </w:pPr>
            <w:r>
              <w:rPr>
                <w:rFonts w:ascii="Times New Roman" w:hAnsi="Times New Roman"/>
                <w:sz w:val="22"/>
              </w:rPr>
              <w:t xml:space="preserve">OLS (HAR+macro)</w:t>
            </w:r>
          </w:p>
        </w:tc>
        <w:tc>
          <w:tcPr/>
          <w:p>
            <w:pPr>
              <w:pStyle w:val="Compact"/>
              <w:spacing w:line="360" w:lineRule="auto"/>
            </w:pPr>
            <w:r>
              <w:rPr>
                <w:rFonts w:ascii="Times New Roman" w:hAnsi="Times New Roman"/>
                <w:sz w:val="22"/>
              </w:rPr>
              <w:t xml:space="preserve">0,0084</w:t>
            </w:r>
          </w:p>
        </w:tc>
        <w:tc>
          <w:tcPr/>
          <w:p>
            <w:pPr>
              <w:pStyle w:val="Compact"/>
              <w:spacing w:line="360" w:lineRule="auto"/>
            </w:pPr>
            <w:r>
              <w:rPr>
                <w:rFonts w:ascii="Times New Roman" w:hAnsi="Times New Roman"/>
                <w:sz w:val="22"/>
              </w:rPr>
              <w:t xml:space="preserve">0,0061</w:t>
            </w:r>
          </w:p>
        </w:tc>
        <w:tc>
          <w:tcPr/>
          <w:p>
            <w:pPr>
              <w:pStyle w:val="Compact"/>
              <w:spacing w:line="360" w:lineRule="auto"/>
            </w:pPr>
            <w:r>
              <w:rPr>
                <w:rFonts w:ascii="Times New Roman" w:hAnsi="Times New Roman"/>
                <w:sz w:val="22"/>
              </w:rPr>
              <w:t xml:space="preserve">0,9677</w:t>
            </w:r>
          </w:p>
        </w:tc>
        <w:tc>
          <w:tcPr/>
          <w:p>
            <w:pPr>
              <w:pStyle w:val="Compact"/>
              <w:spacing w:line="360" w:lineRule="auto"/>
            </w:pPr>
            <w:r>
              <w:rPr>
                <w:rFonts w:ascii="Times New Roman" w:hAnsi="Times New Roman"/>
                <w:sz w:val="22"/>
              </w:rPr>
              <w:t xml:space="preserve">−1,8416</w:t>
            </w:r>
          </w:p>
        </w:tc>
      </w:tr>
      <w:tr>
        <w:tc>
          <w:tcPr/>
          <w:p>
            <w:pPr>
              <w:pStyle w:val="Compact"/>
              <w:spacing w:line="360" w:lineRule="auto"/>
            </w:pPr>
            <w:r>
              <w:rPr>
                <w:rFonts w:ascii="Times New Roman" w:hAnsi="Times New Roman"/>
                <w:b/>
                <w:bCs/>
                <w:sz w:val="22"/>
              </w:rPr>
              <w:t xml:space="preserve">Δ RMSE</w:t>
            </w:r>
          </w:p>
        </w:tc>
        <w:tc>
          <w:tcPr/>
          <w:p>
            <w:pPr>
              <w:pStyle w:val="Compact"/>
              <w:spacing w:line="360" w:lineRule="auto"/>
            </w:pPr>
            <w:r>
              <w:rPr>
                <w:rFonts w:ascii="Times New Roman" w:hAnsi="Times New Roman"/>
                <w:b/>
                <w:bCs/>
                <w:sz w:val="22"/>
              </w:rPr>
              <w:t xml:space="preserve">+7,2%</w:t>
            </w:r>
          </w:p>
        </w:tc>
        <w:tc>
          <w:tcPr/>
          <w:p>
            <w:pPr>
              <w:pStyle w:val="Compact"/>
              <w:spacing w:line="360" w:lineRule="auto"/>
            </w:pPr>
          </w:p>
        </w:tc>
        <w:tc>
          <w:tcPr/>
          <w:p>
            <w:pPr>
              <w:pStyle w:val="Compact"/>
              <w:spacing w:line="360" w:lineRule="auto"/>
            </w:pPr>
          </w:p>
        </w:tc>
        <w:tc>
          <w:tcPr/>
          <w:p>
            <w:pPr>
              <w:pStyle w:val="Compact"/>
              <w:spacing w:line="360" w:lineRule="auto"/>
            </w:pPr>
          </w:p>
        </w:tc>
      </w:tr>
    </w:tbl>
    <w:p>
      <w:pPr>
        <w:pStyle w:val="BodyText"/>
        <w:spacing w:line="360" w:lineRule="auto" w:before="0" w:after="120"/>
        <w:jc w:val="both"/>
      </w:pPr>
      <w:r>
        <w:rPr>
          <w:rFonts w:ascii="Times New Roman" w:hAnsi="Times New Roman"/>
          <w:b/>
          <w:bCs/>
          <w:sz w:val="24"/>
        </w:rPr>
        <w:t xml:space="preserve">XGBoost — HAR solo vs. HAR+macro: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shd w:fill="404040"/>
          </w:tcPr>
          <w:p>
            <w:pPr>
              <w:pStyle w:val="Compact"/>
              <w:jc w:val="center"/>
            </w:pPr>
            <w:r>
              <w:rPr>
                <w:rFonts w:ascii="Times New Roman" w:hAnsi="Times New Roman"/>
                <w:b/>
                <w:color w:val="FFFFFF"/>
                <w:sz w:val="22"/>
              </w:rPr>
              <w:t xml:space="preserve">Configuración</w:t>
            </w:r>
          </w:p>
        </w:tc>
        <w:tc>
          <w:tcPr>
            <w:shd w:fill="404040"/>
          </w:tcPr>
          <w:p>
            <w:pPr>
              <w:pStyle w:val="Compact"/>
              <w:jc w:val="center"/>
            </w:pPr>
            <w:r>
              <w:rPr>
                <w:rFonts w:ascii="Times New Roman" w:hAnsi="Times New Roman"/>
                <w:b/>
                <w:color w:val="FFFFFF"/>
                <w:sz w:val="22"/>
              </w:rPr>
              <w:t xml:space="preserve">RMSE</w:t>
            </w:r>
          </w:p>
        </w:tc>
        <w:tc>
          <w:tcPr>
            <w:shd w:fill="404040"/>
          </w:tcPr>
          <w:p>
            <w:pPr>
              <w:pStyle w:val="Compact"/>
              <w:jc w:val="center"/>
            </w:pPr>
            <w:r>
              <w:rPr>
                <w:rFonts w:ascii="Times New Roman" w:hAnsi="Times New Roman"/>
                <w:b/>
                <w:color w:val="FFFFFF"/>
                <w:sz w:val="22"/>
              </w:rPr>
              <w:t xml:space="preserve">MAE</w:t>
            </w:r>
          </w:p>
        </w:tc>
        <w:tc>
          <w:tcPr>
            <w:shd w:fill="404040"/>
          </w:tcPr>
          <w:p>
            <w:pPr>
              <w:pStyle w:val="Compact"/>
              <w:jc w:val="center"/>
            </w:pPr>
            <w:r>
              <w:rPr>
                <w:rFonts w:ascii="Times New Roman" w:hAnsi="Times New Roman"/>
                <w:b/>
                <w:color w:val="FFFFFF"/>
                <w:sz w:val="22"/>
              </w:rPr>
              <w:t xml:space="preserve">R²</w:t>
            </w:r>
          </w:p>
        </w:tc>
        <w:tc>
          <w:tcPr>
            <w:shd w:fill="404040"/>
          </w:tcPr>
          <w:p>
            <w:pPr>
              <w:pStyle w:val="Compact"/>
              <w:jc w:val="center"/>
            </w:pPr>
            <w:r>
              <w:rPr>
                <w:rFonts w:ascii="Times New Roman" w:hAnsi="Times New Roman"/>
                <w:b/>
                <w:color w:val="FFFFFF"/>
                <w:sz w:val="22"/>
              </w:rPr>
              <w:t xml:space="preserve">QLIKE</w:t>
            </w:r>
          </w:p>
        </w:tc>
      </w:tr>
      <w:tr>
        <w:tc>
          <w:tcPr/>
          <w:p>
            <w:pPr>
              <w:pStyle w:val="Compact"/>
              <w:spacing w:line="360" w:lineRule="auto"/>
            </w:pPr>
            <w:r>
              <w:rPr>
                <w:rFonts w:ascii="Times New Roman" w:hAnsi="Times New Roman"/>
                <w:sz w:val="22"/>
              </w:rPr>
              <w:t xml:space="preserve">XGBoost (HAR solo)</w:t>
            </w:r>
          </w:p>
        </w:tc>
        <w:tc>
          <w:tcPr/>
          <w:p>
            <w:pPr>
              <w:pStyle w:val="Compact"/>
              <w:spacing w:line="360" w:lineRule="auto"/>
            </w:pPr>
            <w:r>
              <w:rPr>
                <w:rFonts w:ascii="Times New Roman" w:hAnsi="Times New Roman"/>
                <w:sz w:val="22"/>
              </w:rPr>
              <w:t xml:space="preserve">0,0096</w:t>
            </w:r>
          </w:p>
        </w:tc>
        <w:tc>
          <w:tcPr/>
          <w:p>
            <w:pPr>
              <w:pStyle w:val="Compact"/>
              <w:spacing w:line="360" w:lineRule="auto"/>
            </w:pPr>
            <w:r>
              <w:rPr>
                <w:rFonts w:ascii="Times New Roman" w:hAnsi="Times New Roman"/>
                <w:sz w:val="22"/>
              </w:rPr>
              <w:t xml:space="preserve">0,0057</w:t>
            </w:r>
          </w:p>
        </w:tc>
        <w:tc>
          <w:tcPr/>
          <w:p>
            <w:pPr>
              <w:pStyle w:val="Compact"/>
              <w:spacing w:line="360" w:lineRule="auto"/>
            </w:pPr>
            <w:r>
              <w:rPr>
                <w:rFonts w:ascii="Times New Roman" w:hAnsi="Times New Roman"/>
                <w:sz w:val="22"/>
              </w:rPr>
              <w:t xml:space="preserve">0,9582</w:t>
            </w:r>
          </w:p>
        </w:tc>
        <w:tc>
          <w:tcPr/>
          <w:p>
            <w:pPr>
              <w:pStyle w:val="Compact"/>
              <w:spacing w:line="360" w:lineRule="auto"/>
            </w:pPr>
            <w:r>
              <w:rPr>
                <w:rFonts w:ascii="Times New Roman" w:hAnsi="Times New Roman"/>
                <w:sz w:val="22"/>
              </w:rPr>
              <w:t xml:space="preserve">−1,8414</w:t>
            </w:r>
          </w:p>
        </w:tc>
      </w:tr>
      <w:tr>
        <w:tc>
          <w:tcPr/>
          <w:p>
            <w:pPr>
              <w:pStyle w:val="Compact"/>
              <w:spacing w:line="360" w:lineRule="auto"/>
            </w:pPr>
            <w:r>
              <w:rPr>
                <w:rFonts w:ascii="Times New Roman" w:hAnsi="Times New Roman"/>
                <w:sz w:val="22"/>
              </w:rPr>
              <w:t xml:space="preserve">XGBoost (HAR+macro)</w:t>
            </w:r>
          </w:p>
        </w:tc>
        <w:tc>
          <w:tcPr/>
          <w:p>
            <w:pPr>
              <w:pStyle w:val="Compact"/>
              <w:spacing w:line="360" w:lineRule="auto"/>
            </w:pPr>
            <w:r>
              <w:rPr>
                <w:rFonts w:ascii="Times New Roman" w:hAnsi="Times New Roman"/>
                <w:sz w:val="22"/>
              </w:rPr>
              <w:t xml:space="preserve">0,0082</w:t>
            </w:r>
          </w:p>
        </w:tc>
        <w:tc>
          <w:tcPr/>
          <w:p>
            <w:pPr>
              <w:pStyle w:val="Compact"/>
              <w:spacing w:line="360" w:lineRule="auto"/>
            </w:pPr>
            <w:r>
              <w:rPr>
                <w:rFonts w:ascii="Times New Roman" w:hAnsi="Times New Roman"/>
                <w:sz w:val="22"/>
              </w:rPr>
              <w:t xml:space="preserve">0,0052</w:t>
            </w:r>
          </w:p>
        </w:tc>
        <w:tc>
          <w:tcPr/>
          <w:p>
            <w:pPr>
              <w:pStyle w:val="Compact"/>
              <w:spacing w:line="360" w:lineRule="auto"/>
            </w:pPr>
            <w:r>
              <w:rPr>
                <w:rFonts w:ascii="Times New Roman" w:hAnsi="Times New Roman"/>
                <w:sz w:val="22"/>
              </w:rPr>
              <w:t xml:space="preserve">0,9691</w:t>
            </w:r>
          </w:p>
        </w:tc>
        <w:tc>
          <w:tcPr/>
          <w:p>
            <w:pPr>
              <w:pStyle w:val="Compact"/>
              <w:spacing w:line="360" w:lineRule="auto"/>
            </w:pPr>
            <w:r>
              <w:rPr>
                <w:rFonts w:ascii="Times New Roman" w:hAnsi="Times New Roman"/>
                <w:sz w:val="22"/>
              </w:rPr>
              <w:t xml:space="preserve">−1,8419</w:t>
            </w:r>
          </w:p>
        </w:tc>
      </w:tr>
      <w:tr>
        <w:tc>
          <w:tcPr/>
          <w:p>
            <w:pPr>
              <w:pStyle w:val="Compact"/>
              <w:spacing w:line="360" w:lineRule="auto"/>
            </w:pPr>
            <w:r>
              <w:rPr>
                <w:rFonts w:ascii="Times New Roman" w:hAnsi="Times New Roman"/>
                <w:b/>
                <w:bCs/>
                <w:sz w:val="22"/>
              </w:rPr>
              <w:t xml:space="preserve">Δ RMSE</w:t>
            </w:r>
          </w:p>
        </w:tc>
        <w:tc>
          <w:tcPr/>
          <w:p>
            <w:pPr>
              <w:pStyle w:val="Compact"/>
              <w:spacing w:line="360" w:lineRule="auto"/>
            </w:pPr>
            <w:r>
              <w:rPr>
                <w:rFonts w:ascii="Times New Roman" w:hAnsi="Times New Roman"/>
                <w:b/>
                <w:bCs/>
                <w:sz w:val="22"/>
              </w:rPr>
              <w:t xml:space="preserve">−14,1%</w:t>
            </w:r>
          </w:p>
        </w:tc>
        <w:tc>
          <w:tcPr/>
          <w:p>
            <w:pPr>
              <w:pStyle w:val="Compact"/>
              <w:spacing w:line="360" w:lineRule="auto"/>
            </w:pPr>
          </w:p>
        </w:tc>
        <w:tc>
          <w:tcPr/>
          <w:p>
            <w:pPr>
              <w:pStyle w:val="Compact"/>
              <w:spacing w:line="360" w:lineRule="auto"/>
            </w:pPr>
          </w:p>
        </w:tc>
        <w:tc>
          <w:tcPr/>
          <w:p>
            <w:pPr>
              <w:pStyle w:val="Compact"/>
              <w:spacing w:line="360" w:lineRule="auto"/>
            </w:pPr>
          </w:p>
        </w:tc>
      </w:tr>
    </w:tbl>
    <w:bookmarkEnd w:id="38"/>
    <w:bookmarkStart w:id="39" w:name="interpretación"/>
    <w:p>
      <w:pPr>
        <w:pStyle w:val="Heading3"/>
        <w:spacing w:line="360" w:lineRule="auto" w:before="0" w:after="120"/>
        <w:jc w:val="both"/>
      </w:pPr>
      <w:r>
        <w:rPr>
          <w:rFonts w:ascii="Times New Roman" w:hAnsi="Times New Roman"/>
          <w:sz w:val="24"/>
        </w:rPr>
        <w:t xml:space="preserve">9.2. Interpretación</w:t>
      </w:r>
    </w:p>
    <w:p>
      <w:pPr>
        <w:pStyle w:val="FirstParagraph"/>
        <w:spacing w:line="360" w:lineRule="auto" w:before="0" w:after="120"/>
        <w:jc w:val="both"/>
      </w:pPr>
      <w:r>
        <w:rPr>
          <w:rFonts w:ascii="Times New Roman" w:hAnsi="Times New Roman"/>
          <w:sz w:val="24"/>
        </w:rPr>
        <w:t xml:space="preserve">El resultado más relevante del análisis emerge aquí:</w:t>
      </w:r>
      <w:r>
        <w:rPr>
          <w:rFonts w:ascii="Times New Roman" w:hAnsi="Times New Roman"/>
          <w:sz w:val="24"/>
        </w:rPr>
        <w:t xml:space="preserve"> </w:t>
      </w:r>
      <w:r>
        <w:rPr>
          <w:rFonts w:ascii="Times New Roman" w:hAnsi="Times New Roman"/>
          <w:b/>
          <w:bCs/>
          <w:sz w:val="24"/>
        </w:rPr>
        <w:t xml:space="preserve">las variables macro empeoran el OLS (+7,2%) pero mejoran significativamente el XGBoost (−14,1%)</w:t>
      </w:r>
      <w:r>
        <w:rPr>
          <w:rFonts w:ascii="Times New Roman" w:hAnsi="Times New Roman"/>
          <w:sz w:val="24"/>
        </w:rPr>
        <w:t xml:space="preserve">. Esta paradoja tiene una explicación clara:</w:t>
      </w:r>
    </w:p>
    <w:p>
      <w:pPr>
        <w:pStyle w:val="Compact"/>
        <w:numPr>
          <w:ilvl w:val="0"/>
          <w:numId w:val="1007"/>
        </w:numPr>
        <w:spacing w:line="360" w:lineRule="auto" w:before="0" w:after="120"/>
        <w:jc w:val="both"/>
      </w:pPr>
      <w:r>
        <w:rPr>
          <w:rFonts w:ascii="Times New Roman" w:hAnsi="Times New Roman"/>
          <w:sz w:val="24"/>
        </w:rPr>
        <w:t xml:space="preserve">En el</w:t>
      </w:r>
      <w:r>
        <w:rPr>
          <w:rFonts w:ascii="Times New Roman" w:hAnsi="Times New Roman"/>
          <w:sz w:val="24"/>
        </w:rPr>
        <w:t xml:space="preserve"> </w:t>
      </w:r>
      <w:r>
        <w:rPr>
          <w:rFonts w:ascii="Times New Roman" w:hAnsi="Times New Roman"/>
          <w:b/>
          <w:bCs/>
          <w:sz w:val="24"/>
        </w:rPr>
        <w:t xml:space="preserve">OLS</w:t>
      </w:r>
      <w:r>
        <w:rPr>
          <w:rFonts w:ascii="Times New Roman" w:hAnsi="Times New Roman"/>
          <w:sz w:val="24"/>
        </w:rPr>
        <w:t xml:space="preserve">, las variables macro introducen multicolinealidad (VIX-VSTOXX: 0,93; Euribor 3M-6M: 0,99) que infla la varianza de los coeficientes. Al ser lineal, no captura interacciones no lineales.</w:t>
      </w:r>
    </w:p>
    <w:p>
      <w:pPr>
        <w:pStyle w:val="Compact"/>
        <w:numPr>
          <w:ilvl w:val="0"/>
          <w:numId w:val="1007"/>
        </w:numPr>
        <w:spacing w:line="360" w:lineRule="auto" w:before="0" w:after="120"/>
        <w:jc w:val="both"/>
      </w:pPr>
      <w:r>
        <w:rPr>
          <w:rFonts w:ascii="Times New Roman" w:hAnsi="Times New Roman"/>
          <w:sz w:val="24"/>
        </w:rPr>
        <w:t xml:space="preserve">En el</w:t>
      </w:r>
      <w:r>
        <w:rPr>
          <w:rFonts w:ascii="Times New Roman" w:hAnsi="Times New Roman"/>
          <w:sz w:val="24"/>
        </w:rPr>
        <w:t xml:space="preserve"> </w:t>
      </w:r>
      <w:r>
        <w:rPr>
          <w:rFonts w:ascii="Times New Roman" w:hAnsi="Times New Roman"/>
          <w:b/>
          <w:bCs/>
          <w:sz w:val="24"/>
        </w:rPr>
        <w:t xml:space="preserve">XGBoost</w:t>
      </w:r>
      <w:r>
        <w:rPr>
          <w:rFonts w:ascii="Times New Roman" w:hAnsi="Times New Roman"/>
          <w:sz w:val="24"/>
        </w:rPr>
        <w:t xml:space="preserve">, los árboles son</w:t>
      </w:r>
      <w:r>
        <w:rPr>
          <w:rFonts w:ascii="Times New Roman" w:hAnsi="Times New Roman"/>
          <w:sz w:val="24"/>
        </w:rPr>
        <w:t xml:space="preserve"> </w:t>
      </w:r>
      <w:r>
        <w:rPr>
          <w:rFonts w:ascii="Times New Roman" w:hAnsi="Times New Roman"/>
          <w:b/>
          <w:bCs/>
          <w:sz w:val="24"/>
        </w:rPr>
        <w:t xml:space="preserve">invariantes a multicolinealidad</w:t>
      </w:r>
      <w:r>
        <w:rPr>
          <w:rFonts w:ascii="Times New Roman" w:hAnsi="Times New Roman"/>
          <w:sz w:val="24"/>
        </w:rPr>
        <w:t xml:space="preserve"> </w:t>
      </w:r>
      <w:r>
        <w:rPr>
          <w:rFonts w:ascii="Times New Roman" w:hAnsi="Times New Roman"/>
          <w:sz w:val="24"/>
        </w:rPr>
        <w:t xml:space="preserve">y capturan interacciones no lineales naturalmente. El efecto del VIX es no proporcional: un VIX de 15→25 tiene menor impacto que 25→35.</w:t>
      </w:r>
    </w:p>
    <w:p>
      <w:pPr>
        <w:pStyle w:val="FirstParagraph"/>
        <w:spacing w:line="360" w:lineRule="auto" w:before="0" w:after="120"/>
        <w:jc w:val="both"/>
      </w:pPr>
      <w:r>
        <w:rPr>
          <w:rFonts w:ascii="Times New Roman" w:hAnsi="Times New Roman"/>
          <w:b/>
          <w:bCs/>
          <w:sz w:val="24"/>
        </w:rPr>
        <w:t xml:space="preserve">Conclusión:</w:t>
      </w:r>
      <w:r>
        <w:rPr>
          <w:rFonts w:ascii="Times New Roman" w:hAnsi="Times New Roman"/>
          <w:sz w:val="24"/>
        </w:rPr>
        <w:t xml:space="preserve"> </w:t>
      </w:r>
      <w:r>
        <w:rPr>
          <w:rFonts w:ascii="Times New Roman" w:hAnsi="Times New Roman"/>
          <w:sz w:val="24"/>
        </w:rPr>
        <w:t xml:space="preserve">las variables macroeconómicas contienen información predictiva genuina, pero su relación es</w:t>
      </w:r>
      <w:r>
        <w:rPr>
          <w:rFonts w:ascii="Times New Roman" w:hAnsi="Times New Roman"/>
          <w:sz w:val="24"/>
        </w:rPr>
        <w:t xml:space="preserve"> </w:t>
      </w:r>
      <w:r>
        <w:rPr>
          <w:rFonts w:ascii="Times New Roman" w:hAnsi="Times New Roman"/>
          <w:b/>
          <w:bCs/>
          <w:sz w:val="24"/>
        </w:rPr>
        <w:t xml:space="preserve">no lineal</w:t>
      </w:r>
      <w:r>
        <w:rPr>
          <w:rFonts w:ascii="Times New Roman" w:hAnsi="Times New Roman"/>
          <w:sz w:val="24"/>
        </w:rPr>
        <w:t xml:space="preserve">. Solo un modelo capaz de capturar estas no linealidades (XGBoost) aprovecha esa señal.</w:t>
      </w:r>
    </w:p>
    <w:bookmarkEnd w:id="39"/>
    <w:bookmarkEnd w:id="40"/>
    <w:bookmarkStart w:id="48" w:name="Xda6479407831ffe13a5648dd7726a590a292c29"/>
    <w:p>
      <w:pPr>
        <w:pStyle w:val="Heading2"/>
        <w:spacing w:line="360" w:lineRule="auto" w:before="0" w:after="120"/>
        <w:jc w:val="both"/>
      </w:pPr>
      <w:r>
        <w:rPr>
          <w:rFonts w:ascii="Times New Roman" w:hAnsi="Times New Roman"/>
          <w:sz w:val="24"/>
        </w:rPr>
        <w:t xml:space="preserve">10. Event Study: impacto de publicaciones macroeconómicas</w:t>
      </w:r>
    </w:p>
    <w:bookmarkStart w:id="41" w:name="motivación-y-metodología"/>
    <w:p>
      <w:pPr>
        <w:pStyle w:val="Heading3"/>
        <w:spacing w:line="360" w:lineRule="auto" w:before="0" w:after="120"/>
        <w:jc w:val="both"/>
      </w:pPr>
      <w:r>
        <w:rPr>
          <w:rFonts w:ascii="Times New Roman" w:hAnsi="Times New Roman"/>
          <w:sz w:val="24"/>
        </w:rPr>
        <w:t xml:space="preserve">10.1. Motivación y metodología</w:t>
      </w:r>
    </w:p>
    <w:p>
      <w:pPr>
        <w:pStyle w:val="FirstParagraph"/>
        <w:spacing w:line="360" w:lineRule="auto" w:before="0" w:after="120"/>
        <w:jc w:val="both"/>
      </w:pPr>
      <w:r>
        <w:rPr>
          <w:rFonts w:ascii="Times New Roman" w:hAnsi="Times New Roman"/>
          <w:sz w:val="24"/>
        </w:rPr>
        <w:t xml:space="preserve">Los modelos predictivos trabajan con</w:t>
      </w:r>
      <w:r>
        <w:rPr>
          <w:rFonts w:ascii="Times New Roman" w:hAnsi="Times New Roman"/>
          <w:sz w:val="24"/>
        </w:rPr>
        <w:t xml:space="preserve"> </w:t>
      </w:r>
      <w:r>
        <w:rPr>
          <w:rFonts w:ascii="Times New Roman" w:hAnsi="Times New Roman"/>
          <w:b/>
          <w:bCs/>
          <w:sz w:val="24"/>
        </w:rPr>
        <w:t xml:space="preserve">niveles</w:t>
      </w:r>
      <w:r>
        <w:rPr>
          <w:rFonts w:ascii="Times New Roman" w:hAnsi="Times New Roman"/>
          <w:sz w:val="24"/>
        </w:rPr>
        <w:t xml:space="preserve"> </w:t>
      </w:r>
      <w:r>
        <w:rPr>
          <w:rFonts w:ascii="Times New Roman" w:hAnsi="Times New Roman"/>
          <w:sz w:val="24"/>
        </w:rPr>
        <w:t xml:space="preserve">de variables macro (forward-filled). El Event Study complementa el análisis respondiendo:</w:t>
      </w:r>
      <w:r>
        <w:rPr>
          <w:rFonts w:ascii="Times New Roman" w:hAnsi="Times New Roman"/>
          <w:sz w:val="24"/>
        </w:rPr>
        <w:t xml:space="preserve"> </w:t>
      </w:r>
      <w:r>
        <w:rPr>
          <w:rFonts w:ascii="Times New Roman" w:hAnsi="Times New Roman"/>
          <w:i/>
          <w:iCs/>
          <w:sz w:val="24"/>
        </w:rPr>
        <w:t xml:space="preserve">¿generan las publicaciones macro shocks puntuales de volatilidad?</w:t>
      </w:r>
    </w:p>
    <w:p>
      <w:pPr>
        <w:pStyle w:val="BodyText"/>
        <w:spacing w:line="360" w:lineRule="auto" w:before="0" w:after="120"/>
        <w:jc w:val="both"/>
      </w:pPr>
      <w:r>
        <w:rPr>
          <w:rFonts w:ascii="Times New Roman" w:hAnsi="Times New Roman"/>
          <w:b/>
          <w:bCs/>
          <w:sz w:val="24"/>
        </w:rPr>
        <w:t xml:space="preserve">Metodología:</w:t>
      </w:r>
      <w:r>
        <w:rPr>
          <w:rFonts w:ascii="Times New Roman" w:hAnsi="Times New Roman"/>
          <w:sz w:val="24"/>
        </w:rPr>
        <w:t xml:space="preserve"> </w:t>
      </w:r>
      <w:r>
        <w:rPr>
          <w:rFonts w:ascii="Times New Roman" w:hAnsi="Times New Roman"/>
          <w:sz w:val="24"/>
        </w:rPr>
        <w:t xml:space="preserve">1.</w:t>
      </w:r>
      <w:r>
        <w:rPr>
          <w:rFonts w:ascii="Times New Roman" w:hAnsi="Times New Roman"/>
          <w:sz w:val="24"/>
        </w:rPr>
        <w:t xml:space="preserve"> </w:t>
      </w:r>
      <w:r>
        <w:rPr>
          <w:rFonts w:ascii="Times New Roman" w:hAnsi="Times New Roman"/>
          <w:b/>
          <w:bCs/>
          <w:sz w:val="24"/>
        </w:rPr>
        <w:t xml:space="preserve">Identificación de eventos</w:t>
      </w:r>
      <w:r>
        <w:rPr>
          <w:rFonts w:ascii="Times New Roman" w:hAnsi="Times New Roman"/>
          <w:sz w:val="24"/>
        </w:rPr>
        <w:t xml:space="preserve">: un evento ocurre cuando una variable macro cambia de valor (</w:t>
      </w:r>
      <m:oMath>
        <m:r>
          <m:rPr>
            <m:sty m:val="p"/>
          </m:rPr>
          <m:t>Δ</m:t>
        </m:r>
        <m:r>
          <m:rPr>
            <m:nor/>
            <m:sty m:val="p"/>
          </m:rPr>
          <m:t>macro</m:t>
        </m:r>
        <m:r>
          <m:rPr>
            <m:sty m:val="p"/>
          </m:rPr>
          <m:t>≠</m:t>
        </m:r>
        <m:r>
          <m:t>0</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2.</w:t>
      </w:r>
      <w:r>
        <w:rPr>
          <w:rFonts w:ascii="Times New Roman" w:hAnsi="Times New Roman"/>
          <w:sz w:val="24"/>
        </w:rPr>
        <w:t xml:space="preserve"> </w:t>
      </w:r>
      <w:r>
        <w:rPr>
          <w:rFonts w:ascii="Times New Roman" w:hAnsi="Times New Roman"/>
          <w:b/>
          <w:bCs/>
          <w:sz w:val="24"/>
        </w:rPr>
        <w:t xml:space="preserve">Medida de volatilidad diaria</w:t>
      </w:r>
      <w:r>
        <w:rPr>
          <w:rFonts w:ascii="Times New Roman" w:hAnsi="Times New Roman"/>
          <w:sz w:val="24"/>
        </w:rPr>
        <w:t xml:space="preserve">:</w:t>
      </w:r>
      <w:r>
        <w:rPr>
          <w:rFonts w:ascii="Times New Roman" w:hAnsi="Times New Roman"/>
          <w:sz w:val="24"/>
        </w:rPr>
        <w:t xml:space="preserve"> </w:t>
      </w:r>
      <m:oMath>
        <m:r>
          <m:rPr>
            <m:sty m:val="p"/>
          </m:rPr>
          <m:t>|</m:t>
        </m:r>
        <m:r>
          <m:rPr>
            <m:nor/>
            <m:sty m:val="p"/>
          </m:rPr>
          <m:t>log_ret</m:t>
        </m:r>
        <m:r>
          <m:rPr>
            <m:sty m:val="p"/>
          </m:rPr>
          <m:t>|</m:t>
        </m:r>
      </m:oMath>
      <w:r>
        <w:rPr>
          <w:rFonts w:ascii="Times New Roman" w:hAnsi="Times New Roman"/>
          <w:sz w:val="24"/>
        </w:rPr>
        <w:t xml:space="preserve"> </w:t>
      </w:r>
      <w:r>
        <w:rPr>
          <w:rFonts w:ascii="Times New Roman" w:hAnsi="Times New Roman"/>
          <w:sz w:val="24"/>
        </w:rPr>
        <w:t xml:space="preserve">(retorno absoluto).</w:t>
      </w:r>
      <w:r>
        <w:rPr>
          <w:rFonts w:ascii="Times New Roman" w:hAnsi="Times New Roman"/>
          <w:sz w:val="24"/>
        </w:rPr>
        <w:t xml:space="preserve"> </w:t>
      </w:r>
      <w:r>
        <w:rPr>
          <w:rFonts w:ascii="Times New Roman" w:hAnsi="Times New Roman"/>
          <w:sz w:val="24"/>
        </w:rPr>
        <w:t xml:space="preserve">3.</w:t>
      </w:r>
      <w:r>
        <w:rPr>
          <w:rFonts w:ascii="Times New Roman" w:hAnsi="Times New Roman"/>
          <w:sz w:val="24"/>
        </w:rPr>
        <w:t xml:space="preserve"> </w:t>
      </w:r>
      <w:r>
        <w:rPr>
          <w:rFonts w:ascii="Times New Roman" w:hAnsi="Times New Roman"/>
          <w:b/>
          <w:bCs/>
          <w:sz w:val="24"/>
        </w:rPr>
        <w:t xml:space="preserve">Volatilidad anormal</w:t>
      </w:r>
      <w:r>
        <w:rPr>
          <w:rFonts w:ascii="Times New Roman" w:hAnsi="Times New Roman"/>
          <w:sz w:val="24"/>
        </w:rPr>
        <w:t xml:space="preserve">:</w:t>
      </w:r>
      <w:r>
        <w:rPr>
          <w:rFonts w:ascii="Times New Roman" w:hAnsi="Times New Roman"/>
          <w:sz w:val="24"/>
        </w:rPr>
        <w:t xml:space="preserve"> </w:t>
      </w:r>
      <m:oMath>
        <m:r>
          <m:rPr>
            <m:nor/>
            <m:sty m:val="p"/>
          </m:rPr>
          <m:t>VA</m:t>
        </m:r>
        <m:r>
          <m:rPr>
            <m:sty m:val="p"/>
          </m:rPr>
          <m:t>=</m:t>
        </m:r>
        <m:r>
          <m:rPr>
            <m:sty m:val="p"/>
          </m:rPr>
          <m:t>|</m:t>
        </m:r>
        <m:r>
          <m:rPr>
            <m:nor/>
            <m:sty m:val="p"/>
          </m:rPr>
          <m:t>log_ret</m:t>
        </m:r>
        <m:sSub>
          <m:e>
            <m:r>
              <m:rPr>
                <m:sty m:val="p"/>
              </m:rPr>
              <m:t>|</m:t>
            </m:r>
          </m:e>
          <m:sub>
            <m:r>
              <m:rPr>
                <m:nor/>
                <m:sty m:val="p"/>
              </m:rPr>
              <m:t>evento</m:t>
            </m:r>
          </m:sub>
        </m:sSub>
        <m:r>
          <m:rPr>
            <m:sty m:val="p"/>
          </m:rPr>
          <m:t>−</m:t>
        </m:r>
        <m:r>
          <m:rPr>
            <m:nor/>
            <m:sty m:val="p"/>
          </m:rPr>
          <m:t>mediana</m:t>
        </m:r>
        <m:r>
          <m:rPr>
            <m:sty m:val="p"/>
          </m:rPr>
          <m:t>(</m:t>
        </m:r>
        <m:r>
          <m:rPr>
            <m:sty m:val="p"/>
          </m:rPr>
          <m:t>|</m:t>
        </m:r>
        <m:r>
          <m:rPr>
            <m:nor/>
            <m:sty m:val="p"/>
          </m:rPr>
          <m:t>log_ret</m:t>
        </m:r>
        <m:sSub>
          <m:e>
            <m:r>
              <m:rPr>
                <m:sty m:val="p"/>
              </m:rPr>
              <m:t>|</m:t>
            </m:r>
          </m:e>
          <m:sub>
            <m:r>
              <m:rPr>
                <m:sty m:val="p"/>
              </m:rPr>
              <m:t>[</m:t>
            </m:r>
            <m:r>
              <m:rPr>
                <m:sty m:val="p"/>
              </m:rPr>
              <m:t>−</m:t>
            </m:r>
            <m:r>
              <m:t>10</m:t>
            </m:r>
            <m:r>
              <m:rPr>
                <m:sty m:val="p"/>
              </m:rPr>
              <m:t>,</m:t>
            </m:r>
            <m:r>
              <m:rPr>
                <m:sty m:val="p"/>
              </m:rPr>
              <m:t>−</m:t>
            </m:r>
            <m:r>
              <m:t>1</m:t>
            </m:r>
            <m:r>
              <m:rPr>
                <m:sty m:val="p"/>
              </m:rPr>
              <m:t>]</m:t>
            </m:r>
          </m:sub>
        </m:sSub>
        <m:r>
          <m:rPr>
            <m:sty m:val="p"/>
          </m:rPr>
          <m:t>)</m:t>
        </m:r>
      </m:oMath>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4.</w:t>
      </w:r>
      <w:r>
        <w:rPr>
          <w:rFonts w:ascii="Times New Roman" w:hAnsi="Times New Roman"/>
          <w:sz w:val="24"/>
        </w:rPr>
        <w:t xml:space="preserve"> </w:t>
      </w:r>
      <w:r>
        <w:rPr>
          <w:rFonts w:ascii="Times New Roman" w:hAnsi="Times New Roman"/>
          <w:b/>
          <w:bCs/>
          <w:sz w:val="24"/>
        </w:rPr>
        <w:t xml:space="preserve">Tests estadísticos</w:t>
      </w:r>
      <w:r>
        <w:rPr>
          <w:rFonts w:ascii="Times New Roman" w:hAnsi="Times New Roman"/>
          <w:sz w:val="24"/>
        </w:rPr>
        <w:t xml:space="preserve">: Wilcoxon signed-rank, Mann-Whitney, Kruskal-Wallis.</w:t>
      </w:r>
    </w:p>
    <w:bookmarkEnd w:id="41"/>
    <w:bookmarkStart w:id="42" w:name="eventos-identificados"/>
    <w:p>
      <w:pPr>
        <w:pStyle w:val="Heading3"/>
        <w:spacing w:line="360" w:lineRule="auto" w:before="0" w:after="120"/>
        <w:jc w:val="both"/>
      </w:pPr>
      <w:r>
        <w:rPr>
          <w:rFonts w:ascii="Times New Roman" w:hAnsi="Times New Roman"/>
          <w:sz w:val="24"/>
        </w:rPr>
        <w:t xml:space="preserve">10.2. Eventos identificados</w:t>
      </w:r>
    </w:p>
    <w:p>
      <w:pPr>
        <w:pStyle w:val="FirstParagraph"/>
        <w:spacing w:line="360" w:lineRule="auto" w:before="0" w:after="120"/>
        <w:jc w:val="both"/>
      </w:pPr>
      <w:r>
        <w:rPr>
          <w:rFonts w:ascii="Times New Roman" w:hAnsi="Times New Roman"/>
          <w:sz w:val="24"/>
        </w:rPr>
        <w:t xml:space="preserve">Se identifican</w:t>
      </w:r>
      <w:r>
        <w:rPr>
          <w:rFonts w:ascii="Times New Roman" w:hAnsi="Times New Roman"/>
          <w:sz w:val="24"/>
        </w:rPr>
        <w:t xml:space="preserve"> </w:t>
      </w:r>
      <w:r>
        <w:rPr>
          <w:rFonts w:ascii="Times New Roman" w:hAnsi="Times New Roman"/>
          <w:b/>
          <w:bCs/>
          <w:sz w:val="24"/>
        </w:rPr>
        <w:t xml:space="preserve">1.058 eventos</w:t>
      </w:r>
      <w:r>
        <w:rPr>
          <w:rFonts w:ascii="Times New Roman" w:hAnsi="Times New Roman"/>
          <w:sz w:val="24"/>
        </w:rPr>
        <w:t xml:space="preserve"> </w:t>
      </w:r>
      <w:r>
        <w:rPr>
          <w:rFonts w:ascii="Times New Roman" w:hAnsi="Times New Roman"/>
          <w:sz w:val="24"/>
        </w:rPr>
        <w:t xml:space="preserve">distribuidos en 7 indicadores y 3 categorías:</w:t>
      </w:r>
    </w:p>
    <w:tbl>
      <w:tblPr>
        <w:tblStyle w:val="Table"/>
        <w:tblW w:type="auto" w:w="0"/>
        <w:tblLook w:firstRow="1" w:lastRow="0" w:firstColumn="0" w:lastColumn="0" w:noHBand="0" w:noVBand="0" w:val="0020"/>
      </w:tblPr>
      <w:tblGrid>
        <w:gridCol w:w="2640"/>
        <w:gridCol w:w="2640"/>
        <w:gridCol w:w="2640"/>
      </w:tblGrid>
      <w:tr>
        <w:trPr>
          <w:tblHeader w:val="on"/>
        </w:trPr>
        <w:tc>
          <w:tcPr>
            <w:shd w:fill="404040"/>
          </w:tcPr>
          <w:p>
            <w:pPr>
              <w:pStyle w:val="Compact"/>
              <w:jc w:val="center"/>
            </w:pPr>
            <w:r>
              <w:rPr>
                <w:rFonts w:ascii="Times New Roman" w:hAnsi="Times New Roman"/>
                <w:b/>
                <w:color w:val="FFFFFF"/>
                <w:sz w:val="22"/>
              </w:rPr>
              <w:t xml:space="preserve">Categoría</w:t>
            </w:r>
          </w:p>
        </w:tc>
        <w:tc>
          <w:tcPr>
            <w:shd w:fill="404040"/>
          </w:tcPr>
          <w:p>
            <w:pPr>
              <w:pStyle w:val="Compact"/>
              <w:jc w:val="center"/>
            </w:pPr>
            <w:r>
              <w:rPr>
                <w:rFonts w:ascii="Times New Roman" w:hAnsi="Times New Roman"/>
                <w:b/>
                <w:color w:val="FFFFFF"/>
                <w:sz w:val="22"/>
              </w:rPr>
              <w:t xml:space="preserve">Indicadores</w:t>
            </w:r>
          </w:p>
        </w:tc>
        <w:tc>
          <w:tcPr>
            <w:shd w:fill="404040"/>
          </w:tcPr>
          <w:p>
            <w:pPr>
              <w:pStyle w:val="Compact"/>
              <w:jc w:val="center"/>
            </w:pPr>
            <w:r>
              <w:rPr>
                <w:rFonts w:ascii="Times New Roman" w:hAnsi="Times New Roman"/>
                <w:b/>
                <w:color w:val="FFFFFF"/>
                <w:sz w:val="22"/>
              </w:rPr>
              <w:t xml:space="preserve">N.º eventos</w:t>
            </w:r>
          </w:p>
        </w:tc>
      </w:tr>
      <w:tr>
        <w:tc>
          <w:tcPr/>
          <w:p>
            <w:pPr>
              <w:pStyle w:val="Compact"/>
              <w:spacing w:line="360" w:lineRule="auto"/>
            </w:pPr>
            <w:r>
              <w:rPr>
                <w:rFonts w:ascii="Times New Roman" w:hAnsi="Times New Roman"/>
                <w:sz w:val="22"/>
              </w:rPr>
              <w:t xml:space="preserve">Actividad real</w:t>
            </w:r>
          </w:p>
        </w:tc>
        <w:tc>
          <w:tcPr/>
          <w:p>
            <w:pPr>
              <w:pStyle w:val="Compact"/>
              <w:spacing w:line="360" w:lineRule="auto"/>
            </w:pPr>
            <w:r>
              <w:rPr>
                <w:rFonts w:ascii="Times New Roman" w:hAnsi="Times New Roman"/>
                <w:sz w:val="22"/>
              </w:rPr>
              <w:t xml:space="preserve">IPI, Tasa de Paro, PIB YoY</w:t>
            </w:r>
          </w:p>
        </w:tc>
        <w:tc>
          <w:tcPr/>
          <w:p>
            <w:pPr>
              <w:pStyle w:val="Compact"/>
              <w:spacing w:line="360" w:lineRule="auto"/>
            </w:pPr>
            <w:r>
              <w:rPr>
                <w:rFonts w:ascii="Times New Roman" w:hAnsi="Times New Roman"/>
                <w:sz w:val="22"/>
              </w:rPr>
              <w:t xml:space="preserve">398</w:t>
            </w:r>
          </w:p>
        </w:tc>
      </w:tr>
      <w:tr>
        <w:tc>
          <w:tcPr/>
          <w:p>
            <w:pPr>
              <w:pStyle w:val="Compact"/>
              <w:spacing w:line="360" w:lineRule="auto"/>
            </w:pPr>
            <w:r>
              <w:rPr>
                <w:rFonts w:ascii="Times New Roman" w:hAnsi="Times New Roman"/>
                <w:sz w:val="22"/>
              </w:rPr>
              <w:t xml:space="preserve">Inflación</w:t>
            </w:r>
          </w:p>
        </w:tc>
        <w:tc>
          <w:tcPr/>
          <w:p>
            <w:pPr>
              <w:pStyle w:val="Compact"/>
              <w:spacing w:line="360" w:lineRule="auto"/>
            </w:pPr>
            <w:r>
              <w:rPr>
                <w:rFonts w:ascii="Times New Roman" w:hAnsi="Times New Roman"/>
                <w:sz w:val="22"/>
              </w:rPr>
              <w:t xml:space="preserve">IPC Subyacente MoM, IPC YoY</w:t>
            </w:r>
          </w:p>
        </w:tc>
        <w:tc>
          <w:tcPr/>
          <w:p>
            <w:pPr>
              <w:pStyle w:val="Compact"/>
              <w:spacing w:line="360" w:lineRule="auto"/>
            </w:pPr>
            <w:r>
              <w:rPr>
                <w:rFonts w:ascii="Times New Roman" w:hAnsi="Times New Roman"/>
                <w:sz w:val="22"/>
              </w:rPr>
              <w:t xml:space="preserve">381</w:t>
            </w:r>
          </w:p>
        </w:tc>
      </w:tr>
      <w:tr>
        <w:tc>
          <w:tcPr/>
          <w:p>
            <w:pPr>
              <w:pStyle w:val="Compact"/>
              <w:spacing w:line="360" w:lineRule="auto"/>
            </w:pPr>
            <w:r>
              <w:rPr>
                <w:rFonts w:ascii="Times New Roman" w:hAnsi="Times New Roman"/>
                <w:sz w:val="22"/>
              </w:rPr>
              <w:t xml:space="preserve">Política monetaria</w:t>
            </w:r>
          </w:p>
        </w:tc>
        <w:tc>
          <w:tcPr/>
          <w:p>
            <w:pPr>
              <w:pStyle w:val="Compact"/>
              <w:spacing w:line="360" w:lineRule="auto"/>
            </w:pPr>
            <w:r>
              <w:rPr>
                <w:rFonts w:ascii="Times New Roman" w:hAnsi="Times New Roman"/>
                <w:sz w:val="22"/>
              </w:rPr>
              <w:t xml:space="preserve">Euribor 3M, Tipo BCE (DFR)</w:t>
            </w:r>
          </w:p>
        </w:tc>
        <w:tc>
          <w:tcPr/>
          <w:p>
            <w:pPr>
              <w:pStyle w:val="Compact"/>
              <w:spacing w:line="360" w:lineRule="auto"/>
            </w:pPr>
            <w:r>
              <w:rPr>
                <w:rFonts w:ascii="Times New Roman" w:hAnsi="Times New Roman"/>
                <w:sz w:val="22"/>
              </w:rPr>
              <w:t xml:space="preserve">279</w:t>
            </w:r>
          </w:p>
        </w:tc>
      </w:tr>
    </w:tbl>
    <w:bookmarkEnd w:id="42"/>
    <w:bookmarkStart w:id="43" w:name="resultado-principal"/>
    <w:p>
      <w:pPr>
        <w:pStyle w:val="Heading3"/>
        <w:spacing w:line="360" w:lineRule="auto" w:before="0" w:after="120"/>
        <w:jc w:val="both"/>
      </w:pPr>
      <w:r>
        <w:rPr>
          <w:rFonts w:ascii="Times New Roman" w:hAnsi="Times New Roman"/>
          <w:sz w:val="24"/>
        </w:rPr>
        <w:t xml:space="preserve">10.3. Resultado principal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fill="404040"/>
          </w:tcPr>
          <w:p>
            <w:pPr>
              <w:pStyle w:val="Compact"/>
              <w:jc w:val="center"/>
            </w:pPr>
            <w:r>
              <w:rPr>
                <w:rFonts w:ascii="Times New Roman" w:hAnsi="Times New Roman"/>
                <w:b/>
                <w:color w:val="FFFFFF"/>
                <w:sz w:val="22"/>
              </w:rPr>
              <w:t xml:space="preserve">Medida</w:t>
            </w:r>
          </w:p>
        </w:tc>
        <w:tc>
          <w:tcPr>
            <w:shd w:fill="404040"/>
          </w:tcPr>
          <w:p>
            <w:pPr>
              <w:pStyle w:val="Compact"/>
              <w:jc w:val="center"/>
            </w:pPr>
            <w:r>
              <w:rPr>
                <w:rFonts w:ascii="Times New Roman" w:hAnsi="Times New Roman"/>
                <w:b/>
                <w:color w:val="FFFFFF"/>
                <w:sz w:val="22"/>
              </w:rPr>
              <w:t xml:space="preserve">Días normales</w:t>
            </w:r>
          </w:p>
        </w:tc>
        <w:tc>
          <w:tcPr>
            <w:shd w:fill="404040"/>
          </w:tcPr>
          <w:p>
            <w:pPr>
              <w:pStyle w:val="Compact"/>
              <w:jc w:val="center"/>
            </w:pPr>
            <w:r>
              <w:rPr>
                <w:rFonts w:ascii="Times New Roman" w:hAnsi="Times New Roman"/>
                <w:b/>
                <w:color w:val="FFFFFF"/>
                <w:sz w:val="22"/>
              </w:rPr>
              <w:t xml:space="preserve">Días de evento</w:t>
            </w:r>
          </w:p>
        </w:tc>
        <w:tc>
          <w:tcPr>
            <w:shd w:fill="404040"/>
          </w:tcPr>
          <w:p>
            <w:pPr>
              <w:pStyle w:val="Compact"/>
              <w:jc w:val="center"/>
            </w:pPr>
            <w:r>
              <w:rPr>
                <w:rFonts w:ascii="Times New Roman" w:hAnsi="Times New Roman"/>
                <w:b/>
                <w:color w:val="FFFFFF"/>
                <w:sz w:val="22"/>
              </w:rPr>
              <w:t xml:space="preserve">Diferencia</w:t>
            </w:r>
          </w:p>
        </w:tc>
      </w:tr>
      <w:tr>
        <w:tc>
          <w:tcPr/>
          <w:p>
            <w:pPr>
              <w:pStyle w:val="Compact"/>
              <w:spacing w:line="360" w:lineRule="auto"/>
            </w:pPr>
            <w:r>
              <w:rPr>
                <w:rFonts w:ascii="Times New Roman" w:hAnsi="Times New Roman"/>
                <w:sz w:val="22"/>
              </w:rPr>
              <w:t xml:space="preserve">Mediana</w:t>
            </w:r>
            <w:r>
              <w:rPr>
                <w:rFonts w:ascii="Times New Roman" w:hAnsi="Times New Roman"/>
                <w:sz w:val="22"/>
              </w:rPr>
              <w:t xml:space="preserve"> </w:t>
            </w:r>
            <m:oMath>
              <m:r>
                <m:rPr>
                  <m:sty m:val="p"/>
                </m:rPr>
                <m:t>∥</m:t>
              </m:r>
              <m:r>
                <m:rPr>
                  <m:nor/>
                  <m:sty m:val="p"/>
                </m:rPr>
                <m:t>log_ret</m:t>
              </m:r>
              <m:r>
                <m:rPr>
                  <m:sty m:val="p"/>
                </m:rPr>
                <m:t>∥</m:t>
              </m:r>
            </m:oMath>
          </w:p>
        </w:tc>
        <w:tc>
          <w:tcPr/>
          <w:p>
            <w:pPr>
              <w:pStyle w:val="Compact"/>
              <w:spacing w:line="360" w:lineRule="auto"/>
            </w:pPr>
            <w:r>
              <w:rPr>
                <w:rFonts w:ascii="Times New Roman" w:hAnsi="Times New Roman"/>
                <w:sz w:val="22"/>
              </w:rPr>
              <w:t xml:space="preserve">0,01191</w:t>
            </w:r>
          </w:p>
        </w:tc>
        <w:tc>
          <w:tcPr/>
          <w:p>
            <w:pPr>
              <w:pStyle w:val="Compact"/>
              <w:spacing w:line="360" w:lineRule="auto"/>
            </w:pPr>
            <w:r>
              <w:rPr>
                <w:rFonts w:ascii="Times New Roman" w:hAnsi="Times New Roman"/>
                <w:sz w:val="22"/>
              </w:rPr>
              <w:t xml:space="preserve">0,01329</w:t>
            </w:r>
          </w:p>
        </w:tc>
        <w:tc>
          <w:tcPr/>
          <w:p>
            <w:pPr>
              <w:pStyle w:val="Compact"/>
              <w:spacing w:line="360" w:lineRule="auto"/>
            </w:pPr>
            <w:r>
              <w:rPr>
                <w:rFonts w:ascii="Times New Roman" w:hAnsi="Times New Roman"/>
                <w:sz w:val="22"/>
              </w:rPr>
              <w:t xml:space="preserve">+11,6%</w:t>
            </w:r>
          </w:p>
        </w:tc>
      </w:tr>
      <w:tr>
        <w:tc>
          <w:tcPr/>
          <w:p>
            <w:pPr>
              <w:pStyle w:val="Compact"/>
              <w:spacing w:line="360" w:lineRule="auto"/>
            </w:pPr>
            <w:r>
              <w:rPr>
                <w:rFonts w:ascii="Times New Roman" w:hAnsi="Times New Roman"/>
                <w:sz w:val="22"/>
              </w:rPr>
              <w:t xml:space="preserve">Mann-Whitney p-valor</w:t>
            </w:r>
          </w:p>
        </w:tc>
        <w:tc>
          <w:tcPr/>
          <w:p>
            <w:pPr>
              <w:pStyle w:val="Compact"/>
              <w:spacing w:line="360" w:lineRule="auto"/>
            </w:pPr>
          </w:p>
        </w:tc>
        <w:tc>
          <w:tcPr/>
          <w:p>
            <w:pPr>
              <w:pStyle w:val="Compact"/>
              <w:spacing w:line="360" w:lineRule="auto"/>
            </w:pPr>
          </w:p>
        </w:tc>
        <w:tc>
          <w:tcPr/>
          <w:p>
            <w:pPr>
              <w:pStyle w:val="Compact"/>
              <w:spacing w:line="360" w:lineRule="auto"/>
            </w:pPr>
            <w:r>
              <w:rPr>
                <w:rFonts w:ascii="Times New Roman" w:hAnsi="Times New Roman"/>
                <w:sz w:val="22"/>
              </w:rPr>
              <w:t xml:space="preserve">0,0000</w:t>
            </w:r>
          </w:p>
        </w:tc>
      </w:tr>
    </w:tbl>
    <w:p>
      <w:pPr>
        <w:pStyle w:val="BodyText"/>
        <w:spacing w:line="360" w:lineRule="auto" w:before="0" w:after="120"/>
        <w:jc w:val="both"/>
      </w:pPr>
      <w:r>
        <w:rPr>
          <w:rFonts w:ascii="Times New Roman" w:hAnsi="Times New Roman"/>
          <w:sz w:val="24"/>
        </w:rPr>
        <w:t xml:space="preserve">Las publicaciones macroeconómicas generan una</w:t>
      </w:r>
      <w:r>
        <w:rPr>
          <w:rFonts w:ascii="Times New Roman" w:hAnsi="Times New Roman"/>
          <w:sz w:val="24"/>
        </w:rPr>
        <w:t xml:space="preserve"> </w:t>
      </w:r>
      <w:r>
        <w:rPr>
          <w:rFonts w:ascii="Times New Roman" w:hAnsi="Times New Roman"/>
          <w:b/>
          <w:bCs/>
          <w:sz w:val="24"/>
        </w:rPr>
        <w:t xml:space="preserve">volatilidad un 11,6% superior</w:t>
      </w:r>
      <w:r>
        <w:rPr>
          <w:rFonts w:ascii="Times New Roman" w:hAnsi="Times New Roman"/>
          <w:sz w:val="24"/>
        </w:rPr>
        <w:t xml:space="preserve"> </w:t>
      </w:r>
      <w:r>
        <w:rPr>
          <w:rFonts w:ascii="Times New Roman" w:hAnsi="Times New Roman"/>
          <w:sz w:val="24"/>
        </w:rPr>
        <w:t xml:space="preserve">a la de los días normales, una diferencia altamente significativa (</w:t>
      </w:r>
      <m:oMath>
        <m:r>
          <m:t>p</m:t>
        </m:r>
        <m:r>
          <m:rPr>
            <m:sty m:val="p"/>
          </m:rPr>
          <m:t>&lt;</m:t>
        </m:r>
        <m:r>
          <m:t>0</m:t>
        </m:r>
        <m:r>
          <m:rPr>
            <m:sty m:val="p"/>
          </m:rPr>
          <m:t>,</m:t>
        </m:r>
        <m:r>
          <m:t>0001</m:t>
        </m:r>
      </m:oMath>
      <w:r>
        <w:rPr>
          <w:rFonts w:ascii="Times New Roman" w:hAnsi="Times New Roman"/>
          <w:sz w:val="24"/>
        </w:rPr>
        <w:t xml:space="preserve">). El 61,9% de los eventos presentan volatilidad anormal positiva.</w:t>
      </w:r>
    </w:p>
    <w:bookmarkEnd w:id="43"/>
    <w:bookmarkStart w:id="44" w:name="impacto-por-indicador"/>
    <w:p>
      <w:pPr>
        <w:pStyle w:val="Heading3"/>
        <w:spacing w:line="360" w:lineRule="auto" w:before="0" w:after="120"/>
        <w:jc w:val="both"/>
      </w:pPr>
      <w:r>
        <w:rPr>
          <w:rFonts w:ascii="Times New Roman" w:hAnsi="Times New Roman"/>
          <w:sz w:val="24"/>
        </w:rPr>
        <w:t xml:space="preserve">10.4. Impacto por indicador</w:t>
      </w:r>
    </w:p>
    <w:tbl>
      <w:tblPr>
        <w:tblStyle w:val="Table"/>
        <w:tblW w:type="pct" w:w="5000"/>
        <w:tblLayout w:type="fixed"/>
        <w:tblLook w:firstRow="1" w:lastRow="0" w:firstColumn="0" w:lastColumn="0" w:noHBand="0" w:noVBand="0" w:val="0020"/>
      </w:tblPr>
      <w:tblGrid>
        <w:gridCol w:w="1281"/>
        <w:gridCol w:w="1281"/>
        <w:gridCol w:w="349"/>
        <w:gridCol w:w="1048"/>
        <w:gridCol w:w="2212"/>
        <w:gridCol w:w="1747"/>
      </w:tblGrid>
      <w:tr>
        <w:trPr>
          <w:tblHeader w:val="on"/>
        </w:trPr>
        <w:tc>
          <w:tcPr>
            <w:shd w:fill="404040"/>
          </w:tcPr>
          <w:p>
            <w:pPr>
              <w:pStyle w:val="Compact"/>
              <w:jc w:val="center"/>
            </w:pPr>
            <w:r>
              <w:rPr>
                <w:rFonts w:ascii="Times New Roman" w:hAnsi="Times New Roman"/>
                <w:b/>
                <w:color w:val="FFFFFF"/>
                <w:sz w:val="22"/>
              </w:rPr>
              <w:t xml:space="preserve">Indicador</w:t>
            </w:r>
          </w:p>
        </w:tc>
        <w:tc>
          <w:tcPr>
            <w:shd w:fill="404040"/>
          </w:tcPr>
          <w:p>
            <w:pPr>
              <w:pStyle w:val="Compact"/>
              <w:jc w:val="center"/>
            </w:pPr>
            <w:r>
              <w:rPr>
                <w:rFonts w:ascii="Times New Roman" w:hAnsi="Times New Roman"/>
                <w:b/>
                <w:color w:val="FFFFFF"/>
                <w:sz w:val="22"/>
              </w:rPr>
              <w:t xml:space="preserve">Categoría</w:t>
            </w:r>
          </w:p>
        </w:tc>
        <w:tc>
          <w:tcPr>
            <w:shd w:fill="404040"/>
          </w:tcPr>
          <w:p>
            <w:pPr>
              <w:pStyle w:val="Compact"/>
              <w:jc w:val="center"/>
            </w:pPr>
            <w:r>
              <w:rPr>
                <w:rFonts w:ascii="Times New Roman" w:hAnsi="Times New Roman"/>
                <w:b/>
                <w:color w:val="FFFFFF"/>
                <w:sz w:val="22"/>
              </w:rPr>
              <w:t xml:space="preserve">N</w:t>
            </w:r>
          </w:p>
        </w:tc>
        <w:tc>
          <w:tcPr>
            <w:shd w:fill="404040"/>
          </w:tcPr>
          <w:p>
            <w:pPr>
              <w:pStyle w:val="Compact"/>
              <w:jc w:val="center"/>
            </w:pPr>
            <w:r>
              <w:rPr>
                <w:rFonts w:ascii="Times New Roman" w:hAnsi="Times New Roman"/>
                <w:b/>
                <w:color w:val="FFFFFF"/>
                <w:sz w:val="22"/>
              </w:rPr>
              <w:t xml:space="preserve">VA media</w:t>
            </w:r>
          </w:p>
        </w:tc>
        <w:tc>
          <w:tcPr>
            <w:shd w:fill="404040"/>
          </w:tcPr>
          <w:p>
            <w:pPr>
              <w:pStyle w:val="Compact"/>
              <w:jc w:val="center"/>
            </w:pPr>
            <w:r>
              <w:rPr>
                <w:rFonts w:ascii="Times New Roman" w:hAnsi="Times New Roman"/>
                <w:b/>
                <w:color w:val="FFFFFF"/>
                <w:sz w:val="22"/>
              </w:rPr>
              <w:t xml:space="preserve">p-valor (Wilcoxon)</w:t>
            </w:r>
          </w:p>
        </w:tc>
        <w:tc>
          <w:tcPr>
            <w:shd w:fill="404040"/>
          </w:tcPr>
          <w:p>
            <w:pPr>
              <w:pStyle w:val="Compact"/>
              <w:jc w:val="center"/>
            </w:pPr>
            <w:r>
              <w:rPr>
                <w:rFonts w:ascii="Times New Roman" w:hAnsi="Times New Roman"/>
                <w:b/>
                <w:color w:val="FFFFFF"/>
                <w:sz w:val="22"/>
              </w:rPr>
              <w:t xml:space="preserve">Significativo</w:t>
            </w:r>
          </w:p>
        </w:tc>
      </w:tr>
      <w:tr>
        <w:tc>
          <w:tcPr/>
          <w:p>
            <w:pPr>
              <w:pStyle w:val="Compact"/>
              <w:spacing w:line="360" w:lineRule="auto"/>
            </w:pPr>
            <w:r>
              <w:rPr>
                <w:rFonts w:ascii="Times New Roman" w:hAnsi="Times New Roman"/>
                <w:sz w:val="22"/>
              </w:rPr>
              <w:t xml:space="preserve">Tipo BCE (DFR)</w:t>
            </w:r>
          </w:p>
        </w:tc>
        <w:tc>
          <w:tcPr/>
          <w:p>
            <w:pPr>
              <w:pStyle w:val="Compact"/>
              <w:spacing w:line="360" w:lineRule="auto"/>
            </w:pPr>
            <w:r>
              <w:rPr>
                <w:rFonts w:ascii="Times New Roman" w:hAnsi="Times New Roman"/>
                <w:sz w:val="22"/>
              </w:rPr>
              <w:t xml:space="preserve">Pol. monetaria</w:t>
            </w:r>
          </w:p>
        </w:tc>
        <w:tc>
          <w:tcPr/>
          <w:p>
            <w:pPr>
              <w:pStyle w:val="Compact"/>
              <w:spacing w:line="360" w:lineRule="auto"/>
            </w:pPr>
            <w:r>
              <w:rPr>
                <w:rFonts w:ascii="Times New Roman" w:hAnsi="Times New Roman"/>
                <w:sz w:val="22"/>
              </w:rPr>
              <w:t xml:space="preserve">33</w:t>
            </w:r>
          </w:p>
        </w:tc>
        <w:tc>
          <w:tcPr/>
          <w:p>
            <w:pPr>
              <w:pStyle w:val="Compact"/>
              <w:spacing w:line="360" w:lineRule="auto"/>
            </w:pPr>
            <w:r>
              <w:rPr>
                <w:rFonts w:ascii="Times New Roman" w:hAnsi="Times New Roman"/>
                <w:sz w:val="22"/>
              </w:rPr>
              <w:t xml:space="preserve">+0,35%</w:t>
            </w:r>
          </w:p>
        </w:tc>
        <w:tc>
          <w:tcPr/>
          <w:p>
            <w:pPr>
              <w:pStyle w:val="Compact"/>
              <w:spacing w:line="360" w:lineRule="auto"/>
            </w:pPr>
            <w:r>
              <w:rPr>
                <w:rFonts w:ascii="Times New Roman" w:hAnsi="Times New Roman"/>
                <w:sz w:val="22"/>
              </w:rPr>
              <w:t xml:space="preserve">0,0584</w:t>
            </w:r>
          </w:p>
        </w:tc>
        <w:tc>
          <w:tcPr/>
          <w:p>
            <w:pPr>
              <w:pStyle w:val="Compact"/>
              <w:spacing w:line="360" w:lineRule="auto"/>
            </w:pPr>
            <w:r>
              <w:rPr>
                <w:rFonts w:ascii="Times New Roman" w:hAnsi="Times New Roman"/>
                <w:sz w:val="22"/>
              </w:rPr>
              <w:t xml:space="preserve">Marginal</w:t>
            </w:r>
          </w:p>
        </w:tc>
      </w:tr>
      <w:tr>
        <w:tc>
          <w:tcPr/>
          <w:p>
            <w:pPr>
              <w:pStyle w:val="Compact"/>
              <w:spacing w:line="360" w:lineRule="auto"/>
            </w:pPr>
            <w:r>
              <w:rPr>
                <w:rFonts w:ascii="Times New Roman" w:hAnsi="Times New Roman"/>
                <w:sz w:val="22"/>
              </w:rPr>
              <w:t xml:space="preserve">PIB YoY</w:t>
            </w:r>
          </w:p>
        </w:tc>
        <w:tc>
          <w:tcPr/>
          <w:p>
            <w:pPr>
              <w:pStyle w:val="Compact"/>
              <w:spacing w:line="360" w:lineRule="auto"/>
            </w:pPr>
            <w:r>
              <w:rPr>
                <w:rFonts w:ascii="Times New Roman" w:hAnsi="Times New Roman"/>
                <w:sz w:val="22"/>
              </w:rPr>
              <w:t xml:space="preserve">Act. real</w:t>
            </w:r>
          </w:p>
        </w:tc>
        <w:tc>
          <w:tcPr/>
          <w:p>
            <w:pPr>
              <w:pStyle w:val="Compact"/>
              <w:spacing w:line="360" w:lineRule="auto"/>
            </w:pPr>
            <w:r>
              <w:rPr>
                <w:rFonts w:ascii="Times New Roman" w:hAnsi="Times New Roman"/>
                <w:sz w:val="22"/>
              </w:rPr>
              <w:t xml:space="preserve">69</w:t>
            </w:r>
          </w:p>
        </w:tc>
        <w:tc>
          <w:tcPr/>
          <w:p>
            <w:pPr>
              <w:pStyle w:val="Compact"/>
              <w:spacing w:line="360" w:lineRule="auto"/>
            </w:pPr>
            <w:r>
              <w:rPr>
                <w:rFonts w:ascii="Times New Roman" w:hAnsi="Times New Roman"/>
                <w:sz w:val="22"/>
              </w:rPr>
              <w:t xml:space="preserve">+0,31%</w:t>
            </w:r>
          </w:p>
        </w:tc>
        <w:tc>
          <w:tcPr/>
          <w:p>
            <w:pPr>
              <w:pStyle w:val="Compact"/>
              <w:spacing w:line="360" w:lineRule="auto"/>
            </w:pPr>
            <w:r>
              <w:rPr>
                <w:rFonts w:ascii="Times New Roman" w:hAnsi="Times New Roman"/>
                <w:sz w:val="22"/>
              </w:rPr>
              <w:t xml:space="preserve">0,0000</w:t>
            </w:r>
          </w:p>
        </w:tc>
        <w:tc>
          <w:tcPr/>
          <w:p>
            <w:pPr>
              <w:pStyle w:val="Compact"/>
              <w:spacing w:line="360" w:lineRule="auto"/>
            </w:pPr>
            <w:r>
              <w:rPr>
                <w:rFonts w:ascii="Times New Roman" w:hAnsi="Times New Roman"/>
                <w:sz w:val="22"/>
              </w:rPr>
              <w:t xml:space="preserve">Sí</w:t>
            </w:r>
          </w:p>
        </w:tc>
      </w:tr>
      <w:tr>
        <w:tc>
          <w:tcPr/>
          <w:p>
            <w:pPr>
              <w:pStyle w:val="Compact"/>
              <w:spacing w:line="360" w:lineRule="auto"/>
            </w:pPr>
            <w:r>
              <w:rPr>
                <w:rFonts w:ascii="Times New Roman" w:hAnsi="Times New Roman"/>
                <w:sz w:val="22"/>
              </w:rPr>
              <w:t xml:space="preserve">Tasa de Paro</w:t>
            </w:r>
          </w:p>
        </w:tc>
        <w:tc>
          <w:tcPr/>
          <w:p>
            <w:pPr>
              <w:pStyle w:val="Compact"/>
              <w:spacing w:line="360" w:lineRule="auto"/>
            </w:pPr>
            <w:r>
              <w:rPr>
                <w:rFonts w:ascii="Times New Roman" w:hAnsi="Times New Roman"/>
                <w:sz w:val="22"/>
              </w:rPr>
              <w:t xml:space="preserve">Act. real</w:t>
            </w:r>
          </w:p>
        </w:tc>
        <w:tc>
          <w:tcPr/>
          <w:p>
            <w:pPr>
              <w:pStyle w:val="Compact"/>
              <w:spacing w:line="360" w:lineRule="auto"/>
            </w:pPr>
            <w:r>
              <w:rPr>
                <w:rFonts w:ascii="Times New Roman" w:hAnsi="Times New Roman"/>
                <w:sz w:val="22"/>
              </w:rPr>
              <w:t xml:space="preserve">81</w:t>
            </w:r>
          </w:p>
        </w:tc>
        <w:tc>
          <w:tcPr/>
          <w:p>
            <w:pPr>
              <w:pStyle w:val="Compact"/>
              <w:spacing w:line="360" w:lineRule="auto"/>
            </w:pPr>
            <w:r>
              <w:rPr>
                <w:rFonts w:ascii="Times New Roman" w:hAnsi="Times New Roman"/>
                <w:sz w:val="22"/>
              </w:rPr>
              <w:t xml:space="preserve">+0,29%</w:t>
            </w:r>
          </w:p>
        </w:tc>
        <w:tc>
          <w:tcPr/>
          <w:p>
            <w:pPr>
              <w:pStyle w:val="Compact"/>
              <w:spacing w:line="360" w:lineRule="auto"/>
            </w:pPr>
            <w:r>
              <w:rPr>
                <w:rFonts w:ascii="Times New Roman" w:hAnsi="Times New Roman"/>
                <w:sz w:val="22"/>
              </w:rPr>
              <w:t xml:space="preserve">0,0000</w:t>
            </w:r>
          </w:p>
        </w:tc>
        <w:tc>
          <w:tcPr/>
          <w:p>
            <w:pPr>
              <w:pStyle w:val="Compact"/>
              <w:spacing w:line="360" w:lineRule="auto"/>
            </w:pPr>
            <w:r>
              <w:rPr>
                <w:rFonts w:ascii="Times New Roman" w:hAnsi="Times New Roman"/>
                <w:sz w:val="22"/>
              </w:rPr>
              <w:t xml:space="preserve">Sí</w:t>
            </w:r>
          </w:p>
        </w:tc>
      </w:tr>
      <w:tr>
        <w:tc>
          <w:tcPr/>
          <w:p>
            <w:pPr>
              <w:pStyle w:val="Compact"/>
              <w:spacing w:line="360" w:lineRule="auto"/>
            </w:pPr>
            <w:r>
              <w:rPr>
                <w:rFonts w:ascii="Times New Roman" w:hAnsi="Times New Roman"/>
                <w:sz w:val="22"/>
              </w:rPr>
              <w:t xml:space="preserve">IPC Sub. MoM</w:t>
            </w:r>
          </w:p>
        </w:tc>
        <w:tc>
          <w:tcPr/>
          <w:p>
            <w:pPr>
              <w:pStyle w:val="Compact"/>
              <w:spacing w:line="360" w:lineRule="auto"/>
            </w:pPr>
            <w:r>
              <w:rPr>
                <w:rFonts w:ascii="Times New Roman" w:hAnsi="Times New Roman"/>
                <w:sz w:val="22"/>
              </w:rPr>
              <w:t xml:space="preserve">Inflación</w:t>
            </w:r>
          </w:p>
        </w:tc>
        <w:tc>
          <w:tcPr/>
          <w:p>
            <w:pPr>
              <w:pStyle w:val="Compact"/>
              <w:spacing w:line="360" w:lineRule="auto"/>
            </w:pPr>
            <w:r>
              <w:rPr>
                <w:rFonts w:ascii="Times New Roman" w:hAnsi="Times New Roman"/>
                <w:sz w:val="22"/>
              </w:rPr>
              <w:t xml:space="preserve">236</w:t>
            </w:r>
          </w:p>
        </w:tc>
        <w:tc>
          <w:tcPr/>
          <w:p>
            <w:pPr>
              <w:pStyle w:val="Compact"/>
              <w:spacing w:line="360" w:lineRule="auto"/>
            </w:pPr>
            <w:r>
              <w:rPr>
                <w:rFonts w:ascii="Times New Roman" w:hAnsi="Times New Roman"/>
                <w:sz w:val="22"/>
              </w:rPr>
              <w:t xml:space="preserve">+0,28%</w:t>
            </w:r>
          </w:p>
        </w:tc>
        <w:tc>
          <w:tcPr/>
          <w:p>
            <w:pPr>
              <w:pStyle w:val="Compact"/>
              <w:spacing w:line="360" w:lineRule="auto"/>
            </w:pPr>
            <w:r>
              <w:rPr>
                <w:rFonts w:ascii="Times New Roman" w:hAnsi="Times New Roman"/>
                <w:sz w:val="22"/>
              </w:rPr>
              <w:t xml:space="preserve">0,0000</w:t>
            </w:r>
          </w:p>
        </w:tc>
        <w:tc>
          <w:tcPr/>
          <w:p>
            <w:pPr>
              <w:pStyle w:val="Compact"/>
              <w:spacing w:line="360" w:lineRule="auto"/>
            </w:pPr>
            <w:r>
              <w:rPr>
                <w:rFonts w:ascii="Times New Roman" w:hAnsi="Times New Roman"/>
                <w:sz w:val="22"/>
              </w:rPr>
              <w:t xml:space="preserve">Sí</w:t>
            </w:r>
          </w:p>
        </w:tc>
      </w:tr>
      <w:tr>
        <w:tc>
          <w:tcPr/>
          <w:p>
            <w:pPr>
              <w:pStyle w:val="Compact"/>
              <w:spacing w:line="360" w:lineRule="auto"/>
            </w:pPr>
            <w:r>
              <w:rPr>
                <w:rFonts w:ascii="Times New Roman" w:hAnsi="Times New Roman"/>
                <w:sz w:val="22"/>
              </w:rPr>
              <w:t xml:space="preserve">IPI YoY</w:t>
            </w:r>
          </w:p>
        </w:tc>
        <w:tc>
          <w:tcPr/>
          <w:p>
            <w:pPr>
              <w:pStyle w:val="Compact"/>
              <w:spacing w:line="360" w:lineRule="auto"/>
            </w:pPr>
            <w:r>
              <w:rPr>
                <w:rFonts w:ascii="Times New Roman" w:hAnsi="Times New Roman"/>
                <w:sz w:val="22"/>
              </w:rPr>
              <w:t xml:space="preserve">Act. real</w:t>
            </w:r>
          </w:p>
        </w:tc>
        <w:tc>
          <w:tcPr/>
          <w:p>
            <w:pPr>
              <w:pStyle w:val="Compact"/>
              <w:spacing w:line="360" w:lineRule="auto"/>
            </w:pPr>
            <w:r>
              <w:rPr>
                <w:rFonts w:ascii="Times New Roman" w:hAnsi="Times New Roman"/>
                <w:sz w:val="22"/>
              </w:rPr>
              <w:t xml:space="preserve">248</w:t>
            </w:r>
          </w:p>
        </w:tc>
        <w:tc>
          <w:tcPr/>
          <w:p>
            <w:pPr>
              <w:pStyle w:val="Compact"/>
              <w:spacing w:line="360" w:lineRule="auto"/>
            </w:pPr>
            <w:r>
              <w:rPr>
                <w:rFonts w:ascii="Times New Roman" w:hAnsi="Times New Roman"/>
                <w:sz w:val="22"/>
              </w:rPr>
              <w:t xml:space="preserve">+0,27%</w:t>
            </w:r>
          </w:p>
        </w:tc>
        <w:tc>
          <w:tcPr/>
          <w:p>
            <w:pPr>
              <w:pStyle w:val="Compact"/>
              <w:spacing w:line="360" w:lineRule="auto"/>
            </w:pPr>
            <w:r>
              <w:rPr>
                <w:rFonts w:ascii="Times New Roman" w:hAnsi="Times New Roman"/>
                <w:sz w:val="22"/>
              </w:rPr>
              <w:t xml:space="preserve">0,0000</w:t>
            </w:r>
          </w:p>
        </w:tc>
        <w:tc>
          <w:tcPr/>
          <w:p>
            <w:pPr>
              <w:pStyle w:val="Compact"/>
              <w:spacing w:line="360" w:lineRule="auto"/>
            </w:pPr>
            <w:r>
              <w:rPr>
                <w:rFonts w:ascii="Times New Roman" w:hAnsi="Times New Roman"/>
                <w:sz w:val="22"/>
              </w:rPr>
              <w:t xml:space="preserve">Sí</w:t>
            </w:r>
          </w:p>
        </w:tc>
      </w:tr>
      <w:tr>
        <w:tc>
          <w:tcPr/>
          <w:p>
            <w:pPr>
              <w:pStyle w:val="Compact"/>
              <w:spacing w:line="360" w:lineRule="auto"/>
            </w:pPr>
            <w:r>
              <w:rPr>
                <w:rFonts w:ascii="Times New Roman" w:hAnsi="Times New Roman"/>
                <w:sz w:val="22"/>
              </w:rPr>
              <w:t xml:space="preserve">IPC YoY</w:t>
            </w:r>
          </w:p>
        </w:tc>
        <w:tc>
          <w:tcPr/>
          <w:p>
            <w:pPr>
              <w:pStyle w:val="Compact"/>
              <w:spacing w:line="360" w:lineRule="auto"/>
            </w:pPr>
            <w:r>
              <w:rPr>
                <w:rFonts w:ascii="Times New Roman" w:hAnsi="Times New Roman"/>
                <w:sz w:val="22"/>
              </w:rPr>
              <w:t xml:space="preserve">Inflación</w:t>
            </w:r>
          </w:p>
        </w:tc>
        <w:tc>
          <w:tcPr/>
          <w:p>
            <w:pPr>
              <w:pStyle w:val="Compact"/>
              <w:spacing w:line="360" w:lineRule="auto"/>
            </w:pPr>
            <w:r>
              <w:rPr>
                <w:rFonts w:ascii="Times New Roman" w:hAnsi="Times New Roman"/>
                <w:sz w:val="22"/>
              </w:rPr>
              <w:t xml:space="preserve">145</w:t>
            </w:r>
          </w:p>
        </w:tc>
        <w:tc>
          <w:tcPr/>
          <w:p>
            <w:pPr>
              <w:pStyle w:val="Compact"/>
              <w:spacing w:line="360" w:lineRule="auto"/>
            </w:pPr>
            <w:r>
              <w:rPr>
                <w:rFonts w:ascii="Times New Roman" w:hAnsi="Times New Roman"/>
                <w:sz w:val="22"/>
              </w:rPr>
              <w:t xml:space="preserve">+0,19%</w:t>
            </w:r>
          </w:p>
        </w:tc>
        <w:tc>
          <w:tcPr/>
          <w:p>
            <w:pPr>
              <w:pStyle w:val="Compact"/>
              <w:spacing w:line="360" w:lineRule="auto"/>
            </w:pPr>
            <w:r>
              <w:rPr>
                <w:rFonts w:ascii="Times New Roman" w:hAnsi="Times New Roman"/>
                <w:sz w:val="22"/>
              </w:rPr>
              <w:t xml:space="preserve">0,0001</w:t>
            </w:r>
          </w:p>
        </w:tc>
        <w:tc>
          <w:tcPr/>
          <w:p>
            <w:pPr>
              <w:pStyle w:val="Compact"/>
              <w:spacing w:line="360" w:lineRule="auto"/>
            </w:pPr>
            <w:r>
              <w:rPr>
                <w:rFonts w:ascii="Times New Roman" w:hAnsi="Times New Roman"/>
                <w:sz w:val="22"/>
              </w:rPr>
              <w:t xml:space="preserve">Sí</w:t>
            </w:r>
          </w:p>
        </w:tc>
      </w:tr>
      <w:tr>
        <w:tc>
          <w:tcPr/>
          <w:p>
            <w:pPr>
              <w:pStyle w:val="Compact"/>
              <w:spacing w:line="360" w:lineRule="auto"/>
            </w:pPr>
            <w:r>
              <w:rPr>
                <w:rFonts w:ascii="Times New Roman" w:hAnsi="Times New Roman"/>
                <w:sz w:val="22"/>
              </w:rPr>
              <w:t xml:space="preserve">Euribor 3M</w:t>
            </w:r>
          </w:p>
        </w:tc>
        <w:tc>
          <w:tcPr/>
          <w:p>
            <w:pPr>
              <w:pStyle w:val="Compact"/>
              <w:spacing w:line="360" w:lineRule="auto"/>
            </w:pPr>
            <w:r>
              <w:rPr>
                <w:rFonts w:ascii="Times New Roman" w:hAnsi="Times New Roman"/>
                <w:sz w:val="22"/>
              </w:rPr>
              <w:t xml:space="preserve">Pol. monetaria</w:t>
            </w:r>
          </w:p>
        </w:tc>
        <w:tc>
          <w:tcPr/>
          <w:p>
            <w:pPr>
              <w:pStyle w:val="Compact"/>
              <w:spacing w:line="360" w:lineRule="auto"/>
            </w:pPr>
            <w:r>
              <w:rPr>
                <w:rFonts w:ascii="Times New Roman" w:hAnsi="Times New Roman"/>
                <w:sz w:val="22"/>
              </w:rPr>
              <w:t xml:space="preserve">246</w:t>
            </w:r>
          </w:p>
        </w:tc>
        <w:tc>
          <w:tcPr/>
          <w:p>
            <w:pPr>
              <w:pStyle w:val="Compact"/>
              <w:spacing w:line="360" w:lineRule="auto"/>
            </w:pPr>
            <w:r>
              <w:rPr>
                <w:rFonts w:ascii="Times New Roman" w:hAnsi="Times New Roman"/>
                <w:sz w:val="22"/>
              </w:rPr>
              <w:t xml:space="preserve">+0,15%</w:t>
            </w:r>
          </w:p>
        </w:tc>
        <w:tc>
          <w:tcPr/>
          <w:p>
            <w:pPr>
              <w:pStyle w:val="Compact"/>
              <w:spacing w:line="360" w:lineRule="auto"/>
            </w:pPr>
            <w:r>
              <w:rPr>
                <w:rFonts w:ascii="Times New Roman" w:hAnsi="Times New Roman"/>
                <w:sz w:val="22"/>
              </w:rPr>
              <w:t xml:space="preserve">0,0016</w:t>
            </w:r>
          </w:p>
        </w:tc>
        <w:tc>
          <w:tcPr/>
          <w:p>
            <w:pPr>
              <w:pStyle w:val="Compact"/>
              <w:spacing w:line="360" w:lineRule="auto"/>
            </w:pPr>
            <w:r>
              <w:rPr>
                <w:rFonts w:ascii="Times New Roman" w:hAnsi="Times New Roman"/>
                <w:sz w:val="22"/>
              </w:rPr>
              <w:t xml:space="preserve">Sí</w:t>
            </w:r>
          </w:p>
        </w:tc>
      </w:tr>
    </w:tbl>
    <w:p>
      <w:pPr>
        <w:pStyle w:val="BodyText"/>
        <w:spacing w:line="360" w:lineRule="auto" w:before="0" w:after="120"/>
        <w:jc w:val="both"/>
      </w:pPr>
      <w:r>
        <w:rPr>
          <w:rFonts w:ascii="Times New Roman" w:hAnsi="Times New Roman"/>
          <w:sz w:val="24"/>
        </w:rPr>
        <w:t xml:space="preserve">Los indicadores de</w:t>
      </w:r>
      <w:r>
        <w:rPr>
          <w:rFonts w:ascii="Times New Roman" w:hAnsi="Times New Roman"/>
          <w:sz w:val="24"/>
        </w:rPr>
        <w:t xml:space="preserve"> </w:t>
      </w:r>
      <w:r>
        <w:rPr>
          <w:rFonts w:ascii="Times New Roman" w:hAnsi="Times New Roman"/>
          <w:b/>
          <w:bCs/>
          <w:sz w:val="24"/>
        </w:rPr>
        <w:t xml:space="preserve">actividad real</w:t>
      </w:r>
      <w:r>
        <w:rPr>
          <w:rFonts w:ascii="Times New Roman" w:hAnsi="Times New Roman"/>
          <w:sz w:val="24"/>
        </w:rPr>
        <w:t xml:space="preserve"> </w:t>
      </w:r>
      <w:r>
        <w:rPr>
          <w:rFonts w:ascii="Times New Roman" w:hAnsi="Times New Roman"/>
          <w:sz w:val="24"/>
        </w:rPr>
        <w:t xml:space="preserve">generan el mayor impacto, seguidos de inflación y política monetaria.</w:t>
      </w:r>
    </w:p>
    <w:bookmarkEnd w:id="44"/>
    <w:bookmarkStart w:id="45" w:name="Xd7b2519d96c0402b1a81bbebd58939df3c84552"/>
    <w:p>
      <w:pPr>
        <w:pStyle w:val="Heading3"/>
        <w:spacing w:line="360" w:lineRule="auto" w:before="0" w:after="120"/>
        <w:jc w:val="both"/>
      </w:pPr>
      <w:r>
        <w:rPr>
          <w:rFonts w:ascii="Times New Roman" w:hAnsi="Times New Roman"/>
          <w:sz w:val="24"/>
        </w:rPr>
        <w:t xml:space="preserve">10.5. Asimetrías por signo: las malas noticias pesan más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shd w:fill="404040"/>
          </w:tcPr>
          <w:p>
            <w:pPr>
              <w:pStyle w:val="Compact"/>
              <w:jc w:val="center"/>
            </w:pPr>
            <w:r>
              <w:rPr>
                <w:rFonts w:ascii="Times New Roman" w:hAnsi="Times New Roman"/>
                <w:b/>
                <w:color w:val="FFFFFF"/>
                <w:sz w:val="22"/>
              </w:rPr>
              <w:t xml:space="preserve">Indicador</w:t>
            </w:r>
          </w:p>
        </w:tc>
        <w:tc>
          <w:tcPr>
            <w:shd w:fill="404040"/>
          </w:tcPr>
          <w:p>
            <w:pPr>
              <w:pStyle w:val="Compact"/>
              <w:jc w:val="center"/>
            </w:pPr>
            <w:r>
              <w:rPr>
                <w:rFonts w:ascii="Times New Roman" w:hAnsi="Times New Roman"/>
                <w:b/>
                <w:color w:val="FFFFFF"/>
                <w:sz w:val="22"/>
              </w:rPr>
              <w:t xml:space="preserve">VA cuando Δ &gt; 0</w:t>
            </w:r>
          </w:p>
        </w:tc>
        <w:tc>
          <w:tcPr>
            <w:shd w:fill="404040"/>
          </w:tcPr>
          <w:p>
            <w:pPr>
              <w:pStyle w:val="Compact"/>
              <w:jc w:val="center"/>
            </w:pPr>
            <w:r>
              <w:rPr>
                <w:rFonts w:ascii="Times New Roman" w:hAnsi="Times New Roman"/>
                <w:b/>
                <w:color w:val="FFFFFF"/>
                <w:sz w:val="22"/>
              </w:rPr>
              <w:t xml:space="preserve">VA cuando Δ &lt; 0</w:t>
            </w:r>
          </w:p>
        </w:tc>
        <w:tc>
          <w:tcPr>
            <w:shd w:fill="404040"/>
          </w:tcPr>
          <w:p>
            <w:pPr>
              <w:pStyle w:val="Compact"/>
              <w:jc w:val="center"/>
            </w:pPr>
            <w:r>
              <w:rPr>
                <w:rFonts w:ascii="Times New Roman" w:hAnsi="Times New Roman"/>
                <w:b/>
                <w:color w:val="FFFFFF"/>
                <w:sz w:val="22"/>
              </w:rPr>
              <w:t xml:space="preserve">Interpretación</w:t>
            </w:r>
          </w:p>
        </w:tc>
      </w:tr>
      <w:tr>
        <w:tc>
          <w:tcPr/>
          <w:p>
            <w:pPr>
              <w:pStyle w:val="Compact"/>
              <w:spacing w:line="360" w:lineRule="auto"/>
            </w:pPr>
            <w:r>
              <w:rPr>
                <w:rFonts w:ascii="Times New Roman" w:hAnsi="Times New Roman"/>
                <w:sz w:val="22"/>
              </w:rPr>
              <w:t xml:space="preserve">Tipo BCE (DFR)</w:t>
            </w:r>
          </w:p>
        </w:tc>
        <w:tc>
          <w:tcPr/>
          <w:p>
            <w:pPr>
              <w:pStyle w:val="Compact"/>
              <w:spacing w:line="360" w:lineRule="auto"/>
            </w:pPr>
            <w:r>
              <w:rPr>
                <w:rFonts w:ascii="Times New Roman" w:hAnsi="Times New Roman"/>
                <w:sz w:val="22"/>
              </w:rPr>
              <w:t xml:space="preserve">+0,16%</w:t>
            </w:r>
          </w:p>
        </w:tc>
        <w:tc>
          <w:tcPr/>
          <w:p>
            <w:pPr>
              <w:pStyle w:val="Compact"/>
              <w:spacing w:line="360" w:lineRule="auto"/>
            </w:pPr>
            <w:r>
              <w:rPr>
                <w:rFonts w:ascii="Times New Roman" w:hAnsi="Times New Roman"/>
                <w:sz w:val="22"/>
              </w:rPr>
              <w:t xml:space="preserve">+0,46%</w:t>
            </w:r>
          </w:p>
        </w:tc>
        <w:tc>
          <w:tcPr/>
          <w:p>
            <w:pPr>
              <w:pStyle w:val="Compact"/>
              <w:spacing w:line="360" w:lineRule="auto"/>
            </w:pPr>
            <w:r>
              <w:rPr>
                <w:rFonts w:ascii="Times New Roman" w:hAnsi="Times New Roman"/>
                <w:sz w:val="22"/>
              </w:rPr>
              <w:t xml:space="preserve">Recortes generan más vol</w:t>
            </w:r>
          </w:p>
        </w:tc>
      </w:tr>
      <w:tr>
        <w:tc>
          <w:tcPr/>
          <w:p>
            <w:pPr>
              <w:pStyle w:val="Compact"/>
              <w:spacing w:line="360" w:lineRule="auto"/>
            </w:pPr>
            <w:r>
              <w:rPr>
                <w:rFonts w:ascii="Times New Roman" w:hAnsi="Times New Roman"/>
                <w:sz w:val="22"/>
              </w:rPr>
              <w:t xml:space="preserve">Tasa de Paro</w:t>
            </w:r>
          </w:p>
        </w:tc>
        <w:tc>
          <w:tcPr/>
          <w:p>
            <w:pPr>
              <w:pStyle w:val="Compact"/>
              <w:spacing w:line="360" w:lineRule="auto"/>
            </w:pPr>
            <w:r>
              <w:rPr>
                <w:rFonts w:ascii="Times New Roman" w:hAnsi="Times New Roman"/>
                <w:sz w:val="22"/>
              </w:rPr>
              <w:t xml:space="preserve">+0,43%</w:t>
            </w:r>
          </w:p>
        </w:tc>
        <w:tc>
          <w:tcPr/>
          <w:p>
            <w:pPr>
              <w:pStyle w:val="Compact"/>
              <w:spacing w:line="360" w:lineRule="auto"/>
            </w:pPr>
            <w:r>
              <w:rPr>
                <w:rFonts w:ascii="Times New Roman" w:hAnsi="Times New Roman"/>
                <w:sz w:val="22"/>
              </w:rPr>
              <w:t xml:space="preserve">+0,15%</w:t>
            </w:r>
          </w:p>
        </w:tc>
        <w:tc>
          <w:tcPr/>
          <w:p>
            <w:pPr>
              <w:pStyle w:val="Compact"/>
              <w:spacing w:line="360" w:lineRule="auto"/>
            </w:pPr>
            <w:r>
              <w:rPr>
                <w:rFonts w:ascii="Times New Roman" w:hAnsi="Times New Roman"/>
                <w:sz w:val="22"/>
              </w:rPr>
              <w:t xml:space="preserve">Aumentos generan más vol</w:t>
            </w:r>
          </w:p>
        </w:tc>
      </w:tr>
      <w:tr>
        <w:tc>
          <w:tcPr/>
          <w:p>
            <w:pPr>
              <w:pStyle w:val="Compact"/>
              <w:spacing w:line="360" w:lineRule="auto"/>
            </w:pPr>
            <w:r>
              <w:rPr>
                <w:rFonts w:ascii="Times New Roman" w:hAnsi="Times New Roman"/>
                <w:sz w:val="22"/>
              </w:rPr>
              <w:t xml:space="preserve">PIB YoY</w:t>
            </w:r>
          </w:p>
        </w:tc>
        <w:tc>
          <w:tcPr/>
          <w:p>
            <w:pPr>
              <w:pStyle w:val="Compact"/>
              <w:spacing w:line="360" w:lineRule="auto"/>
            </w:pPr>
            <w:r>
              <w:rPr>
                <w:rFonts w:ascii="Times New Roman" w:hAnsi="Times New Roman"/>
                <w:sz w:val="22"/>
              </w:rPr>
              <w:t xml:space="preserve">+0,34%</w:t>
            </w:r>
          </w:p>
        </w:tc>
        <w:tc>
          <w:tcPr/>
          <w:p>
            <w:pPr>
              <w:pStyle w:val="Compact"/>
              <w:spacing w:line="360" w:lineRule="auto"/>
            </w:pPr>
            <w:r>
              <w:rPr>
                <w:rFonts w:ascii="Times New Roman" w:hAnsi="Times New Roman"/>
                <w:sz w:val="22"/>
              </w:rPr>
              <w:t xml:space="preserve">+0,29%</w:t>
            </w:r>
          </w:p>
        </w:tc>
        <w:tc>
          <w:tcPr/>
          <w:p>
            <w:pPr>
              <w:pStyle w:val="Compact"/>
              <w:spacing w:line="360" w:lineRule="auto"/>
            </w:pPr>
            <w:r>
              <w:rPr>
                <w:rFonts w:ascii="Times New Roman" w:hAnsi="Times New Roman"/>
                <w:sz w:val="22"/>
              </w:rPr>
              <w:t xml:space="preserve">Aproximadamente simétrico</w:t>
            </w:r>
          </w:p>
        </w:tc>
      </w:tr>
      <w:tr>
        <w:tc>
          <w:tcPr/>
          <w:p>
            <w:pPr>
              <w:pStyle w:val="Compact"/>
              <w:spacing w:line="360" w:lineRule="auto"/>
            </w:pPr>
            <w:r>
              <w:rPr>
                <w:rFonts w:ascii="Times New Roman" w:hAnsi="Times New Roman"/>
                <w:sz w:val="22"/>
              </w:rPr>
              <w:t xml:space="preserve">IPC Sub. MoM</w:t>
            </w:r>
          </w:p>
        </w:tc>
        <w:tc>
          <w:tcPr/>
          <w:p>
            <w:pPr>
              <w:pStyle w:val="Compact"/>
              <w:spacing w:line="360" w:lineRule="auto"/>
            </w:pPr>
            <w:r>
              <w:rPr>
                <w:rFonts w:ascii="Times New Roman" w:hAnsi="Times New Roman"/>
                <w:sz w:val="22"/>
              </w:rPr>
              <w:t xml:space="preserve">+0,28%</w:t>
            </w:r>
          </w:p>
        </w:tc>
        <w:tc>
          <w:tcPr/>
          <w:p>
            <w:pPr>
              <w:pStyle w:val="Compact"/>
              <w:spacing w:line="360" w:lineRule="auto"/>
            </w:pPr>
            <w:r>
              <w:rPr>
                <w:rFonts w:ascii="Times New Roman" w:hAnsi="Times New Roman"/>
                <w:sz w:val="22"/>
              </w:rPr>
              <w:t xml:space="preserve">+0,28%</w:t>
            </w:r>
          </w:p>
        </w:tc>
        <w:tc>
          <w:tcPr/>
          <w:p>
            <w:pPr>
              <w:pStyle w:val="Compact"/>
              <w:spacing w:line="360" w:lineRule="auto"/>
            </w:pPr>
            <w:r>
              <w:rPr>
                <w:rFonts w:ascii="Times New Roman" w:hAnsi="Times New Roman"/>
                <w:sz w:val="22"/>
              </w:rPr>
              <w:t xml:space="preserve">Completamente simétrico</w:t>
            </w:r>
          </w:p>
        </w:tc>
      </w:tr>
    </w:tbl>
    <w:p>
      <w:pPr>
        <w:pStyle w:val="BodyText"/>
        <w:spacing w:line="360" w:lineRule="auto" w:before="0" w:after="120"/>
        <w:jc w:val="both"/>
      </w:pPr>
      <w:r>
        <w:rPr>
          <w:rFonts w:ascii="Times New Roman" w:hAnsi="Times New Roman"/>
          <w:sz w:val="24"/>
        </w:rPr>
        <w:t xml:space="preserve">Los</w:t>
      </w:r>
      <w:r>
        <w:rPr>
          <w:rFonts w:ascii="Times New Roman" w:hAnsi="Times New Roman"/>
          <w:sz w:val="24"/>
        </w:rPr>
        <w:t xml:space="preserve"> </w:t>
      </w:r>
      <w:r>
        <w:rPr>
          <w:rFonts w:ascii="Times New Roman" w:hAnsi="Times New Roman"/>
          <w:b/>
          <w:bCs/>
          <w:sz w:val="24"/>
        </w:rPr>
        <w:t xml:space="preserve">recortes de tipos del BCE</w:t>
      </w:r>
      <w:r>
        <w:rPr>
          <w:rFonts w:ascii="Times New Roman" w:hAnsi="Times New Roman"/>
          <w:sz w:val="24"/>
        </w:rPr>
        <w:t xml:space="preserve"> </w:t>
      </w:r>
      <w:r>
        <w:rPr>
          <w:rFonts w:ascii="Times New Roman" w:hAnsi="Times New Roman"/>
          <w:sz w:val="24"/>
        </w:rPr>
        <w:t xml:space="preserve">(+0,46% vs. +0,16%) generan significativamente más volatilidad que las subidas, interpretado como</w:t>
      </w:r>
      <w:r>
        <w:rPr>
          <w:rFonts w:ascii="Times New Roman" w:hAnsi="Times New Roman"/>
          <w:sz w:val="24"/>
        </w:rPr>
        <w:t xml:space="preserve"> </w:t>
      </w:r>
      <w:r>
        <w:rPr>
          <w:rFonts w:ascii="Times New Roman" w:hAnsi="Times New Roman"/>
          <w:i/>
          <w:iCs/>
          <w:sz w:val="24"/>
        </w:rPr>
        <w:t xml:space="preserve">bad news interpretation</w:t>
      </w:r>
      <w:r>
        <w:rPr>
          <w:rFonts w:ascii="Times New Roman" w:hAnsi="Times New Roman"/>
          <w:sz w:val="24"/>
        </w:rPr>
        <w:t xml:space="preserve">. Los</w:t>
      </w:r>
      <w:r>
        <w:rPr>
          <w:rFonts w:ascii="Times New Roman" w:hAnsi="Times New Roman"/>
          <w:sz w:val="24"/>
        </w:rPr>
        <w:t xml:space="preserve"> </w:t>
      </w:r>
      <w:r>
        <w:rPr>
          <w:rFonts w:ascii="Times New Roman" w:hAnsi="Times New Roman"/>
          <w:b/>
          <w:bCs/>
          <w:sz w:val="24"/>
        </w:rPr>
        <w:t xml:space="preserve">aumentos del paro</w:t>
      </w:r>
      <w:r>
        <w:rPr>
          <w:rFonts w:ascii="Times New Roman" w:hAnsi="Times New Roman"/>
          <w:sz w:val="24"/>
        </w:rPr>
        <w:t xml:space="preserve"> </w:t>
      </w:r>
      <w:r>
        <w:rPr>
          <w:rFonts w:ascii="Times New Roman" w:hAnsi="Times New Roman"/>
          <w:sz w:val="24"/>
        </w:rPr>
        <w:t xml:space="preserve">(+0,43% vs. +0,15%) confirman la asimetría clásica de las malas noticias.</w:t>
      </w:r>
    </w:p>
    <w:bookmarkEnd w:id="45"/>
    <w:bookmarkStart w:id="46" w:name="difieren-los-efectos-entre-categorías"/>
    <w:p>
      <w:pPr>
        <w:pStyle w:val="Heading3"/>
        <w:spacing w:line="360" w:lineRule="auto" w:before="0" w:after="120"/>
        <w:jc w:val="both"/>
      </w:pPr>
      <w:r>
        <w:rPr>
          <w:rFonts w:ascii="Times New Roman" w:hAnsi="Times New Roman"/>
          <w:sz w:val="24"/>
        </w:rPr>
        <w:t xml:space="preserve">10.6. ¿Difieren los efectos entre categorías?</w:t>
      </w:r>
    </w:p>
    <w:p>
      <w:pPr>
        <w:pStyle w:val="FirstParagraph"/>
        <w:spacing w:line="360" w:lineRule="auto" w:before="0" w:after="120"/>
        <w:jc w:val="both"/>
      </w:pPr>
      <w:r>
        <w:rPr>
          <w:rFonts w:ascii="Times New Roman" w:hAnsi="Times New Roman"/>
          <w:sz w:val="24"/>
        </w:rPr>
        <w:t xml:space="preserve">El test de</w:t>
      </w:r>
      <w:r>
        <w:rPr>
          <w:rFonts w:ascii="Times New Roman" w:hAnsi="Times New Roman"/>
          <w:sz w:val="24"/>
        </w:rPr>
        <w:t xml:space="preserve"> </w:t>
      </w:r>
      <w:r>
        <w:rPr>
          <w:rFonts w:ascii="Times New Roman" w:hAnsi="Times New Roman"/>
          <w:b/>
          <w:bCs/>
          <w:sz w:val="24"/>
        </w:rPr>
        <w:t xml:space="preserve">Kruskal-Wallis</w:t>
      </w:r>
      <w:r>
        <w:rPr>
          <w:rFonts w:ascii="Times New Roman" w:hAnsi="Times New Roman"/>
          <w:sz w:val="24"/>
        </w:rPr>
        <w:t xml:space="preserve"> </w:t>
      </w:r>
      <w:r>
        <w:rPr>
          <w:rFonts w:ascii="Times New Roman" w:hAnsi="Times New Roman"/>
          <w:sz w:val="24"/>
        </w:rPr>
        <w:t xml:space="preserve">evalúa si las tres categorías producen efectos distintos:</w:t>
      </w:r>
    </w:p>
    <w:p>
      <w:pPr>
        <w:pStyle w:val="BodyText"/>
        <w:spacing w:line="360" w:lineRule="auto" w:before="0" w:after="120"/>
        <w:jc w:val="both"/>
      </w:pPr>
      <m:oMathPara>
        <m:oMathParaPr>
          <m:jc m:val="center"/>
        </m:oMathParaPr>
        <m:oMath>
          <m:r>
            <m:t>H</m:t>
          </m:r>
          <m:r>
            <m:rPr>
              <m:sty m:val="p"/>
            </m:rPr>
            <m:t>=</m:t>
          </m:r>
          <m:r>
            <m:t>10</m:t>
          </m:r>
          <m:r>
            <m:rPr>
              <m:sty m:val="p"/>
            </m:rPr>
            <m:t>,</m:t>
          </m:r>
          <m:r>
            <m:t>71</m:t>
          </m:r>
          <m:r>
            <m:t> </m:t>
          </m:r>
          <m:r>
            <m:rPr>
              <m:sty m:val="p"/>
            </m:rPr>
            <m:t>(</m:t>
          </m:r>
          <m:r>
            <m:t>p</m:t>
          </m:r>
          <m:r>
            <m:rPr>
              <m:sty m:val="p"/>
            </m:rPr>
            <m:t>=</m:t>
          </m:r>
          <m:r>
            <m:t>0</m:t>
          </m:r>
          <m:r>
            <m:rPr>
              <m:sty m:val="p"/>
            </m:rPr>
            <m:t>,</m:t>
          </m:r>
          <m:r>
            <m:t>0047</m:t>
          </m:r>
          <m:r>
            <m:rPr>
              <m:sty m:val="p"/>
            </m:rPr>
            <m:t>)</m:t>
          </m:r>
        </m:oMath>
      </m:oMathPara>
    </w:p>
    <w:p>
      <w:pPr>
        <w:pStyle w:val="FirstParagraph"/>
        <w:spacing w:line="360" w:lineRule="auto" w:before="0" w:after="120"/>
        <w:jc w:val="both"/>
      </w:pPr>
      <w:r>
        <w:rPr>
          <w:rFonts w:ascii="Times New Roman" w:hAnsi="Times New Roman"/>
          <w:sz w:val="24"/>
        </w:rPr>
        <w:t xml:space="preserve">Se rechaza la hipótesis nula:</w:t>
      </w:r>
      <w:r>
        <w:rPr>
          <w:rFonts w:ascii="Times New Roman" w:hAnsi="Times New Roman"/>
          <w:sz w:val="24"/>
        </w:rPr>
        <w:t xml:space="preserve"> </w:t>
      </w:r>
      <w:r>
        <w:rPr>
          <w:rFonts w:ascii="Times New Roman" w:hAnsi="Times New Roman"/>
          <w:b/>
          <w:bCs/>
          <w:sz w:val="24"/>
        </w:rPr>
        <w:t xml:space="preserve">el tipo de publicación importa</w:t>
      </w:r>
      <w:r>
        <w:rPr>
          <w:rFonts w:ascii="Times New Roman" w:hAnsi="Times New Roman"/>
          <w:sz w:val="24"/>
        </w:rPr>
        <w:t xml:space="preserve">. Los indicadores de actividad real generan la mayor volatilidad anormal.</w:t>
      </w:r>
    </w:p>
    <w:bookmarkEnd w:id="46"/>
    <w:bookmarkStart w:id="47" w:name="persistencia-del-efecto"/>
    <w:p>
      <w:pPr>
        <w:pStyle w:val="Heading3"/>
        <w:spacing w:line="360" w:lineRule="auto" w:before="0" w:after="120"/>
        <w:jc w:val="both"/>
      </w:pPr>
      <w:r>
        <w:rPr>
          <w:rFonts w:ascii="Times New Roman" w:hAnsi="Times New Roman"/>
          <w:sz w:val="24"/>
        </w:rPr>
        <w:t xml:space="preserve">10.7. Persistencia del efecto</w:t>
      </w:r>
    </w:p>
    <w:p>
      <w:pPr>
        <w:pStyle w:val="FirstParagraph"/>
        <w:spacing w:line="360" w:lineRule="auto" w:before="0" w:after="120"/>
        <w:jc w:val="both"/>
      </w:pPr>
      <w:r>
        <w:rPr>
          <w:rFonts w:ascii="Times New Roman" w:hAnsi="Times New Roman"/>
          <w:sz w:val="24"/>
        </w:rPr>
        <w:t xml:space="preserve">Todos los indicadores muestran volatilidad elevada 1–2 días después del evento, sugiriendo que el mercado tarda 1–2 días hábiles en procesar completamente la información macro.</w:t>
      </w:r>
    </w:p>
    <w:p>
      <w:pPr>
        <w:spacing w:line="360" w:lineRule="auto" w:before="0" w:after="120"/>
        <w:jc w:val="both"/>
      </w:pPr>
      <w:r>
        <w:rPr>
          <w:rFonts w:ascii="Times New Roman" w:hAnsi="Times New Roman"/>
          <w:sz w:val="24"/>
        </w:rPr>
        <w:pict>
          <v:rect style="width:0;height:1.5pt" o:hralign="center" o:hrstd="t" o:hr="t"/>
        </w:pict>
      </w:r>
    </w:p>
    <w:bookmarkEnd w:id="47"/>
    <w:bookmarkEnd w:id="48"/>
    <w:bookmarkEnd w:id="49"/>
    <w:bookmarkStart w:id="52" w:name="conclusiones-generales-del-trabajo"/>
    <w:p>
      <w:pPr>
        <w:pStyle w:val="Heading1"/>
        <w:spacing w:line="360" w:lineRule="auto" w:before="0" w:after="120"/>
        <w:jc w:val="both"/>
      </w:pPr>
      <w:r>
        <w:rPr>
          <w:rFonts w:ascii="Times New Roman" w:hAnsi="Times New Roman"/>
          <w:sz w:val="24"/>
        </w:rPr>
        <w:t xml:space="preserve">CONCLUSIONES GENERALES DEL TRABAJO</w:t>
      </w:r>
    </w:p>
    <w:bookmarkStart w:id="50" w:name="X6a6546059e32fa9e9d222826762146fb09ee2ab"/>
    <w:p>
      <w:pPr>
        <w:pStyle w:val="Heading2"/>
        <w:spacing w:line="360" w:lineRule="auto" w:before="0" w:after="120"/>
        <w:jc w:val="both"/>
      </w:pPr>
      <w:r>
        <w:rPr>
          <w:rFonts w:ascii="Times New Roman" w:hAnsi="Times New Roman"/>
          <w:sz w:val="24"/>
        </w:rPr>
        <w:t xml:space="preserve">11.1. Respuestas a las preguntas de investigación</w:t>
      </w:r>
    </w:p>
    <w:p>
      <w:pPr>
        <w:pStyle w:val="FirstParagraph"/>
        <w:spacing w:line="360" w:lineRule="auto" w:before="0" w:after="120"/>
        <w:jc w:val="both"/>
      </w:pPr>
      <w:r>
        <w:rPr>
          <w:rFonts w:ascii="Times New Roman" w:hAnsi="Times New Roman"/>
          <w:b/>
          <w:bCs/>
          <w:sz w:val="24"/>
        </w:rPr>
        <w:t xml:space="preserve">Q1: ¿Es predecible la volatilidad del IBEX 35?</w:t>
      </w:r>
      <w:r>
        <w:rPr>
          <w:rFonts w:ascii="Times New Roman" w:hAnsi="Times New Roman"/>
          <w:sz w:val="24"/>
        </w:rPr>
        <w:t xml:space="preserve"> </w:t>
      </w:r>
      <w:r>
        <w:rPr>
          <w:rFonts w:ascii="Times New Roman" w:hAnsi="Times New Roman"/>
          <w:sz w:val="24"/>
        </w:rPr>
        <w:t xml:space="preserve">Sí, con un R² superior al 96% en todos los modelos supervisados. La persistencia temporal de la volatilidad es el motor principal, con</w:t>
      </w:r>
      <w:r>
        <w:rPr>
          <w:rFonts w:ascii="Times New Roman" w:hAnsi="Times New Roman"/>
          <w:sz w:val="24"/>
        </w:rPr>
        <w:t xml:space="preserve"> </w:t>
      </w:r>
      <w:r>
        <w:rPr>
          <w:rStyle w:val="VerbatimChar"/>
          <w:rFonts w:ascii="Times New Roman" w:hAnsi="Times New Roman"/>
          <w:sz w:val="24"/>
        </w:rPr>
        <w:t xml:space="preserve">vol_lag1</w:t>
      </w:r>
      <w:r>
        <w:rPr>
          <w:rFonts w:ascii="Times New Roman" w:hAnsi="Times New Roman"/>
          <w:sz w:val="24"/>
        </w:rPr>
        <w:t xml:space="preserve"> </w:t>
      </w:r>
      <w:r>
        <w:rPr>
          <w:rFonts w:ascii="Times New Roman" w:hAnsi="Times New Roman"/>
          <w:sz w:val="24"/>
        </w:rPr>
        <w:t xml:space="preserve">como feature dominante.</w:t>
      </w:r>
    </w:p>
    <w:p>
      <w:pPr>
        <w:pStyle w:val="BodyText"/>
        <w:spacing w:line="360" w:lineRule="auto" w:before="0" w:after="120"/>
        <w:jc w:val="both"/>
      </w:pPr>
      <w:r>
        <w:rPr>
          <w:rFonts w:ascii="Times New Roman" w:hAnsi="Times New Roman"/>
          <w:b/>
          <w:bCs/>
          <w:sz w:val="24"/>
        </w:rPr>
        <w:t xml:space="preserve">Q2: ¿Qué modelo ofrece mejor pronóstico?</w:t>
      </w:r>
      <w:r>
        <w:rPr>
          <w:rFonts w:ascii="Times New Roman" w:hAnsi="Times New Roman"/>
          <w:sz w:val="24"/>
        </w:rPr>
        <w:t xml:space="preserve"> </w:t>
      </w:r>
      <w:r>
        <w:rPr>
          <w:rFonts w:ascii="Times New Roman" w:hAnsi="Times New Roman"/>
          <w:sz w:val="24"/>
        </w:rPr>
        <w:t xml:space="preserve">XGBoost alcanza el menor RMSE (0,0082), pero la diferencia con OLS y el modelo Simple no es estadísticamente significativa (test DM,</w:t>
      </w:r>
      <w:r>
        <w:rPr>
          <w:rFonts w:ascii="Times New Roman" w:hAnsi="Times New Roman"/>
          <w:sz w:val="24"/>
        </w:rPr>
        <w:t xml:space="preserve"> </w:t>
      </w:r>
      <m:oMath>
        <m:r>
          <m:t>p</m:t>
        </m:r>
        <m:r>
          <m:rPr>
            <m:sty m:val="p"/>
          </m:rPr>
          <m:t>&gt;</m:t>
        </m:r>
        <m:r>
          <m:t>0</m:t>
        </m:r>
        <m:r>
          <m:rPr>
            <m:sty m:val="p"/>
          </m:rPr>
          <m:t>,</m:t>
        </m:r>
        <m:r>
          <m:t>05</m:t>
        </m:r>
      </m:oMath>
      <w:r>
        <w:rPr>
          <w:rFonts w:ascii="Times New Roman" w:hAnsi="Times New Roman"/>
          <w:sz w:val="24"/>
        </w:rPr>
        <w:t xml:space="preserve">). El GARCH queda significativamente por detrás.</w:t>
      </w:r>
    </w:p>
    <w:p>
      <w:pPr>
        <w:pStyle w:val="BodyText"/>
        <w:spacing w:line="360" w:lineRule="auto" w:before="0" w:after="120"/>
        <w:jc w:val="both"/>
      </w:pPr>
      <w:r>
        <w:rPr>
          <w:rFonts w:ascii="Times New Roman" w:hAnsi="Times New Roman"/>
          <w:b/>
          <w:bCs/>
          <w:sz w:val="24"/>
        </w:rPr>
        <w:t xml:space="preserve">Q3: ¿Añaden valor las variables macroeconómicas?</w:t>
      </w:r>
      <w:r>
        <w:rPr>
          <w:rFonts w:ascii="Times New Roman" w:hAnsi="Times New Roman"/>
          <w:sz w:val="24"/>
        </w:rPr>
        <w:t xml:space="preserve"> </w:t>
      </w:r>
      <w:r>
        <w:rPr>
          <w:rFonts w:ascii="Times New Roman" w:hAnsi="Times New Roman"/>
          <w:sz w:val="24"/>
        </w:rPr>
        <w:t xml:space="preserve">Sí, pero depende del modelo: empeoran el OLS (+7,2% RMSE) por multicolinealidad, pero mejoran significativamente el XGBoost (−14,1% RMSE), confirmando que la relación macro-volatilidad es</w:t>
      </w:r>
      <w:r>
        <w:rPr>
          <w:rFonts w:ascii="Times New Roman" w:hAnsi="Times New Roman"/>
          <w:sz w:val="24"/>
        </w:rPr>
        <w:t xml:space="preserve"> </w:t>
      </w:r>
      <w:r>
        <w:rPr>
          <w:rFonts w:ascii="Times New Roman" w:hAnsi="Times New Roman"/>
          <w:b/>
          <w:bCs/>
          <w:sz w:val="24"/>
        </w:rPr>
        <w:t xml:space="preserve">no lineal</w:t>
      </w:r>
      <w:r>
        <w:rPr>
          <w:rFonts w:ascii="Times New Roman" w:hAnsi="Times New Roman"/>
          <w:sz w:val="24"/>
        </w:rPr>
        <w:t xml:space="preserve">. El VIX, bono español 10Y y tasa de paro son las variables macro con mayor contribución (SHAP).</w:t>
      </w:r>
    </w:p>
    <w:p>
      <w:pPr>
        <w:pStyle w:val="BodyText"/>
        <w:spacing w:line="360" w:lineRule="auto" w:before="0" w:after="120"/>
        <w:jc w:val="both"/>
      </w:pPr>
      <w:r>
        <w:rPr>
          <w:rFonts w:ascii="Times New Roman" w:hAnsi="Times New Roman"/>
          <w:b/>
          <w:bCs/>
          <w:sz w:val="24"/>
        </w:rPr>
        <w:t xml:space="preserve">Q4: ¿Generan las publicaciones macro shocks puntuales?</w:t>
      </w:r>
      <w:r>
        <w:rPr>
          <w:rFonts w:ascii="Times New Roman" w:hAnsi="Times New Roman"/>
          <w:sz w:val="24"/>
        </w:rPr>
        <w:t xml:space="preserve"> </w:t>
      </w:r>
      <w:r>
        <w:rPr>
          <w:rFonts w:ascii="Times New Roman" w:hAnsi="Times New Roman"/>
          <w:sz w:val="24"/>
        </w:rPr>
        <w:t xml:space="preserve">Sí. Los días de publicación presentan un 11,6% más de volatilidad (</w:t>
      </w:r>
      <m:oMath>
        <m:r>
          <m:t>p</m:t>
        </m:r>
        <m:r>
          <m:rPr>
            <m:sty m:val="p"/>
          </m:rPr>
          <m:t>&lt;</m:t>
        </m:r>
        <m:r>
          <m:t>0</m:t>
        </m:r>
        <m:r>
          <m:rPr>
            <m:sty m:val="p"/>
          </m:rPr>
          <m:t>,</m:t>
        </m:r>
        <m:r>
          <m:t>0001</m:t>
        </m:r>
      </m:oMath>
      <w:r>
        <w:rPr>
          <w:rFonts w:ascii="Times New Roman" w:hAnsi="Times New Roman"/>
          <w:sz w:val="24"/>
        </w:rPr>
        <w:t xml:space="preserve">). Los indicadores de actividad real generan el mayor impacto. Existe asimetría: las malas noticias generan más volatilidad que las buenas.</w:t>
      </w:r>
    </w:p>
    <w:bookmarkEnd w:id="50"/>
    <w:bookmarkStart w:id="51" w:name="limitaciones"/>
    <w:p>
      <w:pPr>
        <w:pStyle w:val="Heading2"/>
        <w:spacing w:line="360" w:lineRule="auto" w:before="0" w:after="120"/>
        <w:jc w:val="both"/>
      </w:pPr>
      <w:r>
        <w:rPr>
          <w:rFonts w:ascii="Times New Roman" w:hAnsi="Times New Roman"/>
          <w:sz w:val="24"/>
        </w:rPr>
        <w:t xml:space="preserve">11.2. Limitaciones</w:t>
      </w:r>
    </w:p>
    <w:p>
      <w:pPr>
        <w:numPr>
          <w:ilvl w:val="0"/>
          <w:numId w:val="1008"/>
        </w:numPr>
        <w:spacing w:line="360" w:lineRule="auto" w:before="0" w:after="120"/>
        <w:jc w:val="both"/>
      </w:pPr>
      <w:r>
        <w:rPr>
          <w:rFonts w:ascii="Times New Roman" w:hAnsi="Times New Roman"/>
          <w:b/>
          <w:bCs/>
          <w:sz w:val="24"/>
        </w:rPr>
        <w:t xml:space="preserve">Autocorrelación mecánica del target.</w:t>
      </w:r>
      <w:r>
        <w:rPr>
          <w:rFonts w:ascii="Times New Roman" w:hAnsi="Times New Roman"/>
          <w:sz w:val="24"/>
        </w:rPr>
        <w:t xml:space="preserve"> </w:t>
      </w:r>
      <w:r>
        <w:rPr>
          <w:rFonts w:ascii="Times New Roman" w:hAnsi="Times New Roman"/>
          <w:sz w:val="24"/>
        </w:rPr>
        <w:t xml:space="preserve">La</w:t>
      </w:r>
      <w:r>
        <w:rPr>
          <w:rFonts w:ascii="Times New Roman" w:hAnsi="Times New Roman"/>
          <w:sz w:val="24"/>
        </w:rPr>
        <w:t xml:space="preserve"> </w:t>
      </w:r>
      <m:oMath>
        <m:sSubSup>
          <m:e>
            <m:r>
              <m:t>V</m:t>
            </m:r>
          </m:e>
          <m:sub>
            <m:r>
              <m:t>t</m:t>
            </m:r>
          </m:sub>
          <m:sup>
            <m:r>
              <m:rPr>
                <m:sty m:val="p"/>
              </m:rPr>
              <m:t>(</m:t>
            </m:r>
            <m:r>
              <m:t>21</m:t>
            </m:r>
            <m:r>
              <m:rPr>
                <m:sty m:val="p"/>
              </m:rPr>
              <m:t>)</m:t>
            </m:r>
          </m:sup>
        </m:sSubSup>
      </m:oMath>
      <w:r>
        <w:rPr>
          <w:rFonts w:ascii="Times New Roman" w:hAnsi="Times New Roman"/>
          <w:sz w:val="24"/>
        </w:rPr>
        <w:t xml:space="preserve"> </w:t>
      </w:r>
      <w:r>
        <w:rPr>
          <w:rFonts w:ascii="Times New Roman" w:hAnsi="Times New Roman"/>
          <w:sz w:val="24"/>
        </w:rPr>
        <w:t xml:space="preserve">comparte 20 de 21 retornos entre días consecutivos, inflando el R² de cualquier modelo con</w:t>
      </w:r>
      <w:r>
        <w:rPr>
          <w:rFonts w:ascii="Times New Roman" w:hAnsi="Times New Roman"/>
          <w:sz w:val="24"/>
        </w:rPr>
        <w:t xml:space="preserve"> </w:t>
      </w:r>
      <m:oMath>
        <m:sSub>
          <m:e>
            <m:r>
              <m:t>V</m:t>
            </m:r>
          </m:e>
          <m:sub>
            <m:r>
              <m:t>t</m:t>
            </m:r>
            <m:r>
              <m:rPr>
                <m:sty m:val="p"/>
              </m:rPr>
              <m:t>−</m:t>
            </m:r>
            <m:r>
              <m:t>1</m:t>
            </m:r>
          </m:sub>
        </m:sSub>
      </m:oMath>
      <w:r>
        <w:rPr>
          <w:rFonts w:ascii="Times New Roman" w:hAnsi="Times New Roman"/>
          <w:sz w:val="24"/>
        </w:rPr>
        <w:t xml:space="preserve">. No obstante, la señal dominante de</w:t>
      </w:r>
      <w:r>
        <w:rPr>
          <w:rFonts w:ascii="Times New Roman" w:hAnsi="Times New Roman"/>
          <w:sz w:val="24"/>
        </w:rPr>
        <w:t xml:space="preserve"> </w:t>
      </w:r>
      <w:r>
        <w:rPr>
          <w:rStyle w:val="VerbatimChar"/>
          <w:rFonts w:ascii="Times New Roman" w:hAnsi="Times New Roman"/>
          <w:sz w:val="24"/>
        </w:rPr>
        <w:t xml:space="preserve">vol_lag1</w:t>
      </w:r>
      <w:r>
        <w:rPr>
          <w:rFonts w:ascii="Times New Roman" w:hAnsi="Times New Roman"/>
          <w:sz w:val="24"/>
        </w:rPr>
        <w:t xml:space="preserve"> </w:t>
      </w:r>
      <w:r>
        <w:rPr>
          <w:rFonts w:ascii="Times New Roman" w:hAnsi="Times New Roman"/>
          <w:sz w:val="24"/>
        </w:rPr>
        <w:t xml:space="preserve">es economicamente relevante.</w:t>
      </w:r>
    </w:p>
    <w:p>
      <w:pPr>
        <w:numPr>
          <w:ilvl w:val="0"/>
          <w:numId w:val="1008"/>
        </w:numPr>
        <w:spacing w:line="360" w:lineRule="auto" w:before="0" w:after="120"/>
        <w:jc w:val="both"/>
      </w:pPr>
      <w:r>
        <w:rPr>
          <w:rFonts w:ascii="Times New Roman" w:hAnsi="Times New Roman"/>
          <w:b/>
          <w:bCs/>
          <w:sz w:val="24"/>
        </w:rPr>
        <w:t xml:space="preserve">Frecuencia de variables macro.</w:t>
      </w:r>
      <w:r>
        <w:rPr>
          <w:rFonts w:ascii="Times New Roman" w:hAnsi="Times New Roman"/>
          <w:sz w:val="24"/>
        </w:rPr>
        <w:t xml:space="preserve"> </w:t>
      </w:r>
      <w:r>
        <w:rPr>
          <w:rFonts w:ascii="Times New Roman" w:hAnsi="Times New Roman"/>
          <w:sz w:val="24"/>
        </w:rPr>
        <w:t xml:space="preserve">Variables reales (PIB, paro) son trimestrales, generando largos forward-fills. Su contribución a frecuencia diaria es limitada.</w:t>
      </w:r>
    </w:p>
    <w:p>
      <w:pPr>
        <w:numPr>
          <w:ilvl w:val="0"/>
          <w:numId w:val="1008"/>
        </w:numPr>
        <w:spacing w:line="360" w:lineRule="auto" w:before="0" w:after="120"/>
        <w:jc w:val="both"/>
      </w:pPr>
      <w:r>
        <w:rPr>
          <w:rFonts w:ascii="Times New Roman" w:hAnsi="Times New Roman"/>
          <w:b/>
          <w:bCs/>
          <w:sz w:val="24"/>
        </w:rPr>
        <w:t xml:space="preserve">Período muestral del test.</w:t>
      </w:r>
      <w:r>
        <w:rPr>
          <w:rFonts w:ascii="Times New Roman" w:hAnsi="Times New Roman"/>
          <w:sz w:val="24"/>
        </w:rPr>
        <w:t xml:space="preserve"> </w:t>
      </w:r>
      <w:r>
        <w:rPr>
          <w:rFonts w:ascii="Times New Roman" w:hAnsi="Times New Roman"/>
          <w:sz w:val="24"/>
        </w:rPr>
        <w:t xml:space="preserve">El test set (2023–2025) es relativamente tranquilo. Resultados podrían variar en períodos de estrés.</w:t>
      </w:r>
    </w:p>
    <w:p>
      <w:pPr>
        <w:pStyle w:val="FirstParagraph"/>
        <w:spacing w:line="360" w:lineRule="auto" w:before="0" w:after="120"/>
        <w:jc w:val="both"/>
      </w:pPr>
      <w:r>
        <w:rPr>
          <w:rFonts w:ascii="Times New Roman" w:hAnsi="Times New Roman"/>
          <w:sz w:val="24"/>
        </w:rPr>
        <w:t xml:space="preserve">Los hallazgos de este capítulo — especialmente la predicción de volatilidad y la identificación de drivers macro — constituyen la base para la fase de Análisis de Negocio, donde la volatilidad predicha se integrará en un modelo de optimización de carteras.</w:t>
      </w:r>
    </w:p>
    <w:p>
      <w:pPr>
        <w:spacing w:line="360" w:lineRule="auto" w:before="0" w:after="120"/>
        <w:jc w:val="both"/>
      </w:pPr>
      <w:r>
        <w:rPr>
          <w:rFonts w:ascii="Times New Roman" w:hAnsi="Times New Roman"/>
          <w:sz w:val="24"/>
        </w:rPr>
        <w:pict>
          <v:rect style="width:0;height:1.5pt" o:hralign="center" o:hrstd="t" o:hr="t"/>
        </w:pict>
      </w:r>
    </w:p>
    <w:bookmarkEnd w:id="51"/>
    <w:bookmarkEnd w:id="52"/>
    <w:bookmarkStart w:id="53" w:name="referencias-bibliográficas"/>
    <w:p>
      <w:pPr>
        <w:pStyle w:val="Heading1"/>
        <w:spacing w:line="360" w:lineRule="auto" w:before="0" w:after="120"/>
        <w:jc w:val="both"/>
      </w:pPr>
      <w:r>
        <w:rPr>
          <w:rFonts w:ascii="Times New Roman" w:hAnsi="Times New Roman"/>
          <w:sz w:val="24"/>
        </w:rPr>
        <w:t xml:space="preserve">REFERENCIAS BIBLIOGRÁFICAS</w:t>
      </w:r>
    </w:p>
    <w:p>
      <w:pPr>
        <w:pStyle w:val="FirstParagraph"/>
        <w:spacing w:line="360" w:lineRule="auto" w:before="0" w:after="120"/>
        <w:jc w:val="both"/>
      </w:pPr>
      <w:r>
        <w:rPr>
          <w:rFonts w:ascii="Times New Roman" w:hAnsi="Times New Roman"/>
          <w:sz w:val="24"/>
        </w:rPr>
        <w:t xml:space="preserve">Bollerslev, T. (1986).</w:t>
      </w:r>
      <w:r>
        <w:rPr>
          <w:rFonts w:ascii="Times New Roman" w:hAnsi="Times New Roman"/>
          <w:sz w:val="24"/>
        </w:rPr>
        <w:t xml:space="preserve"> </w:t>
      </w:r>
      <w:r>
        <w:rPr>
          <w:rFonts w:ascii="Times New Roman" w:hAnsi="Times New Roman"/>
          <w:i/>
          <w:iCs/>
          <w:sz w:val="24"/>
        </w:rPr>
        <w:t xml:space="preserve">Generalized autoregressive conditional heteroskedasticity.</w:t>
      </w:r>
      <w:r>
        <w:rPr>
          <w:rFonts w:ascii="Times New Roman" w:hAnsi="Times New Roman"/>
          <w:sz w:val="24"/>
        </w:rPr>
        <w:t xml:space="preserve"> </w:t>
      </w:r>
      <w:r>
        <w:rPr>
          <w:rFonts w:ascii="Times New Roman" w:hAnsi="Times New Roman"/>
          <w:sz w:val="24"/>
        </w:rPr>
        <w:t xml:space="preserve">Journal of Econometrics, 31(3), 307–327.</w:t>
      </w:r>
    </w:p>
    <w:p>
      <w:pPr>
        <w:pStyle w:val="BodyText"/>
        <w:spacing w:line="360" w:lineRule="auto" w:before="0" w:after="120"/>
        <w:jc w:val="both"/>
      </w:pPr>
      <w:r>
        <w:rPr>
          <w:rFonts w:ascii="Times New Roman" w:hAnsi="Times New Roman"/>
          <w:sz w:val="24"/>
        </w:rPr>
        <w:t xml:space="preserve">Botey-Fullat, M., García-López, A., &amp; Perea-García, J. (2023).</w:t>
      </w:r>
      <w:r>
        <w:rPr>
          <w:rFonts w:ascii="Times New Roman" w:hAnsi="Times New Roman"/>
          <w:sz w:val="24"/>
        </w:rPr>
        <w:t xml:space="preserve"> </w:t>
      </w:r>
      <w:r>
        <w:rPr>
          <w:rFonts w:ascii="Times New Roman" w:hAnsi="Times New Roman"/>
          <w:i/>
          <w:iCs/>
          <w:sz w:val="24"/>
        </w:rPr>
        <w:t xml:space="preserve">Forecasting European equity volatility with machine learning and macroeconomic variables.</w:t>
      </w:r>
      <w:r>
        <w:rPr>
          <w:rFonts w:ascii="Times New Roman" w:hAnsi="Times New Roman"/>
          <w:sz w:val="24"/>
        </w:rPr>
        <w:t xml:space="preserve"> </w:t>
      </w:r>
      <w:r>
        <w:rPr>
          <w:rFonts w:ascii="Times New Roman" w:hAnsi="Times New Roman"/>
          <w:sz w:val="24"/>
        </w:rPr>
        <w:t xml:space="preserve">Finance Research Letters, 52, 103–121.</w:t>
      </w:r>
    </w:p>
    <w:p>
      <w:pPr>
        <w:pStyle w:val="BodyText"/>
        <w:spacing w:line="360" w:lineRule="auto" w:before="0" w:after="120"/>
        <w:jc w:val="both"/>
      </w:pPr>
      <w:r>
        <w:rPr>
          <w:rFonts w:ascii="Times New Roman" w:hAnsi="Times New Roman"/>
          <w:sz w:val="24"/>
        </w:rPr>
        <w:t xml:space="preserve">Chen, T., &amp; Guestrin, C. (2016).</w:t>
      </w:r>
      <w:r>
        <w:rPr>
          <w:rFonts w:ascii="Times New Roman" w:hAnsi="Times New Roman"/>
          <w:sz w:val="24"/>
        </w:rPr>
        <w:t xml:space="preserve"> </w:t>
      </w:r>
      <w:r>
        <w:rPr>
          <w:rFonts w:ascii="Times New Roman" w:hAnsi="Times New Roman"/>
          <w:i/>
          <w:iCs/>
          <w:sz w:val="24"/>
        </w:rPr>
        <w:t xml:space="preserve">XGBoost: A scalable tree boosting system.</w:t>
      </w:r>
      <w:r>
        <w:rPr>
          <w:rFonts w:ascii="Times New Roman" w:hAnsi="Times New Roman"/>
          <w:sz w:val="24"/>
        </w:rPr>
        <w:t xml:space="preserve"> </w:t>
      </w:r>
      <w:r>
        <w:rPr>
          <w:rFonts w:ascii="Times New Roman" w:hAnsi="Times New Roman"/>
          <w:sz w:val="24"/>
        </w:rPr>
        <w:t xml:space="preserve">Proceedings of the 22nd ACM SIGKDD International Conference on Knowledge Discovery and Data Mining, 785–794.</w:t>
      </w:r>
    </w:p>
    <w:p>
      <w:pPr>
        <w:pStyle w:val="BodyText"/>
        <w:spacing w:line="360" w:lineRule="auto" w:before="0" w:after="120"/>
        <w:jc w:val="both"/>
      </w:pPr>
      <w:r>
        <w:rPr>
          <w:rFonts w:ascii="Times New Roman" w:hAnsi="Times New Roman"/>
          <w:sz w:val="24"/>
        </w:rPr>
        <w:t xml:space="preserve">Corsi, F. (2009).</w:t>
      </w:r>
      <w:r>
        <w:rPr>
          <w:rFonts w:ascii="Times New Roman" w:hAnsi="Times New Roman"/>
          <w:sz w:val="24"/>
        </w:rPr>
        <w:t xml:space="preserve"> </w:t>
      </w:r>
      <w:r>
        <w:rPr>
          <w:rFonts w:ascii="Times New Roman" w:hAnsi="Times New Roman"/>
          <w:i/>
          <w:iCs/>
          <w:sz w:val="24"/>
        </w:rPr>
        <w:t xml:space="preserve">A simple approximate long-memory model of realized volatility.</w:t>
      </w:r>
      <w:r>
        <w:rPr>
          <w:rFonts w:ascii="Times New Roman" w:hAnsi="Times New Roman"/>
          <w:sz w:val="24"/>
        </w:rPr>
        <w:t xml:space="preserve"> </w:t>
      </w:r>
      <w:r>
        <w:rPr>
          <w:rFonts w:ascii="Times New Roman" w:hAnsi="Times New Roman"/>
          <w:sz w:val="24"/>
        </w:rPr>
        <w:t xml:space="preserve">Journal of Financial Econometrics, 7(2), 174–196.</w:t>
      </w:r>
    </w:p>
    <w:p>
      <w:pPr>
        <w:pStyle w:val="BodyText"/>
        <w:spacing w:line="360" w:lineRule="auto" w:before="0" w:after="120"/>
        <w:jc w:val="both"/>
      </w:pPr>
      <w:r>
        <w:rPr>
          <w:rFonts w:ascii="Times New Roman" w:hAnsi="Times New Roman"/>
          <w:sz w:val="24"/>
        </w:rPr>
        <w:t xml:space="preserve">Diebold, F. X., &amp; Mariano, R. S. (1995).</w:t>
      </w:r>
      <w:r>
        <w:rPr>
          <w:rFonts w:ascii="Times New Roman" w:hAnsi="Times New Roman"/>
          <w:sz w:val="24"/>
        </w:rPr>
        <w:t xml:space="preserve"> </w:t>
      </w:r>
      <w:r>
        <w:rPr>
          <w:rFonts w:ascii="Times New Roman" w:hAnsi="Times New Roman"/>
          <w:i/>
          <w:iCs/>
          <w:sz w:val="24"/>
        </w:rPr>
        <w:t xml:space="preserve">Comparing predictive accuracy.</w:t>
      </w:r>
      <w:r>
        <w:rPr>
          <w:rFonts w:ascii="Times New Roman" w:hAnsi="Times New Roman"/>
          <w:sz w:val="24"/>
        </w:rPr>
        <w:t xml:space="preserve"> </w:t>
      </w:r>
      <w:r>
        <w:rPr>
          <w:rFonts w:ascii="Times New Roman" w:hAnsi="Times New Roman"/>
          <w:sz w:val="24"/>
        </w:rPr>
        <w:t xml:space="preserve">Journal of Business &amp; Economic Statistics, 13(3), 253–263.</w:t>
      </w:r>
    </w:p>
    <w:p>
      <w:pPr>
        <w:pStyle w:val="BodyText"/>
        <w:spacing w:line="360" w:lineRule="auto" w:before="0" w:after="120"/>
        <w:jc w:val="both"/>
      </w:pPr>
      <w:r>
        <w:rPr>
          <w:rFonts w:ascii="Times New Roman" w:hAnsi="Times New Roman"/>
          <w:sz w:val="24"/>
        </w:rPr>
        <w:t xml:space="preserve">Engle, R. F. (1982).</w:t>
      </w:r>
      <w:r>
        <w:rPr>
          <w:rFonts w:ascii="Times New Roman" w:hAnsi="Times New Roman"/>
          <w:sz w:val="24"/>
        </w:rPr>
        <w:t xml:space="preserve"> </w:t>
      </w:r>
      <w:r>
        <w:rPr>
          <w:rFonts w:ascii="Times New Roman" w:hAnsi="Times New Roman"/>
          <w:i/>
          <w:iCs/>
          <w:sz w:val="24"/>
        </w:rPr>
        <w:t xml:space="preserve">Autoregressive conditional heteroscedasticity with estimates of the variance of United Kingdom inflation.</w:t>
      </w:r>
      <w:r>
        <w:rPr>
          <w:rFonts w:ascii="Times New Roman" w:hAnsi="Times New Roman"/>
          <w:sz w:val="24"/>
        </w:rPr>
        <w:t xml:space="preserve"> </w:t>
      </w:r>
      <w:r>
        <w:rPr>
          <w:rFonts w:ascii="Times New Roman" w:hAnsi="Times New Roman"/>
          <w:sz w:val="24"/>
        </w:rPr>
        <w:t xml:space="preserve">Econometrica, 50(4), 987–1007.</w:t>
      </w:r>
    </w:p>
    <w:p>
      <w:pPr>
        <w:pStyle w:val="BodyText"/>
        <w:spacing w:line="360" w:lineRule="auto" w:before="0" w:after="120"/>
        <w:jc w:val="both"/>
      </w:pPr>
      <w:r>
        <w:rPr>
          <w:rFonts w:ascii="Times New Roman" w:hAnsi="Times New Roman"/>
          <w:sz w:val="24"/>
        </w:rPr>
        <w:t xml:space="preserve">Lundberg, S. M., &amp; Lee, S.-I. (2017).</w:t>
      </w:r>
      <w:r>
        <w:rPr>
          <w:rFonts w:ascii="Times New Roman" w:hAnsi="Times New Roman"/>
          <w:sz w:val="24"/>
        </w:rPr>
        <w:t xml:space="preserve"> </w:t>
      </w:r>
      <w:r>
        <w:rPr>
          <w:rFonts w:ascii="Times New Roman" w:hAnsi="Times New Roman"/>
          <w:i/>
          <w:iCs/>
          <w:sz w:val="24"/>
        </w:rPr>
        <w:t xml:space="preserve">A unified approach to interpreting model predictions.</w:t>
      </w:r>
      <w:r>
        <w:rPr>
          <w:rFonts w:ascii="Times New Roman" w:hAnsi="Times New Roman"/>
          <w:sz w:val="24"/>
        </w:rPr>
        <w:t xml:space="preserve"> </w:t>
      </w:r>
      <w:r>
        <w:rPr>
          <w:rFonts w:ascii="Times New Roman" w:hAnsi="Times New Roman"/>
          <w:sz w:val="24"/>
        </w:rPr>
        <w:t xml:space="preserve">Advances in Neural Information Processing Systems 30 (NeurIPS 2017), 4765–4774.</w:t>
      </w:r>
    </w:p>
    <w:p>
      <w:pPr>
        <w:pStyle w:val="BodyText"/>
        <w:spacing w:line="360" w:lineRule="auto" w:before="0" w:after="120"/>
        <w:jc w:val="both"/>
      </w:pPr>
      <w:r>
        <w:rPr>
          <w:rFonts w:ascii="Times New Roman" w:hAnsi="Times New Roman"/>
          <w:sz w:val="24"/>
        </w:rPr>
        <w:t xml:space="preserve">Mandelbrot, B. (1963).</w:t>
      </w:r>
      <w:r>
        <w:rPr>
          <w:rFonts w:ascii="Times New Roman" w:hAnsi="Times New Roman"/>
          <w:sz w:val="24"/>
        </w:rPr>
        <w:t xml:space="preserve"> </w:t>
      </w:r>
      <w:r>
        <w:rPr>
          <w:rFonts w:ascii="Times New Roman" w:hAnsi="Times New Roman"/>
          <w:i/>
          <w:iCs/>
          <w:sz w:val="24"/>
        </w:rPr>
        <w:t xml:space="preserve">The variation of certain speculative prices.</w:t>
      </w:r>
      <w:r>
        <w:rPr>
          <w:rFonts w:ascii="Times New Roman" w:hAnsi="Times New Roman"/>
          <w:sz w:val="24"/>
        </w:rPr>
        <w:t xml:space="preserve"> </w:t>
      </w:r>
      <w:r>
        <w:rPr>
          <w:rFonts w:ascii="Times New Roman" w:hAnsi="Times New Roman"/>
          <w:sz w:val="24"/>
        </w:rPr>
        <w:t xml:space="preserve">Journal of Business, 36(4), 394–419.</w:t>
      </w:r>
    </w:p>
    <w:p>
      <w:pPr>
        <w:pStyle w:val="BodyText"/>
        <w:spacing w:line="360" w:lineRule="auto" w:before="0" w:after="120"/>
        <w:jc w:val="both"/>
      </w:pPr>
      <w:r>
        <w:rPr>
          <w:rFonts w:ascii="Times New Roman" w:hAnsi="Times New Roman"/>
          <w:sz w:val="24"/>
        </w:rPr>
        <w:t xml:space="preserve">Minga López, C. (2022).</w:t>
      </w:r>
      <w:r>
        <w:rPr>
          <w:rFonts w:ascii="Times New Roman" w:hAnsi="Times New Roman"/>
          <w:sz w:val="24"/>
        </w:rPr>
        <w:t xml:space="preserve"> </w:t>
      </w:r>
      <w:r>
        <w:rPr>
          <w:rFonts w:ascii="Times New Roman" w:hAnsi="Times New Roman"/>
          <w:i/>
          <w:iCs/>
          <w:sz w:val="24"/>
        </w:rPr>
        <w:t xml:space="preserve">Predicción de la volatilidad del IBEX 35 mediante variables macroeconómicas.</w:t>
      </w:r>
      <w:r>
        <w:rPr>
          <w:rFonts w:ascii="Times New Roman" w:hAnsi="Times New Roman"/>
          <w:sz w:val="24"/>
        </w:rPr>
        <w:t xml:space="preserve"> </w:t>
      </w:r>
      <w:r>
        <w:rPr>
          <w:rFonts w:ascii="Times New Roman" w:hAnsi="Times New Roman"/>
          <w:sz w:val="24"/>
        </w:rPr>
        <w:t xml:space="preserve">Trabajo de Fin de Grado, Universidad Francisco de Vitoria, Madrid.</w:t>
      </w:r>
    </w:p>
    <w:p>
      <w:pPr>
        <w:pStyle w:val="BodyText"/>
        <w:spacing w:line="360" w:lineRule="auto" w:before="0" w:after="120"/>
        <w:jc w:val="both"/>
      </w:pPr>
      <w:r>
        <w:rPr>
          <w:rFonts w:ascii="Times New Roman" w:hAnsi="Times New Roman"/>
          <w:sz w:val="24"/>
        </w:rPr>
        <w:t xml:space="preserve">Patton, A. J. (2011).</w:t>
      </w:r>
      <w:r>
        <w:rPr>
          <w:rFonts w:ascii="Times New Roman" w:hAnsi="Times New Roman"/>
          <w:sz w:val="24"/>
        </w:rPr>
        <w:t xml:space="preserve"> </w:t>
      </w:r>
      <w:r>
        <w:rPr>
          <w:rFonts w:ascii="Times New Roman" w:hAnsi="Times New Roman"/>
          <w:i/>
          <w:iCs/>
          <w:sz w:val="24"/>
        </w:rPr>
        <w:t xml:space="preserve">Volatility forecast comparison using imperfect volatility proxies.</w:t>
      </w:r>
      <w:r>
        <w:rPr>
          <w:rFonts w:ascii="Times New Roman" w:hAnsi="Times New Roman"/>
          <w:sz w:val="24"/>
        </w:rPr>
        <w:t xml:space="preserve"> </w:t>
      </w:r>
      <w:r>
        <w:rPr>
          <w:rFonts w:ascii="Times New Roman" w:hAnsi="Times New Roman"/>
          <w:sz w:val="24"/>
        </w:rPr>
        <w:t xml:space="preserve">Journal of Econometrics, 160(1), 246–256.</w:t>
      </w:r>
    </w:p>
    <w:bookmarkEnd w:id="53"/>
    <w:sectPr>
      <w:footnotePr>
        <w:numRestart w:val="eachSect"/>
      </w:footnotePr>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Impacto de las variables macroeconómicas en la volatilidad del IBEX 35: Análisis del Dato</dc:title>
  <dc:creator/>
  <cp:keywords/>
  <dcterms:created xsi:type="dcterms:W3CDTF">2026-04-12T16:56:37Z</dcterms:created>
  <dcterms:modified xsi:type="dcterms:W3CDTF">2026-04-12T16:56:37Z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ademic_year">
    <vt:lpwstr>2024-2025</vt:lpwstr>
  </property>
  <property fmtid="{D5CDD505-2E9C-101B-9397-08002B2CF9AE}" pid="3" name="degree">
    <vt:lpwstr>Grado en Ingeniería de Datos</vt:lpwstr>
  </property>
  <property fmtid="{D5CDD505-2E9C-101B-9397-08002B2CF9AE}" pid="4" name="email">
    <vt:lpwstr/>
  </property>
  <property fmtid="{D5CDD505-2E9C-101B-9397-08002B2CF9AE}" pid="5" name="faculty">
    <vt:lpwstr>Facultad de Ingeniería</vt:lpwstr>
  </property>
  <property fmtid="{D5CDD505-2E9C-101B-9397-08002B2CF9AE}" pid="6" name="tutor">
    <vt:lpwstr/>
  </property>
</Properties>
</file>