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1B797" w14:textId="77777777" w:rsidR="001B6E41" w:rsidRPr="00F315D9" w:rsidRDefault="00000000">
      <w:pPr>
        <w:pStyle w:val="Ttulo1"/>
        <w:rPr>
          <w:lang w:val="es-ES"/>
        </w:rPr>
      </w:pPr>
      <w:bookmarkStart w:id="0" w:name="ingeniería-del-dato"/>
      <w:r w:rsidRPr="00F315D9">
        <w:rPr>
          <w:lang w:val="es-ES"/>
        </w:rPr>
        <w:t>Ingeniería del Dato</w:t>
      </w:r>
    </w:p>
    <w:p w14:paraId="4FBD1D55" w14:textId="77777777" w:rsidR="001B6E41" w:rsidRPr="00F315D9" w:rsidRDefault="00000000">
      <w:pPr>
        <w:pStyle w:val="Ttulo2"/>
        <w:rPr>
          <w:lang w:val="es-ES"/>
        </w:rPr>
      </w:pPr>
      <w:bookmarkStart w:id="1" w:name="introducción"/>
      <w:r w:rsidRPr="00F315D9">
        <w:rPr>
          <w:lang w:val="es-ES"/>
        </w:rPr>
        <w:t>1. Introducción</w:t>
      </w:r>
    </w:p>
    <w:p w14:paraId="251B1AED" w14:textId="77777777" w:rsidR="001B6E41" w:rsidRPr="00F315D9" w:rsidRDefault="00000000">
      <w:pPr>
        <w:rPr>
          <w:lang w:val="es-ES"/>
        </w:rPr>
      </w:pPr>
      <w:r w:rsidRPr="00F315D9">
        <w:rPr>
          <w:lang w:val="es-ES"/>
        </w:rPr>
        <w:t xml:space="preserve">La fase de Ingeniería del Dato constituye el pilar fundamental sobre el que se construye todo el análisis posterior de este trabajo. Su objetivo es construir un </w:t>
      </w:r>
      <w:proofErr w:type="spellStart"/>
      <w:r w:rsidRPr="00F315D9">
        <w:rPr>
          <w:lang w:val="es-ES"/>
        </w:rPr>
        <w:t>dataset</w:t>
      </w:r>
      <w:proofErr w:type="spellEnd"/>
      <w:r w:rsidRPr="00F315D9">
        <w:rPr>
          <w:lang w:val="es-ES"/>
        </w:rPr>
        <w:t xml:space="preserve"> maestro que integre, en una única tabla de frecuencia diaria, los precios de las 35 empresas del IBEX 35 junto con </w:t>
      </w:r>
      <w:r w:rsidRPr="00F315D9">
        <w:rPr>
          <w:b/>
          <w:bCs/>
          <w:lang w:val="es-ES"/>
        </w:rPr>
        <w:t>21 variables macroeconómicas</w:t>
      </w:r>
      <w:r w:rsidRPr="00F315D9">
        <w:rPr>
          <w:lang w:val="es-ES"/>
        </w:rPr>
        <w:t xml:space="preserve"> de distinta naturaleza y frecuencia temporal. Este proceso abarca la extracción de datos desde múltiples fuentes heterogéneas, su transformación y limpieza, la alineación temporal al calendario bursátil español y un análisis exploratorio exhaustivo que justifica las decisiones de diseño adoptadas para la fase de modelización.</w:t>
      </w:r>
    </w:p>
    <w:p w14:paraId="1BE4AFCC" w14:textId="77777777" w:rsidR="001B6E41" w:rsidRPr="00F315D9" w:rsidRDefault="00000000">
      <w:pPr>
        <w:pStyle w:val="Textoindependiente"/>
        <w:rPr>
          <w:lang w:val="es-ES"/>
        </w:rPr>
      </w:pPr>
      <w:r w:rsidRPr="00F315D9">
        <w:rPr>
          <w:lang w:val="es-ES"/>
        </w:rPr>
        <w:t xml:space="preserve">El pipeline completo se implementa en </w:t>
      </w:r>
      <w:r w:rsidRPr="00F315D9">
        <w:rPr>
          <w:b/>
          <w:bCs/>
          <w:lang w:val="es-ES"/>
        </w:rPr>
        <w:t>cuatro notebooks secuenciales</w:t>
      </w:r>
      <w:r w:rsidRPr="00F315D9">
        <w:rPr>
          <w:lang w:val="es-ES"/>
        </w:rPr>
        <w:t xml:space="preserve"> de Python (01_ETL_empresas, 02_ETL_macro, 03_validacion, 04_EDA) y culmina en una base de datos SQLite (</w:t>
      </w:r>
      <w:proofErr w:type="spellStart"/>
      <w:r w:rsidRPr="00F315D9">
        <w:rPr>
          <w:lang w:val="es-ES"/>
        </w:rPr>
        <w:t>tfg.db</w:t>
      </w:r>
      <w:proofErr w:type="spellEnd"/>
      <w:r w:rsidRPr="00F315D9">
        <w:rPr>
          <w:lang w:val="es-ES"/>
        </w:rPr>
        <w:t>) con 8 tablas y más de 325.000 registros.</w:t>
      </w:r>
    </w:p>
    <w:p w14:paraId="2F38D357" w14:textId="77777777" w:rsidR="001B6E41" w:rsidRPr="00F315D9" w:rsidRDefault="00000000">
      <w:pPr>
        <w:pStyle w:val="Ttulo2"/>
        <w:rPr>
          <w:lang w:val="es-ES"/>
        </w:rPr>
      </w:pPr>
      <w:bookmarkStart w:id="2" w:name="herramientas-tecnológicas"/>
      <w:bookmarkEnd w:id="1"/>
      <w:r w:rsidRPr="00F315D9">
        <w:rPr>
          <w:lang w:val="es-ES"/>
        </w:rPr>
        <w:t>2. Herramientas tecnológicas</w:t>
      </w:r>
    </w:p>
    <w:p w14:paraId="32108D38" w14:textId="77777777" w:rsidR="001B6E41" w:rsidRDefault="00000000">
      <w:r w:rsidRPr="00F315D9">
        <w:rPr>
          <w:lang w:val="es-ES"/>
        </w:rPr>
        <w:t xml:space="preserve">El entorno de desarrollo utilizado es </w:t>
      </w:r>
      <w:r w:rsidRPr="00F315D9">
        <w:rPr>
          <w:b/>
          <w:bCs/>
          <w:lang w:val="es-ES"/>
        </w:rPr>
        <w:t>Python 3</w:t>
      </w:r>
      <w:r w:rsidRPr="00F315D9">
        <w:rPr>
          <w:lang w:val="es-ES"/>
        </w:rPr>
        <w:t xml:space="preserve"> ejecutado sobre </w:t>
      </w:r>
      <w:proofErr w:type="spellStart"/>
      <w:r w:rsidRPr="00F315D9">
        <w:rPr>
          <w:b/>
          <w:bCs/>
          <w:lang w:val="es-ES"/>
        </w:rPr>
        <w:t>Jupyter</w:t>
      </w:r>
      <w:proofErr w:type="spellEnd"/>
      <w:r w:rsidRPr="00F315D9">
        <w:rPr>
          <w:b/>
          <w:bCs/>
          <w:lang w:val="es-ES"/>
        </w:rPr>
        <w:t xml:space="preserve"> Notebook</w:t>
      </w:r>
      <w:r w:rsidRPr="00F315D9">
        <w:rPr>
          <w:lang w:val="es-ES"/>
        </w:rPr>
        <w:t xml:space="preserve">, lo que permite combinar código, visualizaciones y documentación en un flujo de trabajo reproducible. </w:t>
      </w:r>
      <w:r>
        <w:t xml:space="preserve">Las </w:t>
      </w:r>
      <w:proofErr w:type="spellStart"/>
      <w:r>
        <w:t>principales</w:t>
      </w:r>
      <w:proofErr w:type="spellEnd"/>
      <w:r>
        <w:t xml:space="preserve"> </w:t>
      </w:r>
      <w:proofErr w:type="spellStart"/>
      <w:r>
        <w:t>librerías</w:t>
      </w:r>
      <w:proofErr w:type="spellEnd"/>
      <w:r>
        <w:t xml:space="preserve"> </w:t>
      </w:r>
      <w:proofErr w:type="spellStart"/>
      <w:r>
        <w:t>empleadas</w:t>
      </w:r>
      <w:proofErr w:type="spellEnd"/>
      <w:r>
        <w:t xml:space="preserve"> son:</w:t>
      </w:r>
    </w:p>
    <w:p w14:paraId="4006644D" w14:textId="77777777" w:rsidR="001B6E41" w:rsidRPr="00F315D9" w:rsidRDefault="00000000">
      <w:pPr>
        <w:numPr>
          <w:ilvl w:val="0"/>
          <w:numId w:val="11"/>
        </w:numPr>
        <w:rPr>
          <w:lang w:val="es-ES"/>
        </w:rPr>
      </w:pPr>
      <w:r w:rsidRPr="00F315D9">
        <w:rPr>
          <w:b/>
          <w:bCs/>
          <w:lang w:val="es-ES"/>
        </w:rPr>
        <w:t>pandas</w:t>
      </w:r>
      <w:r w:rsidRPr="00F315D9">
        <w:rPr>
          <w:lang w:val="es-ES"/>
        </w:rPr>
        <w:t xml:space="preserve"> y </w:t>
      </w:r>
      <w:proofErr w:type="spellStart"/>
      <w:r w:rsidRPr="00F315D9">
        <w:rPr>
          <w:b/>
          <w:bCs/>
          <w:lang w:val="es-ES"/>
        </w:rPr>
        <w:t>NumPy</w:t>
      </w:r>
      <w:proofErr w:type="spellEnd"/>
      <w:r w:rsidRPr="00F315D9">
        <w:rPr>
          <w:lang w:val="es-ES"/>
        </w:rPr>
        <w:t xml:space="preserve">: manipulación de </w:t>
      </w:r>
      <w:proofErr w:type="spellStart"/>
      <w:r w:rsidRPr="00F315D9">
        <w:rPr>
          <w:lang w:val="es-ES"/>
        </w:rPr>
        <w:t>DataFrames</w:t>
      </w:r>
      <w:proofErr w:type="spellEnd"/>
      <w:r w:rsidRPr="00F315D9">
        <w:rPr>
          <w:lang w:val="es-ES"/>
        </w:rPr>
        <w:t>, cálculos vectorizados, gestión de fechas y operaciones de ventana móvil.</w:t>
      </w:r>
    </w:p>
    <w:p w14:paraId="5042B856" w14:textId="77777777" w:rsidR="001B6E41" w:rsidRPr="00F315D9" w:rsidRDefault="00000000">
      <w:pPr>
        <w:numPr>
          <w:ilvl w:val="0"/>
          <w:numId w:val="11"/>
        </w:numPr>
        <w:rPr>
          <w:lang w:val="es-ES"/>
        </w:rPr>
      </w:pPr>
      <w:proofErr w:type="spellStart"/>
      <w:r w:rsidRPr="00F315D9">
        <w:rPr>
          <w:b/>
          <w:bCs/>
          <w:lang w:val="es-ES"/>
        </w:rPr>
        <w:t>SQLAlchemy</w:t>
      </w:r>
      <w:proofErr w:type="spellEnd"/>
      <w:r w:rsidRPr="00F315D9">
        <w:rPr>
          <w:lang w:val="es-ES"/>
        </w:rPr>
        <w:t xml:space="preserve"> y </w:t>
      </w:r>
      <w:r w:rsidRPr="00F315D9">
        <w:rPr>
          <w:b/>
          <w:bCs/>
          <w:lang w:val="es-ES"/>
        </w:rPr>
        <w:t>sqlite3</w:t>
      </w:r>
      <w:r w:rsidRPr="00F315D9">
        <w:rPr>
          <w:lang w:val="es-ES"/>
        </w:rPr>
        <w:t>: conexión y escritura en la base de datos relacional SQLite, elegida por su ligereza y portabilidad (no requiere servidor).</w:t>
      </w:r>
    </w:p>
    <w:p w14:paraId="2AA69755" w14:textId="77777777" w:rsidR="001B6E41" w:rsidRPr="00F315D9" w:rsidRDefault="00000000">
      <w:pPr>
        <w:numPr>
          <w:ilvl w:val="0"/>
          <w:numId w:val="11"/>
        </w:numPr>
        <w:rPr>
          <w:lang w:val="es-ES"/>
        </w:rPr>
      </w:pPr>
      <w:proofErr w:type="spellStart"/>
      <w:r w:rsidRPr="00F315D9">
        <w:rPr>
          <w:b/>
          <w:bCs/>
          <w:lang w:val="es-ES"/>
        </w:rPr>
        <w:t>matplotlib</w:t>
      </w:r>
      <w:proofErr w:type="spellEnd"/>
      <w:r w:rsidRPr="00F315D9">
        <w:rPr>
          <w:lang w:val="es-ES"/>
        </w:rPr>
        <w:t xml:space="preserve"> y </w:t>
      </w:r>
      <w:proofErr w:type="spellStart"/>
      <w:r w:rsidRPr="00F315D9">
        <w:rPr>
          <w:b/>
          <w:bCs/>
          <w:lang w:val="es-ES"/>
        </w:rPr>
        <w:t>seaborn</w:t>
      </w:r>
      <w:proofErr w:type="spellEnd"/>
      <w:r w:rsidRPr="00F315D9">
        <w:rPr>
          <w:lang w:val="es-ES"/>
        </w:rPr>
        <w:t xml:space="preserve">: visualización estadística con configuración personalizada (DPI 120, estilo </w:t>
      </w:r>
      <w:proofErr w:type="spellStart"/>
      <w:r w:rsidRPr="00F315D9">
        <w:rPr>
          <w:lang w:val="es-ES"/>
        </w:rPr>
        <w:t>whitegrid</w:t>
      </w:r>
      <w:proofErr w:type="spellEnd"/>
      <w:r w:rsidRPr="00F315D9">
        <w:rPr>
          <w:lang w:val="es-ES"/>
        </w:rPr>
        <w:t xml:space="preserve">, paleta </w:t>
      </w:r>
      <w:proofErr w:type="spellStart"/>
      <w:r w:rsidRPr="00F315D9">
        <w:rPr>
          <w:lang w:val="es-ES"/>
        </w:rPr>
        <w:t>deep</w:t>
      </w:r>
      <w:proofErr w:type="spellEnd"/>
      <w:r w:rsidRPr="00F315D9">
        <w:rPr>
          <w:lang w:val="es-ES"/>
        </w:rPr>
        <w:t>).</w:t>
      </w:r>
    </w:p>
    <w:p w14:paraId="5408546C" w14:textId="77777777" w:rsidR="001B6E41" w:rsidRPr="00F315D9" w:rsidRDefault="00000000">
      <w:pPr>
        <w:numPr>
          <w:ilvl w:val="0"/>
          <w:numId w:val="11"/>
        </w:numPr>
        <w:rPr>
          <w:lang w:val="es-ES"/>
        </w:rPr>
      </w:pPr>
      <w:proofErr w:type="spellStart"/>
      <w:proofErr w:type="gramStart"/>
      <w:r w:rsidRPr="00F315D9">
        <w:rPr>
          <w:b/>
          <w:bCs/>
          <w:lang w:val="es-ES"/>
        </w:rPr>
        <w:t>scipy.stats</w:t>
      </w:r>
      <w:proofErr w:type="spellEnd"/>
      <w:proofErr w:type="gramEnd"/>
      <w:r w:rsidRPr="00F315D9">
        <w:rPr>
          <w:lang w:val="es-ES"/>
        </w:rPr>
        <w:t xml:space="preserve">: </w:t>
      </w:r>
      <w:proofErr w:type="spellStart"/>
      <w:r w:rsidRPr="00F315D9">
        <w:rPr>
          <w:lang w:val="es-ES"/>
        </w:rPr>
        <w:t>tests</w:t>
      </w:r>
      <w:proofErr w:type="spellEnd"/>
      <w:r w:rsidRPr="00F315D9">
        <w:rPr>
          <w:lang w:val="es-ES"/>
        </w:rPr>
        <w:t xml:space="preserve"> de normalidad (Jarque-</w:t>
      </w:r>
      <w:proofErr w:type="spellStart"/>
      <w:r w:rsidRPr="00F315D9">
        <w:rPr>
          <w:lang w:val="es-ES"/>
        </w:rPr>
        <w:t>Bera</w:t>
      </w:r>
      <w:proofErr w:type="spellEnd"/>
      <w:r w:rsidRPr="00F315D9">
        <w:rPr>
          <w:lang w:val="es-ES"/>
        </w:rPr>
        <w:t xml:space="preserve">), detección de </w:t>
      </w:r>
      <w:proofErr w:type="spellStart"/>
      <w:r w:rsidRPr="00F315D9">
        <w:rPr>
          <w:lang w:val="es-ES"/>
        </w:rPr>
        <w:t>outliers</w:t>
      </w:r>
      <w:proofErr w:type="spellEnd"/>
      <w:r w:rsidRPr="00F315D9">
        <w:rPr>
          <w:lang w:val="es-ES"/>
        </w:rPr>
        <w:t xml:space="preserve"> (Z-score), </w:t>
      </w:r>
      <w:proofErr w:type="spellStart"/>
      <w:r w:rsidRPr="00F315D9">
        <w:rPr>
          <w:lang w:val="es-ES"/>
        </w:rPr>
        <w:t>tests</w:t>
      </w:r>
      <w:proofErr w:type="spellEnd"/>
      <w:r w:rsidRPr="00F315D9">
        <w:rPr>
          <w:lang w:val="es-ES"/>
        </w:rPr>
        <w:t xml:space="preserve"> no paramétricos (Mann-Whitney U, Kruskal-Wallis).</w:t>
      </w:r>
    </w:p>
    <w:p w14:paraId="5E9B8415" w14:textId="77777777" w:rsidR="001B6E41" w:rsidRPr="00F315D9" w:rsidRDefault="00000000">
      <w:pPr>
        <w:numPr>
          <w:ilvl w:val="0"/>
          <w:numId w:val="11"/>
        </w:numPr>
        <w:rPr>
          <w:lang w:val="es-ES"/>
        </w:rPr>
      </w:pPr>
      <w:proofErr w:type="spellStart"/>
      <w:r w:rsidRPr="00F315D9">
        <w:rPr>
          <w:b/>
          <w:bCs/>
          <w:lang w:val="es-ES"/>
        </w:rPr>
        <w:t>statsmodels</w:t>
      </w:r>
      <w:proofErr w:type="spellEnd"/>
      <w:r w:rsidRPr="00F315D9">
        <w:rPr>
          <w:lang w:val="es-ES"/>
        </w:rPr>
        <w:t xml:space="preserve">: test de estacionariedad </w:t>
      </w:r>
      <w:proofErr w:type="spellStart"/>
      <w:r w:rsidRPr="00F315D9">
        <w:rPr>
          <w:lang w:val="es-ES"/>
        </w:rPr>
        <w:t>Augmented</w:t>
      </w:r>
      <w:proofErr w:type="spellEnd"/>
      <w:r w:rsidRPr="00F315D9">
        <w:rPr>
          <w:lang w:val="es-ES"/>
        </w:rPr>
        <w:t xml:space="preserve"> </w:t>
      </w:r>
      <w:proofErr w:type="spellStart"/>
      <w:r w:rsidRPr="00F315D9">
        <w:rPr>
          <w:lang w:val="es-ES"/>
        </w:rPr>
        <w:t>Dickey</w:t>
      </w:r>
      <w:proofErr w:type="spellEnd"/>
      <w:r w:rsidRPr="00F315D9">
        <w:rPr>
          <w:lang w:val="es-ES"/>
        </w:rPr>
        <w:t xml:space="preserve">-Fuller (ADF), funciones de autocorrelación (ACF/PACF) y </w:t>
      </w:r>
      <w:proofErr w:type="spellStart"/>
      <w:r w:rsidRPr="00F315D9">
        <w:rPr>
          <w:lang w:val="es-ES"/>
        </w:rPr>
        <w:t>cross</w:t>
      </w:r>
      <w:proofErr w:type="spellEnd"/>
      <w:r w:rsidRPr="00F315D9">
        <w:rPr>
          <w:lang w:val="es-ES"/>
        </w:rPr>
        <w:t>-correlación (CCF).</w:t>
      </w:r>
    </w:p>
    <w:p w14:paraId="0F26F319" w14:textId="77777777" w:rsidR="001B6E41" w:rsidRPr="00F315D9" w:rsidRDefault="00000000">
      <w:pPr>
        <w:rPr>
          <w:lang w:val="es-ES"/>
        </w:rPr>
      </w:pPr>
      <w:r w:rsidRPr="00F315D9">
        <w:rPr>
          <w:lang w:val="es-ES"/>
        </w:rPr>
        <w:t>La base de datos SQLite fue elegida frente a alternativas como PostgreSQL o CSV planos porque ofrece un equilibrio óptimo entre rendimiento, portabilidad y facilidad de consulta SQL, sin requerir la instalación ni administración de un servidor externo.</w:t>
      </w:r>
    </w:p>
    <w:p w14:paraId="6448B4E9" w14:textId="77777777" w:rsidR="001B6E41" w:rsidRPr="00F315D9" w:rsidRDefault="00000000">
      <w:pPr>
        <w:pStyle w:val="Ttulo2"/>
        <w:rPr>
          <w:lang w:val="es-ES"/>
        </w:rPr>
      </w:pPr>
      <w:bookmarkStart w:id="3" w:name="origen-de-los-datos"/>
      <w:bookmarkEnd w:id="2"/>
      <w:r w:rsidRPr="00F315D9">
        <w:rPr>
          <w:lang w:val="es-ES"/>
        </w:rPr>
        <w:t>3. Origen de los datos</w:t>
      </w:r>
    </w:p>
    <w:p w14:paraId="54513CA3" w14:textId="77777777" w:rsidR="001B6E41" w:rsidRPr="00F315D9" w:rsidRDefault="00000000">
      <w:pPr>
        <w:rPr>
          <w:lang w:val="es-ES"/>
        </w:rPr>
      </w:pPr>
      <w:r w:rsidRPr="00F315D9">
        <w:rPr>
          <w:lang w:val="es-ES"/>
        </w:rPr>
        <w:t xml:space="preserve">Los datos de este trabajo provienen de </w:t>
      </w:r>
      <w:r w:rsidRPr="00F315D9">
        <w:rPr>
          <w:b/>
          <w:bCs/>
          <w:lang w:val="es-ES"/>
        </w:rPr>
        <w:t>siete fuentes distintas</w:t>
      </w:r>
      <w:r w:rsidRPr="00F315D9">
        <w:rPr>
          <w:lang w:val="es-ES"/>
        </w:rPr>
        <w:t>, lo que refleja la naturaleza heterogénea de la información financiera y macroeconómica. Cada fuente presenta formatos, frecuencias y convenciones diferentes, lo que exige un proceso de extracción específico para cada una.</w:t>
      </w:r>
    </w:p>
    <w:p w14:paraId="4B902BEE" w14:textId="77777777" w:rsidR="001B6E41" w:rsidRPr="00F315D9" w:rsidRDefault="00000000">
      <w:pPr>
        <w:pStyle w:val="Ttulo3"/>
        <w:rPr>
          <w:lang w:val="es-ES"/>
        </w:rPr>
      </w:pPr>
      <w:bookmarkStart w:id="4" w:name="reuters-eikon-precios-de-empresas"/>
      <w:r w:rsidRPr="00F315D9">
        <w:rPr>
          <w:lang w:val="es-ES"/>
        </w:rPr>
        <w:lastRenderedPageBreak/>
        <w:t xml:space="preserve">3.1. Reuters </w:t>
      </w:r>
      <w:proofErr w:type="spellStart"/>
      <w:r w:rsidRPr="00F315D9">
        <w:rPr>
          <w:lang w:val="es-ES"/>
        </w:rPr>
        <w:t>Eikon</w:t>
      </w:r>
      <w:proofErr w:type="spellEnd"/>
      <w:r w:rsidRPr="00F315D9">
        <w:rPr>
          <w:lang w:val="es-ES"/>
        </w:rPr>
        <w:t xml:space="preserve"> — Precios de empresas</w:t>
      </w:r>
    </w:p>
    <w:p w14:paraId="74F226D2" w14:textId="77777777" w:rsidR="001B6E41" w:rsidRDefault="00000000">
      <w:r w:rsidRPr="00F315D9">
        <w:rPr>
          <w:lang w:val="es-ES"/>
        </w:rPr>
        <w:t xml:space="preserve">La fuente principal de datos bursátiles es la plataforma </w:t>
      </w:r>
      <w:r w:rsidRPr="00F315D9">
        <w:rPr>
          <w:b/>
          <w:bCs/>
          <w:lang w:val="es-ES"/>
        </w:rPr>
        <w:t xml:space="preserve">Reuters </w:t>
      </w:r>
      <w:proofErr w:type="spellStart"/>
      <w:r w:rsidRPr="00F315D9">
        <w:rPr>
          <w:b/>
          <w:bCs/>
          <w:lang w:val="es-ES"/>
        </w:rPr>
        <w:t>Eikon</w:t>
      </w:r>
      <w:proofErr w:type="spellEnd"/>
      <w:r w:rsidRPr="00F315D9">
        <w:rPr>
          <w:lang w:val="es-ES"/>
        </w:rPr>
        <w:t xml:space="preserve"> (</w:t>
      </w:r>
      <w:proofErr w:type="spellStart"/>
      <w:r w:rsidRPr="00F315D9">
        <w:rPr>
          <w:lang w:val="es-ES"/>
        </w:rPr>
        <w:t>Refinitiv</w:t>
      </w:r>
      <w:proofErr w:type="spellEnd"/>
      <w:r w:rsidRPr="00F315D9">
        <w:rPr>
          <w:lang w:val="es-ES"/>
        </w:rPr>
        <w:t xml:space="preserve">), terminal profesional de información financiera. </w:t>
      </w:r>
      <w:r>
        <w:t xml:space="preserve">Se </w:t>
      </w:r>
      <w:proofErr w:type="spellStart"/>
      <w:r>
        <w:t>extrajeron</w:t>
      </w:r>
      <w:proofErr w:type="spellEnd"/>
      <w:r>
        <w:t xml:space="preserve"> dos </w:t>
      </w:r>
      <w:proofErr w:type="spellStart"/>
      <w:r>
        <w:t>tipos</w:t>
      </w:r>
      <w:proofErr w:type="spellEnd"/>
      <w:r>
        <w:t xml:space="preserve"> de datos:</w:t>
      </w:r>
    </w:p>
    <w:p w14:paraId="08C82C92" w14:textId="77777777" w:rsidR="001B6E41" w:rsidRPr="00F315D9" w:rsidRDefault="00000000">
      <w:pPr>
        <w:numPr>
          <w:ilvl w:val="0"/>
          <w:numId w:val="12"/>
        </w:numPr>
        <w:rPr>
          <w:lang w:val="es-ES"/>
        </w:rPr>
      </w:pPr>
      <w:r w:rsidRPr="00F315D9">
        <w:rPr>
          <w:b/>
          <w:bCs/>
          <w:lang w:val="es-ES"/>
        </w:rPr>
        <w:t>Fichero de referencia</w:t>
      </w:r>
      <w:r w:rsidRPr="00F315D9">
        <w:rPr>
          <w:lang w:val="es-ES"/>
        </w:rPr>
        <w:t xml:space="preserve"> (GridExport_November_5_2025_21_27_3.xlsx): listado de las 35 empresas del IBEX 35, incluyendo su RIC (Reuters </w:t>
      </w:r>
      <w:proofErr w:type="spellStart"/>
      <w:r w:rsidRPr="00F315D9">
        <w:rPr>
          <w:lang w:val="es-ES"/>
        </w:rPr>
        <w:t>Instrument</w:t>
      </w:r>
      <w:proofErr w:type="spellEnd"/>
      <w:r w:rsidRPr="00F315D9">
        <w:rPr>
          <w:lang w:val="es-ES"/>
        </w:rPr>
        <w:t xml:space="preserve"> </w:t>
      </w:r>
      <w:proofErr w:type="spellStart"/>
      <w:r w:rsidRPr="00F315D9">
        <w:rPr>
          <w:lang w:val="es-ES"/>
        </w:rPr>
        <w:t>Code</w:t>
      </w:r>
      <w:proofErr w:type="spellEnd"/>
      <w:r w:rsidRPr="00F315D9">
        <w:rPr>
          <w:lang w:val="es-ES"/>
        </w:rPr>
        <w:t xml:space="preserve">), nombre completo, </w:t>
      </w:r>
      <w:proofErr w:type="spellStart"/>
      <w:r w:rsidRPr="00F315D9">
        <w:rPr>
          <w:lang w:val="es-ES"/>
        </w:rPr>
        <w:t>ticker</w:t>
      </w:r>
      <w:proofErr w:type="spellEnd"/>
      <w:r w:rsidRPr="00F315D9">
        <w:rPr>
          <w:lang w:val="es-ES"/>
        </w:rPr>
        <w:t xml:space="preserve"> de mercado, sector GICS (Global </w:t>
      </w:r>
      <w:proofErr w:type="spellStart"/>
      <w:r w:rsidRPr="00F315D9">
        <w:rPr>
          <w:lang w:val="es-ES"/>
        </w:rPr>
        <w:t>Industry</w:t>
      </w:r>
      <w:proofErr w:type="spellEnd"/>
      <w:r w:rsidRPr="00F315D9">
        <w:rPr>
          <w:lang w:val="es-ES"/>
        </w:rPr>
        <w:t xml:space="preserve"> </w:t>
      </w:r>
      <w:proofErr w:type="spellStart"/>
      <w:r w:rsidRPr="00F315D9">
        <w:rPr>
          <w:lang w:val="es-ES"/>
        </w:rPr>
        <w:t>Classification</w:t>
      </w:r>
      <w:proofErr w:type="spellEnd"/>
      <w:r w:rsidRPr="00F315D9">
        <w:rPr>
          <w:lang w:val="es-ES"/>
        </w:rPr>
        <w:t xml:space="preserve"> Standard) e ISIN.</w:t>
      </w:r>
    </w:p>
    <w:p w14:paraId="02628E45" w14:textId="77777777" w:rsidR="001B6E41" w:rsidRPr="00F315D9" w:rsidRDefault="00000000">
      <w:pPr>
        <w:numPr>
          <w:ilvl w:val="0"/>
          <w:numId w:val="12"/>
        </w:numPr>
        <w:rPr>
          <w:lang w:val="es-ES"/>
        </w:rPr>
      </w:pPr>
      <w:r w:rsidRPr="00F315D9">
        <w:rPr>
          <w:b/>
          <w:bCs/>
          <w:lang w:val="es-ES"/>
        </w:rPr>
        <w:t>35 archivos de precios históricos</w:t>
      </w:r>
      <w:r w:rsidRPr="00F315D9">
        <w:rPr>
          <w:lang w:val="es-ES"/>
        </w:rPr>
        <w:t xml:space="preserve"> (uno por empresa, formato .xlsx): datos diarios OHLCV (Open, High, Low, </w:t>
      </w:r>
      <w:proofErr w:type="spellStart"/>
      <w:r w:rsidRPr="00F315D9">
        <w:rPr>
          <w:lang w:val="es-ES"/>
        </w:rPr>
        <w:t>Close</w:t>
      </w:r>
      <w:proofErr w:type="spellEnd"/>
      <w:r w:rsidRPr="00F315D9">
        <w:rPr>
          <w:lang w:val="es-ES"/>
        </w:rPr>
        <w:t xml:space="preserve">, </w:t>
      </w:r>
      <w:proofErr w:type="spellStart"/>
      <w:r w:rsidRPr="00F315D9">
        <w:rPr>
          <w:lang w:val="es-ES"/>
        </w:rPr>
        <w:t>Volume</w:t>
      </w:r>
      <w:proofErr w:type="spellEnd"/>
      <w:r w:rsidRPr="00F315D9">
        <w:rPr>
          <w:lang w:val="es-ES"/>
        </w:rPr>
        <w:t>) desde enero de 2005 hasta octubre de 2025.</w:t>
      </w:r>
    </w:p>
    <w:p w14:paraId="19F8AD82" w14:textId="77777777" w:rsidR="001B6E41" w:rsidRPr="00F315D9" w:rsidRDefault="00000000">
      <w:pPr>
        <w:rPr>
          <w:lang w:val="es-ES"/>
        </w:rPr>
      </w:pPr>
      <w:r w:rsidRPr="00F315D9">
        <w:rPr>
          <w:lang w:val="es-ES"/>
        </w:rPr>
        <w:t xml:space="preserve">Los archivos de Reuters </w:t>
      </w:r>
      <w:proofErr w:type="spellStart"/>
      <w:r w:rsidRPr="00F315D9">
        <w:rPr>
          <w:lang w:val="es-ES"/>
        </w:rPr>
        <w:t>Eikon</w:t>
      </w:r>
      <w:proofErr w:type="spellEnd"/>
      <w:r w:rsidRPr="00F315D9">
        <w:rPr>
          <w:lang w:val="es-ES"/>
        </w:rPr>
        <w:t xml:space="preserve"> presentan una particularidad técnica: incluyen metadatos y cabeceras institucionales en las primeras ~30 filas del archivo Excel, antes de que comiencen los datos reales. Esto requiere una detección automática de la fila de cabecera, que se resuelve buscando la cadena "Exchange Date" en cada fila del archivo.</w:t>
      </w:r>
    </w:p>
    <w:p w14:paraId="74250FCB" w14:textId="77777777" w:rsidR="001B6E41" w:rsidRPr="00F315D9" w:rsidRDefault="00000000">
      <w:pPr>
        <w:pStyle w:val="Ttulo3"/>
        <w:rPr>
          <w:lang w:val="es-ES"/>
        </w:rPr>
      </w:pPr>
      <w:bookmarkStart w:id="5" w:name="reuters-eikon-variables-macroeconómicas"/>
      <w:bookmarkEnd w:id="4"/>
      <w:r w:rsidRPr="00F315D9">
        <w:rPr>
          <w:lang w:val="es-ES"/>
        </w:rPr>
        <w:t xml:space="preserve">3.2. Reuters </w:t>
      </w:r>
      <w:proofErr w:type="spellStart"/>
      <w:r w:rsidRPr="00F315D9">
        <w:rPr>
          <w:lang w:val="es-ES"/>
        </w:rPr>
        <w:t>Eikon</w:t>
      </w:r>
      <w:proofErr w:type="spellEnd"/>
      <w:r w:rsidRPr="00F315D9">
        <w:rPr>
          <w:lang w:val="es-ES"/>
        </w:rPr>
        <w:t xml:space="preserve"> — Variables macroeconómicas</w:t>
      </w:r>
    </w:p>
    <w:p w14:paraId="4CDBDF19" w14:textId="77777777" w:rsidR="001B6E41" w:rsidRPr="00F315D9" w:rsidRDefault="00000000">
      <w:pPr>
        <w:rPr>
          <w:lang w:val="es-ES"/>
        </w:rPr>
      </w:pPr>
      <w:r w:rsidRPr="00F315D9">
        <w:rPr>
          <w:lang w:val="es-ES"/>
        </w:rPr>
        <w:t xml:space="preserve">De Reuters </w:t>
      </w:r>
      <w:proofErr w:type="spellStart"/>
      <w:r w:rsidRPr="00F315D9">
        <w:rPr>
          <w:lang w:val="es-ES"/>
        </w:rPr>
        <w:t>Eikon</w:t>
      </w:r>
      <w:proofErr w:type="spellEnd"/>
      <w:r w:rsidRPr="00F315D9">
        <w:rPr>
          <w:lang w:val="es-ES"/>
        </w:rPr>
        <w:t xml:space="preserve"> también se obtienen series macroeconómicas de frecuencia mensual y trimestral (PIB, IPC, EUR/USD, Gas TTF, entre otras). Estos archivos utilizan un formato de hoja de cálculo con los datos en la pestaña "</w:t>
      </w:r>
      <w:proofErr w:type="spellStart"/>
      <w:r w:rsidRPr="00F315D9">
        <w:rPr>
          <w:lang w:val="es-ES"/>
        </w:rPr>
        <w:t>First</w:t>
      </w:r>
      <w:proofErr w:type="spellEnd"/>
      <w:r w:rsidRPr="00F315D9">
        <w:rPr>
          <w:lang w:val="es-ES"/>
        </w:rPr>
        <w:t xml:space="preserve"> </w:t>
      </w:r>
      <w:proofErr w:type="spellStart"/>
      <w:r w:rsidRPr="00F315D9">
        <w:rPr>
          <w:lang w:val="es-ES"/>
        </w:rPr>
        <w:t>Release</w:t>
      </w:r>
      <w:proofErr w:type="spellEnd"/>
      <w:r w:rsidRPr="00F315D9">
        <w:rPr>
          <w:lang w:val="es-ES"/>
        </w:rPr>
        <w:t xml:space="preserve"> Data", donde los períodos se expresan como cadenas de texto ("Q1 2005" para trimestrales, "Jan 2005" para mensuales) que requieren un </w:t>
      </w:r>
      <w:proofErr w:type="spellStart"/>
      <w:r w:rsidRPr="00F315D9">
        <w:rPr>
          <w:lang w:val="es-ES"/>
        </w:rPr>
        <w:t>parsing</w:t>
      </w:r>
      <w:proofErr w:type="spellEnd"/>
      <w:r w:rsidRPr="00F315D9">
        <w:rPr>
          <w:lang w:val="es-ES"/>
        </w:rPr>
        <w:t xml:space="preserve"> específico.</w:t>
      </w:r>
    </w:p>
    <w:p w14:paraId="2A0AA1C4" w14:textId="77777777" w:rsidR="001B6E41" w:rsidRPr="00F315D9" w:rsidRDefault="00000000">
      <w:pPr>
        <w:pStyle w:val="Ttulo3"/>
        <w:rPr>
          <w:lang w:val="es-ES"/>
        </w:rPr>
      </w:pPr>
      <w:bookmarkStart w:id="6" w:name="investing.com"/>
      <w:bookmarkEnd w:id="5"/>
      <w:r w:rsidRPr="00F315D9">
        <w:rPr>
          <w:lang w:val="es-ES"/>
        </w:rPr>
        <w:t>3.3. Investing.com</w:t>
      </w:r>
    </w:p>
    <w:p w14:paraId="74ECB451" w14:textId="77777777" w:rsidR="001B6E41" w:rsidRPr="00F315D9" w:rsidRDefault="00000000">
      <w:pPr>
        <w:rPr>
          <w:lang w:val="es-ES"/>
        </w:rPr>
      </w:pPr>
      <w:r w:rsidRPr="00F315D9">
        <w:rPr>
          <w:lang w:val="es-ES"/>
        </w:rPr>
        <w:t xml:space="preserve">Del portal financiero </w:t>
      </w:r>
      <w:r w:rsidRPr="00F315D9">
        <w:rPr>
          <w:b/>
          <w:bCs/>
          <w:lang w:val="es-ES"/>
        </w:rPr>
        <w:t>Investing.com</w:t>
      </w:r>
      <w:r w:rsidRPr="00F315D9">
        <w:rPr>
          <w:lang w:val="es-ES"/>
        </w:rPr>
        <w:t xml:space="preserve"> se descargan series diarias en formato CSV con convención numérica europea (punto como separador de miles, coma como separador decimal): bonos soberanos, índices de volatilidad implícita (VIX, VIBEX, VSTOXX) y </w:t>
      </w:r>
      <w:proofErr w:type="spellStart"/>
      <w:r w:rsidRPr="00F315D9">
        <w:rPr>
          <w:lang w:val="es-ES"/>
        </w:rPr>
        <w:t>commodities</w:t>
      </w:r>
      <w:proofErr w:type="spellEnd"/>
      <w:r w:rsidRPr="00F315D9">
        <w:rPr>
          <w:lang w:val="es-ES"/>
        </w:rPr>
        <w:t xml:space="preserve"> (Brent). La lectura requiere una función de </w:t>
      </w:r>
      <w:proofErr w:type="spellStart"/>
      <w:r w:rsidRPr="00F315D9">
        <w:rPr>
          <w:lang w:val="es-ES"/>
        </w:rPr>
        <w:t>parsing</w:t>
      </w:r>
      <w:proofErr w:type="spellEnd"/>
      <w:r w:rsidRPr="00F315D9">
        <w:rPr>
          <w:lang w:val="es-ES"/>
        </w:rPr>
        <w:t xml:space="preserve"> que elimine símbolos de porcentaje, reemplace separadores de miles y convierta la coma decimal al punto anglosajón.</w:t>
      </w:r>
    </w:p>
    <w:p w14:paraId="37CE78A5" w14:textId="77777777" w:rsidR="001B6E41" w:rsidRPr="00F315D9" w:rsidRDefault="00000000">
      <w:pPr>
        <w:pStyle w:val="Ttulo3"/>
        <w:rPr>
          <w:lang w:val="es-ES"/>
        </w:rPr>
      </w:pPr>
      <w:bookmarkStart w:id="7" w:name="instituto-nacional-de-estadística-ine"/>
      <w:bookmarkEnd w:id="6"/>
      <w:r w:rsidRPr="00F315D9">
        <w:rPr>
          <w:lang w:val="es-ES"/>
        </w:rPr>
        <w:t>3.4. Instituto Nacional de Estadística (INE)</w:t>
      </w:r>
    </w:p>
    <w:p w14:paraId="06F7171B" w14:textId="77777777" w:rsidR="001B6E41" w:rsidRPr="00F315D9" w:rsidRDefault="00000000">
      <w:pPr>
        <w:rPr>
          <w:lang w:val="es-ES"/>
        </w:rPr>
      </w:pPr>
      <w:r w:rsidRPr="00F315D9">
        <w:rPr>
          <w:lang w:val="es-ES"/>
        </w:rPr>
        <w:t>Del INE se obtienen el Índice de Producción Industrial (</w:t>
      </w:r>
      <w:proofErr w:type="spellStart"/>
      <w:r w:rsidRPr="00F315D9">
        <w:rPr>
          <w:lang w:val="es-ES"/>
        </w:rPr>
        <w:t>ipi_yoy</w:t>
      </w:r>
      <w:proofErr w:type="spellEnd"/>
      <w:r w:rsidRPr="00F315D9">
        <w:rPr>
          <w:lang w:val="es-ES"/>
        </w:rPr>
        <w:t>) y el IPC subyacente mensual (</w:t>
      </w:r>
      <w:proofErr w:type="spellStart"/>
      <w:r w:rsidRPr="00F315D9">
        <w:rPr>
          <w:lang w:val="es-ES"/>
        </w:rPr>
        <w:t>ipc_sub_mom</w:t>
      </w:r>
      <w:proofErr w:type="spellEnd"/>
      <w:r w:rsidRPr="00F315D9">
        <w:rPr>
          <w:lang w:val="es-ES"/>
        </w:rPr>
        <w:t xml:space="preserve">) en un formato peculiar de </w:t>
      </w:r>
      <w:r w:rsidRPr="00F315D9">
        <w:rPr>
          <w:b/>
          <w:bCs/>
          <w:lang w:val="es-ES"/>
        </w:rPr>
        <w:t>matriz año × mes</w:t>
      </w:r>
      <w:r w:rsidRPr="00F315D9">
        <w:rPr>
          <w:lang w:val="es-ES"/>
        </w:rPr>
        <w:t>, donde las filas representan años y las columnas los meses (M01 a M12). Este formato requiere una transformación de ancho a largo (</w:t>
      </w:r>
      <w:proofErr w:type="spellStart"/>
      <w:r w:rsidRPr="00F315D9">
        <w:rPr>
          <w:i/>
          <w:iCs/>
          <w:lang w:val="es-ES"/>
        </w:rPr>
        <w:t>unpivot</w:t>
      </w:r>
      <w:proofErr w:type="spellEnd"/>
      <w:r w:rsidRPr="00F315D9">
        <w:rPr>
          <w:i/>
          <w:iCs/>
          <w:lang w:val="es-ES"/>
        </w:rPr>
        <w:t>/</w:t>
      </w:r>
      <w:proofErr w:type="spellStart"/>
      <w:r w:rsidRPr="00F315D9">
        <w:rPr>
          <w:i/>
          <w:iCs/>
          <w:lang w:val="es-ES"/>
        </w:rPr>
        <w:t>melt</w:t>
      </w:r>
      <w:proofErr w:type="spellEnd"/>
      <w:r w:rsidRPr="00F315D9">
        <w:rPr>
          <w:lang w:val="es-ES"/>
        </w:rPr>
        <w:t>), asignando a cada valor su fecha correspondiente como el primer día del mes.</w:t>
      </w:r>
    </w:p>
    <w:p w14:paraId="503E0D05" w14:textId="77777777" w:rsidR="001B6E41" w:rsidRPr="00F315D9" w:rsidRDefault="00000000">
      <w:pPr>
        <w:pStyle w:val="Ttulo3"/>
        <w:rPr>
          <w:lang w:val="es-ES"/>
        </w:rPr>
      </w:pPr>
      <w:bookmarkStart w:id="8" w:name="banco-central-europeo-bce"/>
      <w:bookmarkEnd w:id="7"/>
      <w:r w:rsidRPr="00F315D9">
        <w:rPr>
          <w:lang w:val="es-ES"/>
        </w:rPr>
        <w:t>3.5. Banco Central Europeo (BCE)</w:t>
      </w:r>
    </w:p>
    <w:p w14:paraId="77866B14" w14:textId="77777777" w:rsidR="001B6E41" w:rsidRPr="00F315D9" w:rsidRDefault="00000000">
      <w:pPr>
        <w:rPr>
          <w:lang w:val="es-ES"/>
        </w:rPr>
      </w:pPr>
      <w:r w:rsidRPr="00F315D9">
        <w:rPr>
          <w:lang w:val="es-ES"/>
        </w:rPr>
        <w:t xml:space="preserve">Se obtienen dos tipos de datos del BCE: los </w:t>
      </w:r>
      <w:r w:rsidRPr="00F315D9">
        <w:rPr>
          <w:b/>
          <w:bCs/>
          <w:lang w:val="es-ES"/>
        </w:rPr>
        <w:t>Euribor 3M y 6M</w:t>
      </w:r>
      <w:r w:rsidRPr="00F315D9">
        <w:rPr>
          <w:lang w:val="es-ES"/>
        </w:rPr>
        <w:t xml:space="preserve"> desde el ECB Data Portal en formato .xlsx (frecuencia mensual, 250 observaciones cada uno) y los </w:t>
      </w:r>
      <w:r w:rsidRPr="00F315D9">
        <w:rPr>
          <w:b/>
          <w:bCs/>
          <w:lang w:val="es-ES"/>
        </w:rPr>
        <w:t>tipos de interés oficiales</w:t>
      </w:r>
      <w:r w:rsidRPr="00F315D9">
        <w:rPr>
          <w:lang w:val="es-ES"/>
        </w:rPr>
        <w:t xml:space="preserve"> (</w:t>
      </w:r>
      <w:proofErr w:type="spellStart"/>
      <w:r w:rsidRPr="00F315D9">
        <w:rPr>
          <w:lang w:val="es-ES"/>
        </w:rPr>
        <w:t>tipo_dfr</w:t>
      </w:r>
      <w:proofErr w:type="spellEnd"/>
      <w:r w:rsidRPr="00F315D9">
        <w:rPr>
          <w:lang w:val="es-ES"/>
        </w:rPr>
        <w:t xml:space="preserve">, </w:t>
      </w:r>
      <w:proofErr w:type="spellStart"/>
      <w:r w:rsidRPr="00F315D9">
        <w:rPr>
          <w:lang w:val="es-ES"/>
        </w:rPr>
        <w:t>tipo_mlf</w:t>
      </w:r>
      <w:proofErr w:type="spellEnd"/>
      <w:r w:rsidRPr="00F315D9">
        <w:rPr>
          <w:lang w:val="es-ES"/>
        </w:rPr>
        <w:t xml:space="preserve">, </w:t>
      </w:r>
      <w:proofErr w:type="spellStart"/>
      <w:r w:rsidRPr="00F315D9">
        <w:rPr>
          <w:lang w:val="es-ES"/>
        </w:rPr>
        <w:t>tipo_mro</w:t>
      </w:r>
      <w:proofErr w:type="spellEnd"/>
      <w:r w:rsidRPr="00F315D9">
        <w:rPr>
          <w:lang w:val="es-ES"/>
        </w:rPr>
        <w:t xml:space="preserve">) desde epdata.es en formato CSV con </w:t>
      </w:r>
      <w:proofErr w:type="gramStart"/>
      <w:r w:rsidRPr="00F315D9">
        <w:rPr>
          <w:lang w:val="es-ES"/>
        </w:rPr>
        <w:t>separador ;</w:t>
      </w:r>
      <w:proofErr w:type="gramEnd"/>
      <w:r w:rsidRPr="00F315D9">
        <w:rPr>
          <w:lang w:val="es-ES"/>
        </w:rPr>
        <w:t xml:space="preserve">, </w:t>
      </w:r>
      <w:proofErr w:type="gramStart"/>
      <w:r w:rsidRPr="00F315D9">
        <w:rPr>
          <w:lang w:val="es-ES"/>
        </w:rPr>
        <w:t>decimal ,</w:t>
      </w:r>
      <w:proofErr w:type="gramEnd"/>
      <w:r w:rsidRPr="00F315D9">
        <w:rPr>
          <w:lang w:val="es-ES"/>
        </w:rPr>
        <w:t xml:space="preserve"> y nombres de mes en español.</w:t>
      </w:r>
    </w:p>
    <w:p w14:paraId="7AC6DE8A" w14:textId="77777777" w:rsidR="001B6E41" w:rsidRPr="00F315D9" w:rsidRDefault="00000000">
      <w:pPr>
        <w:pStyle w:val="Ttulo3"/>
        <w:rPr>
          <w:lang w:val="es-ES"/>
        </w:rPr>
      </w:pPr>
      <w:bookmarkStart w:id="9" w:name="resumen-de-fuentes"/>
      <w:bookmarkEnd w:id="8"/>
      <w:r w:rsidRPr="00F315D9">
        <w:rPr>
          <w:lang w:val="es-ES"/>
        </w:rPr>
        <w:lastRenderedPageBreak/>
        <w:t>3.6. Resumen de fuentes</w:t>
      </w:r>
    </w:p>
    <w:p w14:paraId="3A545323" w14:textId="77777777" w:rsidR="001B6E41" w:rsidRPr="00F315D9" w:rsidRDefault="00000000">
      <w:pPr>
        <w:rPr>
          <w:lang w:val="es-ES"/>
        </w:rPr>
      </w:pPr>
      <w:r w:rsidRPr="00F315D9">
        <w:rPr>
          <w:lang w:val="es-ES"/>
        </w:rPr>
        <w:t xml:space="preserve">En total, el proyecto combina </w:t>
      </w:r>
      <w:r w:rsidRPr="00F315D9">
        <w:rPr>
          <w:b/>
          <w:bCs/>
          <w:lang w:val="es-ES"/>
        </w:rPr>
        <w:t>7 fuentes</w:t>
      </w:r>
      <w:r w:rsidRPr="00F315D9">
        <w:rPr>
          <w:lang w:val="es-ES"/>
        </w:rPr>
        <w:t xml:space="preserve">, </w:t>
      </w:r>
      <w:r w:rsidRPr="00F315D9">
        <w:rPr>
          <w:b/>
          <w:bCs/>
          <w:lang w:val="es-ES"/>
        </w:rPr>
        <w:t>4 formatos de archivo</w:t>
      </w:r>
      <w:r w:rsidRPr="00F315D9">
        <w:rPr>
          <w:lang w:val="es-ES"/>
        </w:rPr>
        <w:t xml:space="preserve"> distintos y </w:t>
      </w:r>
      <w:r w:rsidRPr="00F315D9">
        <w:rPr>
          <w:b/>
          <w:bCs/>
          <w:lang w:val="es-ES"/>
        </w:rPr>
        <w:t>4 frecuencias temporales</w:t>
      </w:r>
      <w:r w:rsidRPr="00F315D9">
        <w:rPr>
          <w:lang w:val="es-ES"/>
        </w:rPr>
        <w:t xml:space="preserve"> (diaria, mensual, trimestral, irregular).</w:t>
      </w:r>
    </w:p>
    <w:tbl>
      <w:tblPr>
        <w:tblW w:w="5000" w:type="pct"/>
        <w:tblLayout w:type="fixed"/>
        <w:tblLook w:val="0020" w:firstRow="1" w:lastRow="0" w:firstColumn="0" w:lastColumn="0" w:noHBand="0" w:noVBand="0"/>
      </w:tblPr>
      <w:tblGrid>
        <w:gridCol w:w="2214"/>
        <w:gridCol w:w="2214"/>
        <w:gridCol w:w="2214"/>
        <w:gridCol w:w="2214"/>
      </w:tblGrid>
      <w:tr w:rsidR="001B6E41" w14:paraId="740DD97C" w14:textId="77777777">
        <w:trPr>
          <w:tblHeader/>
        </w:trPr>
        <w:tc>
          <w:tcPr>
            <w:tcW w:w="1980" w:type="dxa"/>
            <w:tcBorders>
              <w:top w:val="single" w:sz="4" w:space="0" w:color="404040"/>
              <w:left w:val="single" w:sz="4" w:space="0" w:color="404040"/>
              <w:bottom w:val="single" w:sz="4" w:space="0" w:color="404040"/>
              <w:right w:val="single" w:sz="4" w:space="0" w:color="404040"/>
            </w:tcBorders>
            <w:shd w:val="clear" w:color="auto" w:fill="404040"/>
          </w:tcPr>
          <w:p w14:paraId="50063B0F" w14:textId="77777777" w:rsidR="001B6E41" w:rsidRDefault="00000000">
            <w:r>
              <w:rPr>
                <w:b/>
                <w:color w:val="FFFFFF"/>
              </w:rPr>
              <w:t>Fuente</w:t>
            </w:r>
          </w:p>
        </w:tc>
        <w:tc>
          <w:tcPr>
            <w:tcW w:w="1980" w:type="dxa"/>
            <w:tcBorders>
              <w:top w:val="single" w:sz="4" w:space="0" w:color="404040"/>
              <w:left w:val="single" w:sz="4" w:space="0" w:color="404040"/>
              <w:bottom w:val="single" w:sz="4" w:space="0" w:color="404040"/>
              <w:right w:val="single" w:sz="4" w:space="0" w:color="404040"/>
            </w:tcBorders>
            <w:shd w:val="clear" w:color="auto" w:fill="404040"/>
          </w:tcPr>
          <w:p w14:paraId="1A148405" w14:textId="77777777" w:rsidR="001B6E41" w:rsidRDefault="00000000">
            <w:r>
              <w:rPr>
                <w:b/>
                <w:color w:val="FFFFFF"/>
              </w:rPr>
              <w:t>Variables</w:t>
            </w:r>
          </w:p>
        </w:tc>
        <w:tc>
          <w:tcPr>
            <w:tcW w:w="1980" w:type="dxa"/>
            <w:tcBorders>
              <w:top w:val="single" w:sz="4" w:space="0" w:color="404040"/>
              <w:left w:val="single" w:sz="4" w:space="0" w:color="404040"/>
              <w:bottom w:val="single" w:sz="4" w:space="0" w:color="404040"/>
              <w:right w:val="single" w:sz="4" w:space="0" w:color="404040"/>
            </w:tcBorders>
            <w:shd w:val="clear" w:color="auto" w:fill="404040"/>
          </w:tcPr>
          <w:p w14:paraId="201977EE" w14:textId="77777777" w:rsidR="001B6E41" w:rsidRDefault="00000000">
            <w:r>
              <w:rPr>
                <w:b/>
                <w:color w:val="FFFFFF"/>
              </w:rPr>
              <w:t>Formato</w:t>
            </w:r>
          </w:p>
        </w:tc>
        <w:tc>
          <w:tcPr>
            <w:tcW w:w="1980" w:type="dxa"/>
            <w:tcBorders>
              <w:top w:val="single" w:sz="4" w:space="0" w:color="404040"/>
              <w:left w:val="single" w:sz="4" w:space="0" w:color="404040"/>
              <w:bottom w:val="single" w:sz="4" w:space="0" w:color="404040"/>
              <w:right w:val="single" w:sz="4" w:space="0" w:color="404040"/>
            </w:tcBorders>
            <w:shd w:val="clear" w:color="auto" w:fill="404040"/>
          </w:tcPr>
          <w:p w14:paraId="0C1A9D36" w14:textId="77777777" w:rsidR="001B6E41" w:rsidRDefault="00000000">
            <w:r>
              <w:rPr>
                <w:b/>
                <w:color w:val="FFFFFF"/>
              </w:rPr>
              <w:t>Frecuencia</w:t>
            </w:r>
          </w:p>
        </w:tc>
      </w:tr>
      <w:tr w:rsidR="001B6E41" w14:paraId="12FDC07D" w14:textId="77777777">
        <w:tc>
          <w:tcPr>
            <w:tcW w:w="1980" w:type="dxa"/>
            <w:tcBorders>
              <w:top w:val="single" w:sz="4" w:space="0" w:color="BFBFBF"/>
              <w:left w:val="single" w:sz="4" w:space="0" w:color="BFBFBF"/>
              <w:bottom w:val="single" w:sz="4" w:space="0" w:color="BFBFBF"/>
              <w:right w:val="single" w:sz="4" w:space="0" w:color="BFBFBF"/>
            </w:tcBorders>
          </w:tcPr>
          <w:p w14:paraId="525D6514" w14:textId="77777777" w:rsidR="001B6E41" w:rsidRDefault="00000000">
            <w:r>
              <w:t>Reuters Eikon (precios)</w:t>
            </w:r>
          </w:p>
        </w:tc>
        <w:tc>
          <w:tcPr>
            <w:tcW w:w="1980" w:type="dxa"/>
            <w:tcBorders>
              <w:top w:val="single" w:sz="4" w:space="0" w:color="BFBFBF"/>
              <w:left w:val="single" w:sz="4" w:space="0" w:color="BFBFBF"/>
              <w:bottom w:val="single" w:sz="4" w:space="0" w:color="BFBFBF"/>
              <w:right w:val="single" w:sz="4" w:space="0" w:color="BFBFBF"/>
            </w:tcBorders>
          </w:tcPr>
          <w:p w14:paraId="63FB93D8" w14:textId="77777777" w:rsidR="001B6E41" w:rsidRDefault="00000000">
            <w:r>
              <w:t>35 empresas × OHLCV</w:t>
            </w:r>
          </w:p>
        </w:tc>
        <w:tc>
          <w:tcPr>
            <w:tcW w:w="1980" w:type="dxa"/>
            <w:tcBorders>
              <w:top w:val="single" w:sz="4" w:space="0" w:color="BFBFBF"/>
              <w:left w:val="single" w:sz="4" w:space="0" w:color="BFBFBF"/>
              <w:bottom w:val="single" w:sz="4" w:space="0" w:color="BFBFBF"/>
              <w:right w:val="single" w:sz="4" w:space="0" w:color="BFBFBF"/>
            </w:tcBorders>
          </w:tcPr>
          <w:p w14:paraId="4563AEAB" w14:textId="77777777" w:rsidR="001B6E41" w:rsidRDefault="00000000">
            <w:r>
              <w:t>Excel con metadatos</w:t>
            </w:r>
          </w:p>
        </w:tc>
        <w:tc>
          <w:tcPr>
            <w:tcW w:w="1980" w:type="dxa"/>
            <w:tcBorders>
              <w:top w:val="single" w:sz="4" w:space="0" w:color="BFBFBF"/>
              <w:left w:val="single" w:sz="4" w:space="0" w:color="BFBFBF"/>
              <w:bottom w:val="single" w:sz="4" w:space="0" w:color="BFBFBF"/>
              <w:right w:val="single" w:sz="4" w:space="0" w:color="BFBFBF"/>
            </w:tcBorders>
          </w:tcPr>
          <w:p w14:paraId="1C30B0DD" w14:textId="77777777" w:rsidR="001B6E41" w:rsidRDefault="00000000">
            <w:r>
              <w:t>Diaria</w:t>
            </w:r>
          </w:p>
        </w:tc>
      </w:tr>
      <w:tr w:rsidR="001B6E41" w14:paraId="33531920" w14:textId="77777777">
        <w:tc>
          <w:tcPr>
            <w:tcW w:w="1980" w:type="dxa"/>
            <w:tcBorders>
              <w:top w:val="single" w:sz="4" w:space="0" w:color="BFBFBF"/>
              <w:left w:val="single" w:sz="4" w:space="0" w:color="BFBFBF"/>
              <w:bottom w:val="single" w:sz="4" w:space="0" w:color="BFBFBF"/>
              <w:right w:val="single" w:sz="4" w:space="0" w:color="BFBFBF"/>
            </w:tcBorders>
          </w:tcPr>
          <w:p w14:paraId="2BCE49B6" w14:textId="77777777" w:rsidR="001B6E41" w:rsidRDefault="00000000">
            <w:r>
              <w:t>Reuters Eikon (macro)</w:t>
            </w:r>
          </w:p>
        </w:tc>
        <w:tc>
          <w:tcPr>
            <w:tcW w:w="1980" w:type="dxa"/>
            <w:tcBorders>
              <w:top w:val="single" w:sz="4" w:space="0" w:color="BFBFBF"/>
              <w:left w:val="single" w:sz="4" w:space="0" w:color="BFBFBF"/>
              <w:bottom w:val="single" w:sz="4" w:space="0" w:color="BFBFBF"/>
              <w:right w:val="single" w:sz="4" w:space="0" w:color="BFBFBF"/>
            </w:tcBorders>
          </w:tcPr>
          <w:p w14:paraId="23EE9DD7" w14:textId="77777777" w:rsidR="001B6E41" w:rsidRDefault="00000000">
            <w:r>
              <w:t>PIB, IPC, EUR/USD, Gas TTF</w:t>
            </w:r>
          </w:p>
        </w:tc>
        <w:tc>
          <w:tcPr>
            <w:tcW w:w="1980" w:type="dxa"/>
            <w:tcBorders>
              <w:top w:val="single" w:sz="4" w:space="0" w:color="BFBFBF"/>
              <w:left w:val="single" w:sz="4" w:space="0" w:color="BFBFBF"/>
              <w:bottom w:val="single" w:sz="4" w:space="0" w:color="BFBFBF"/>
              <w:right w:val="single" w:sz="4" w:space="0" w:color="BFBFBF"/>
            </w:tcBorders>
          </w:tcPr>
          <w:p w14:paraId="142A08F7" w14:textId="77777777" w:rsidR="001B6E41" w:rsidRDefault="00000000">
            <w:r>
              <w:t>Excel con metadatos</w:t>
            </w:r>
          </w:p>
        </w:tc>
        <w:tc>
          <w:tcPr>
            <w:tcW w:w="1980" w:type="dxa"/>
            <w:tcBorders>
              <w:top w:val="single" w:sz="4" w:space="0" w:color="BFBFBF"/>
              <w:left w:val="single" w:sz="4" w:space="0" w:color="BFBFBF"/>
              <w:bottom w:val="single" w:sz="4" w:space="0" w:color="BFBFBF"/>
              <w:right w:val="single" w:sz="4" w:space="0" w:color="BFBFBF"/>
            </w:tcBorders>
          </w:tcPr>
          <w:p w14:paraId="2BA6A6A0" w14:textId="77777777" w:rsidR="001B6E41" w:rsidRDefault="00000000">
            <w:r>
              <w:t>Diaria/Mensual/Trimestral</w:t>
            </w:r>
          </w:p>
        </w:tc>
      </w:tr>
      <w:tr w:rsidR="001B6E41" w14:paraId="5C02F3B6" w14:textId="77777777">
        <w:tc>
          <w:tcPr>
            <w:tcW w:w="1980" w:type="dxa"/>
            <w:tcBorders>
              <w:top w:val="single" w:sz="4" w:space="0" w:color="BFBFBF"/>
              <w:left w:val="single" w:sz="4" w:space="0" w:color="BFBFBF"/>
              <w:bottom w:val="single" w:sz="4" w:space="0" w:color="BFBFBF"/>
              <w:right w:val="single" w:sz="4" w:space="0" w:color="BFBFBF"/>
            </w:tcBorders>
          </w:tcPr>
          <w:p w14:paraId="15F7A1AA" w14:textId="77777777" w:rsidR="001B6E41" w:rsidRDefault="00000000">
            <w:r>
              <w:t>Investing.com</w:t>
            </w:r>
          </w:p>
        </w:tc>
        <w:tc>
          <w:tcPr>
            <w:tcW w:w="1980" w:type="dxa"/>
            <w:tcBorders>
              <w:top w:val="single" w:sz="4" w:space="0" w:color="BFBFBF"/>
              <w:left w:val="single" w:sz="4" w:space="0" w:color="BFBFBF"/>
              <w:bottom w:val="single" w:sz="4" w:space="0" w:color="BFBFBF"/>
              <w:right w:val="single" w:sz="4" w:space="0" w:color="BFBFBF"/>
            </w:tcBorders>
          </w:tcPr>
          <w:p w14:paraId="5801C3B5" w14:textId="77777777" w:rsidR="001B6E41" w:rsidRPr="00F315D9" w:rsidRDefault="00000000">
            <w:pPr>
              <w:rPr>
                <w:lang w:val="es-ES"/>
              </w:rPr>
            </w:pPr>
            <w:r w:rsidRPr="00F315D9">
              <w:rPr>
                <w:lang w:val="es-ES"/>
              </w:rPr>
              <w:t>Bonos, VIX, VIBEX, VSTOXX, Brent</w:t>
            </w:r>
          </w:p>
        </w:tc>
        <w:tc>
          <w:tcPr>
            <w:tcW w:w="1980" w:type="dxa"/>
            <w:tcBorders>
              <w:top w:val="single" w:sz="4" w:space="0" w:color="BFBFBF"/>
              <w:left w:val="single" w:sz="4" w:space="0" w:color="BFBFBF"/>
              <w:bottom w:val="single" w:sz="4" w:space="0" w:color="BFBFBF"/>
              <w:right w:val="single" w:sz="4" w:space="0" w:color="BFBFBF"/>
            </w:tcBorders>
          </w:tcPr>
          <w:p w14:paraId="56BDE57F" w14:textId="77777777" w:rsidR="001B6E41" w:rsidRDefault="00000000">
            <w:r>
              <w:t xml:space="preserve">CSV </w:t>
            </w:r>
            <w:proofErr w:type="spellStart"/>
            <w:r>
              <w:t>europeo</w:t>
            </w:r>
            <w:proofErr w:type="spellEnd"/>
          </w:p>
        </w:tc>
        <w:tc>
          <w:tcPr>
            <w:tcW w:w="1980" w:type="dxa"/>
            <w:tcBorders>
              <w:top w:val="single" w:sz="4" w:space="0" w:color="BFBFBF"/>
              <w:left w:val="single" w:sz="4" w:space="0" w:color="BFBFBF"/>
              <w:bottom w:val="single" w:sz="4" w:space="0" w:color="BFBFBF"/>
              <w:right w:val="single" w:sz="4" w:space="0" w:color="BFBFBF"/>
            </w:tcBorders>
          </w:tcPr>
          <w:p w14:paraId="4E1A24CF" w14:textId="77777777" w:rsidR="001B6E41" w:rsidRDefault="00000000">
            <w:r>
              <w:t>Diaria</w:t>
            </w:r>
          </w:p>
        </w:tc>
      </w:tr>
      <w:tr w:rsidR="001B6E41" w14:paraId="7CF6A76B" w14:textId="77777777">
        <w:tc>
          <w:tcPr>
            <w:tcW w:w="1980" w:type="dxa"/>
            <w:tcBorders>
              <w:top w:val="single" w:sz="4" w:space="0" w:color="BFBFBF"/>
              <w:left w:val="single" w:sz="4" w:space="0" w:color="BFBFBF"/>
              <w:bottom w:val="single" w:sz="4" w:space="0" w:color="BFBFBF"/>
              <w:right w:val="single" w:sz="4" w:space="0" w:color="BFBFBF"/>
            </w:tcBorders>
          </w:tcPr>
          <w:p w14:paraId="784C7723" w14:textId="77777777" w:rsidR="001B6E41" w:rsidRDefault="00000000">
            <w:r>
              <w:t>INE</w:t>
            </w:r>
          </w:p>
        </w:tc>
        <w:tc>
          <w:tcPr>
            <w:tcW w:w="1980" w:type="dxa"/>
            <w:tcBorders>
              <w:top w:val="single" w:sz="4" w:space="0" w:color="BFBFBF"/>
              <w:left w:val="single" w:sz="4" w:space="0" w:color="BFBFBF"/>
              <w:bottom w:val="single" w:sz="4" w:space="0" w:color="BFBFBF"/>
              <w:right w:val="single" w:sz="4" w:space="0" w:color="BFBFBF"/>
            </w:tcBorders>
          </w:tcPr>
          <w:p w14:paraId="28837ABE" w14:textId="77777777" w:rsidR="001B6E41" w:rsidRDefault="00000000">
            <w:r>
              <w:t>IPI, IPC subyacente</w:t>
            </w:r>
          </w:p>
        </w:tc>
        <w:tc>
          <w:tcPr>
            <w:tcW w:w="1980" w:type="dxa"/>
            <w:tcBorders>
              <w:top w:val="single" w:sz="4" w:space="0" w:color="BFBFBF"/>
              <w:left w:val="single" w:sz="4" w:space="0" w:color="BFBFBF"/>
              <w:bottom w:val="single" w:sz="4" w:space="0" w:color="BFBFBF"/>
              <w:right w:val="single" w:sz="4" w:space="0" w:color="BFBFBF"/>
            </w:tcBorders>
          </w:tcPr>
          <w:p w14:paraId="57089C9F" w14:textId="77777777" w:rsidR="001B6E41" w:rsidRDefault="00000000">
            <w:r>
              <w:t>Excel matriz año×mes</w:t>
            </w:r>
          </w:p>
        </w:tc>
        <w:tc>
          <w:tcPr>
            <w:tcW w:w="1980" w:type="dxa"/>
            <w:tcBorders>
              <w:top w:val="single" w:sz="4" w:space="0" w:color="BFBFBF"/>
              <w:left w:val="single" w:sz="4" w:space="0" w:color="BFBFBF"/>
              <w:bottom w:val="single" w:sz="4" w:space="0" w:color="BFBFBF"/>
              <w:right w:val="single" w:sz="4" w:space="0" w:color="BFBFBF"/>
            </w:tcBorders>
          </w:tcPr>
          <w:p w14:paraId="006D5230" w14:textId="77777777" w:rsidR="001B6E41" w:rsidRDefault="00000000">
            <w:r>
              <w:t>Mensual</w:t>
            </w:r>
          </w:p>
        </w:tc>
      </w:tr>
      <w:tr w:rsidR="001B6E41" w14:paraId="3731D838" w14:textId="77777777">
        <w:tc>
          <w:tcPr>
            <w:tcW w:w="1980" w:type="dxa"/>
            <w:tcBorders>
              <w:top w:val="single" w:sz="4" w:space="0" w:color="BFBFBF"/>
              <w:left w:val="single" w:sz="4" w:space="0" w:color="BFBFBF"/>
              <w:bottom w:val="single" w:sz="4" w:space="0" w:color="BFBFBF"/>
              <w:right w:val="single" w:sz="4" w:space="0" w:color="BFBFBF"/>
            </w:tcBorders>
          </w:tcPr>
          <w:p w14:paraId="1D81A59E" w14:textId="77777777" w:rsidR="001B6E41" w:rsidRDefault="00000000">
            <w:r>
              <w:t>BCE (ECB Data Portal)</w:t>
            </w:r>
          </w:p>
        </w:tc>
        <w:tc>
          <w:tcPr>
            <w:tcW w:w="1980" w:type="dxa"/>
            <w:tcBorders>
              <w:top w:val="single" w:sz="4" w:space="0" w:color="BFBFBF"/>
              <w:left w:val="single" w:sz="4" w:space="0" w:color="BFBFBF"/>
              <w:bottom w:val="single" w:sz="4" w:space="0" w:color="BFBFBF"/>
              <w:right w:val="single" w:sz="4" w:space="0" w:color="BFBFBF"/>
            </w:tcBorders>
          </w:tcPr>
          <w:p w14:paraId="11BB5314" w14:textId="77777777" w:rsidR="001B6E41" w:rsidRDefault="00000000">
            <w:r>
              <w:t>Euribor 3M, 6M</w:t>
            </w:r>
          </w:p>
        </w:tc>
        <w:tc>
          <w:tcPr>
            <w:tcW w:w="1980" w:type="dxa"/>
            <w:tcBorders>
              <w:top w:val="single" w:sz="4" w:space="0" w:color="BFBFBF"/>
              <w:left w:val="single" w:sz="4" w:space="0" w:color="BFBFBF"/>
              <w:bottom w:val="single" w:sz="4" w:space="0" w:color="BFBFBF"/>
              <w:right w:val="single" w:sz="4" w:space="0" w:color="BFBFBF"/>
            </w:tcBorders>
          </w:tcPr>
          <w:p w14:paraId="5A6ECDFA" w14:textId="77777777" w:rsidR="001B6E41" w:rsidRDefault="00000000">
            <w:r>
              <w:t>Excel estándar</w:t>
            </w:r>
          </w:p>
        </w:tc>
        <w:tc>
          <w:tcPr>
            <w:tcW w:w="1980" w:type="dxa"/>
            <w:tcBorders>
              <w:top w:val="single" w:sz="4" w:space="0" w:color="BFBFBF"/>
              <w:left w:val="single" w:sz="4" w:space="0" w:color="BFBFBF"/>
              <w:bottom w:val="single" w:sz="4" w:space="0" w:color="BFBFBF"/>
              <w:right w:val="single" w:sz="4" w:space="0" w:color="BFBFBF"/>
            </w:tcBorders>
          </w:tcPr>
          <w:p w14:paraId="67E0D3FF" w14:textId="77777777" w:rsidR="001B6E41" w:rsidRDefault="00000000">
            <w:r>
              <w:t>Mensual</w:t>
            </w:r>
          </w:p>
        </w:tc>
      </w:tr>
      <w:tr w:rsidR="001B6E41" w14:paraId="3E9C9F11" w14:textId="77777777">
        <w:tc>
          <w:tcPr>
            <w:tcW w:w="1980" w:type="dxa"/>
            <w:tcBorders>
              <w:top w:val="single" w:sz="4" w:space="0" w:color="BFBFBF"/>
              <w:left w:val="single" w:sz="4" w:space="0" w:color="BFBFBF"/>
              <w:bottom w:val="single" w:sz="4" w:space="0" w:color="BFBFBF"/>
              <w:right w:val="single" w:sz="4" w:space="0" w:color="BFBFBF"/>
            </w:tcBorders>
          </w:tcPr>
          <w:p w14:paraId="0E40BC7B" w14:textId="77777777" w:rsidR="001B6E41" w:rsidRDefault="00000000">
            <w:r>
              <w:t>BCE (epdata.es)</w:t>
            </w:r>
          </w:p>
        </w:tc>
        <w:tc>
          <w:tcPr>
            <w:tcW w:w="1980" w:type="dxa"/>
            <w:tcBorders>
              <w:top w:val="single" w:sz="4" w:space="0" w:color="BFBFBF"/>
              <w:left w:val="single" w:sz="4" w:space="0" w:color="BFBFBF"/>
              <w:bottom w:val="single" w:sz="4" w:space="0" w:color="BFBFBF"/>
              <w:right w:val="single" w:sz="4" w:space="0" w:color="BFBFBF"/>
            </w:tcBorders>
          </w:tcPr>
          <w:p w14:paraId="648B6FE1" w14:textId="77777777" w:rsidR="001B6E41" w:rsidRDefault="00000000">
            <w:r>
              <w:t>Tipos DFR, MLF, MRO</w:t>
            </w:r>
          </w:p>
        </w:tc>
        <w:tc>
          <w:tcPr>
            <w:tcW w:w="1980" w:type="dxa"/>
            <w:tcBorders>
              <w:top w:val="single" w:sz="4" w:space="0" w:color="BFBFBF"/>
              <w:left w:val="single" w:sz="4" w:space="0" w:color="BFBFBF"/>
              <w:bottom w:val="single" w:sz="4" w:space="0" w:color="BFBFBF"/>
              <w:right w:val="single" w:sz="4" w:space="0" w:color="BFBFBF"/>
            </w:tcBorders>
          </w:tcPr>
          <w:p w14:paraId="54500997" w14:textId="77777777" w:rsidR="001B6E41" w:rsidRDefault="00000000">
            <w:r>
              <w:t>CSV separador ;</w:t>
            </w:r>
          </w:p>
        </w:tc>
        <w:tc>
          <w:tcPr>
            <w:tcW w:w="1980" w:type="dxa"/>
            <w:tcBorders>
              <w:top w:val="single" w:sz="4" w:space="0" w:color="BFBFBF"/>
              <w:left w:val="single" w:sz="4" w:space="0" w:color="BFBFBF"/>
              <w:bottom w:val="single" w:sz="4" w:space="0" w:color="BFBFBF"/>
              <w:right w:val="single" w:sz="4" w:space="0" w:color="BFBFBF"/>
            </w:tcBorders>
          </w:tcPr>
          <w:p w14:paraId="1D8CD38E" w14:textId="77777777" w:rsidR="001B6E41" w:rsidRDefault="00000000">
            <w:r>
              <w:t>Irregular</w:t>
            </w:r>
          </w:p>
        </w:tc>
      </w:tr>
    </w:tbl>
    <w:p w14:paraId="198F16A9" w14:textId="77777777" w:rsidR="001B6E41" w:rsidRDefault="00000000">
      <w:pPr>
        <w:pStyle w:val="Ttulo2"/>
      </w:pPr>
      <w:bookmarkStart w:id="10" w:name="extracción-y-transformación-de-datos"/>
      <w:bookmarkEnd w:id="3"/>
      <w:bookmarkEnd w:id="9"/>
      <w:r>
        <w:t>4. Extracción y transformación de datos</w:t>
      </w:r>
    </w:p>
    <w:p w14:paraId="21650FD0" w14:textId="77777777" w:rsidR="001B6E41" w:rsidRDefault="00000000">
      <w:pPr>
        <w:pStyle w:val="Ttulo3"/>
      </w:pPr>
      <w:bookmarkStart w:id="11" w:name="etl-de-precios-de-empresas"/>
      <w:r>
        <w:t>4.1. ETL de precios de empresas</w:t>
      </w:r>
    </w:p>
    <w:p w14:paraId="3D1C5DCD" w14:textId="77777777" w:rsidR="001B6E41" w:rsidRPr="00F315D9" w:rsidRDefault="00000000">
      <w:pPr>
        <w:rPr>
          <w:lang w:val="es-ES"/>
        </w:rPr>
      </w:pPr>
      <w:r w:rsidRPr="00F315D9">
        <w:rPr>
          <w:lang w:val="es-ES"/>
        </w:rPr>
        <w:t xml:space="preserve">Para cada uno de los 35 archivos de precios se implementa la función </w:t>
      </w:r>
      <w:proofErr w:type="spellStart"/>
      <w:r w:rsidRPr="00F315D9">
        <w:rPr>
          <w:lang w:val="es-ES"/>
        </w:rPr>
        <w:t>leer_empresa</w:t>
      </w:r>
      <w:proofErr w:type="spellEnd"/>
      <w:r w:rsidRPr="00F315D9">
        <w:rPr>
          <w:lang w:val="es-ES"/>
        </w:rPr>
        <w:t>(</w:t>
      </w:r>
      <w:proofErr w:type="spellStart"/>
      <w:r w:rsidRPr="00F315D9">
        <w:rPr>
          <w:lang w:val="es-ES"/>
        </w:rPr>
        <w:t>filepath</w:t>
      </w:r>
      <w:proofErr w:type="spellEnd"/>
      <w:r w:rsidRPr="00F315D9">
        <w:rPr>
          <w:lang w:val="es-ES"/>
        </w:rPr>
        <w:t xml:space="preserve">, </w:t>
      </w:r>
      <w:proofErr w:type="spellStart"/>
      <w:r w:rsidRPr="00F315D9">
        <w:rPr>
          <w:lang w:val="es-ES"/>
        </w:rPr>
        <w:t>ticker</w:t>
      </w:r>
      <w:proofErr w:type="spellEnd"/>
      <w:r w:rsidRPr="00F315D9">
        <w:rPr>
          <w:lang w:val="es-ES"/>
        </w:rPr>
        <w:t xml:space="preserve">), que sigue cuatro pasos clave: (1) </w:t>
      </w:r>
      <w:r w:rsidRPr="00F315D9">
        <w:rPr>
          <w:b/>
          <w:bCs/>
          <w:lang w:val="es-ES"/>
        </w:rPr>
        <w:t>detección automática de cabecera</w:t>
      </w:r>
      <w:r w:rsidRPr="00F315D9">
        <w:rPr>
          <w:lang w:val="es-ES"/>
        </w:rPr>
        <w:t xml:space="preserve"> mediante búsqueda iterativa de la cadena "Exchange Date", lo que resuelve el problema de los metadatos variables de Reuters </w:t>
      </w:r>
      <w:proofErr w:type="spellStart"/>
      <w:r w:rsidRPr="00F315D9">
        <w:rPr>
          <w:lang w:val="es-ES"/>
        </w:rPr>
        <w:t>Eikon</w:t>
      </w:r>
      <w:proofErr w:type="spellEnd"/>
      <w:r w:rsidRPr="00F315D9">
        <w:rPr>
          <w:lang w:val="es-ES"/>
        </w:rPr>
        <w:t xml:space="preserve">; (2) </w:t>
      </w:r>
      <w:r w:rsidRPr="00F315D9">
        <w:rPr>
          <w:b/>
          <w:bCs/>
          <w:lang w:val="es-ES"/>
        </w:rPr>
        <w:t>estandarización de nombres de columnas</w:t>
      </w:r>
      <w:r w:rsidRPr="00F315D9">
        <w:rPr>
          <w:lang w:val="es-ES"/>
        </w:rPr>
        <w:t xml:space="preserve"> y conversión de tipos numéricos; (3) </w:t>
      </w:r>
      <w:proofErr w:type="spellStart"/>
      <w:r w:rsidRPr="00F315D9">
        <w:rPr>
          <w:b/>
          <w:bCs/>
          <w:lang w:val="es-ES"/>
        </w:rPr>
        <w:t>parseo</w:t>
      </w:r>
      <w:proofErr w:type="spellEnd"/>
      <w:r w:rsidRPr="00F315D9">
        <w:rPr>
          <w:b/>
          <w:bCs/>
          <w:lang w:val="es-ES"/>
        </w:rPr>
        <w:t xml:space="preserve"> y filtrado temporal</w:t>
      </w:r>
      <w:r w:rsidRPr="00F315D9">
        <w:rPr>
          <w:lang w:val="es-ES"/>
        </w:rPr>
        <w:t xml:space="preserve"> desde 2005-01-01 con </w:t>
      </w:r>
      <w:proofErr w:type="spellStart"/>
      <w:r w:rsidRPr="00F315D9">
        <w:rPr>
          <w:lang w:val="es-ES"/>
        </w:rPr>
        <w:t>pd.to_datetime</w:t>
      </w:r>
      <w:proofErr w:type="spellEnd"/>
      <w:r w:rsidRPr="00F315D9">
        <w:rPr>
          <w:lang w:val="es-ES"/>
        </w:rPr>
        <w:t>(</w:t>
      </w:r>
      <w:proofErr w:type="spellStart"/>
      <w:r w:rsidRPr="00F315D9">
        <w:rPr>
          <w:lang w:val="es-ES"/>
        </w:rPr>
        <w:t>errors</w:t>
      </w:r>
      <w:proofErr w:type="spellEnd"/>
      <w:r w:rsidRPr="00F315D9">
        <w:rPr>
          <w:lang w:val="es-ES"/>
        </w:rPr>
        <w:t xml:space="preserve">='coerce'); (4) </w:t>
      </w:r>
      <w:r w:rsidRPr="00F315D9">
        <w:rPr>
          <w:b/>
          <w:bCs/>
          <w:lang w:val="es-ES"/>
        </w:rPr>
        <w:t xml:space="preserve">adición del </w:t>
      </w:r>
      <w:proofErr w:type="spellStart"/>
      <w:r w:rsidRPr="00F315D9">
        <w:rPr>
          <w:b/>
          <w:bCs/>
          <w:lang w:val="es-ES"/>
        </w:rPr>
        <w:t>ticker</w:t>
      </w:r>
      <w:proofErr w:type="spellEnd"/>
      <w:r w:rsidRPr="00F315D9">
        <w:rPr>
          <w:lang w:val="es-ES"/>
        </w:rPr>
        <w:t xml:space="preserve"> como columna identificadora. Los 35 archivos se procesan en bucle y se concatenan en un único </w:t>
      </w:r>
      <w:proofErr w:type="spellStart"/>
      <w:r w:rsidRPr="00F315D9">
        <w:rPr>
          <w:lang w:val="es-ES"/>
        </w:rPr>
        <w:t>DataFrame</w:t>
      </w:r>
      <w:proofErr w:type="spellEnd"/>
      <w:r w:rsidRPr="00F315D9">
        <w:rPr>
          <w:lang w:val="es-ES"/>
        </w:rPr>
        <w:t xml:space="preserve"> de </w:t>
      </w:r>
      <w:r w:rsidRPr="00F315D9">
        <w:rPr>
          <w:b/>
          <w:bCs/>
          <w:lang w:val="es-ES"/>
        </w:rPr>
        <w:t>157.455 filas × 9 columnas</w:t>
      </w:r>
      <w:r w:rsidRPr="00F315D9">
        <w:rPr>
          <w:lang w:val="es-ES"/>
        </w:rPr>
        <w:t>, que cubre el período del 3 de enero de 2005 al 31 de octubre de 2025.</w:t>
      </w:r>
    </w:p>
    <w:p w14:paraId="04476701" w14:textId="77777777" w:rsidR="001B6E41" w:rsidRPr="00F315D9" w:rsidRDefault="00000000">
      <w:pPr>
        <w:pStyle w:val="Ttulo4"/>
        <w:rPr>
          <w:lang w:val="es-ES"/>
        </w:rPr>
      </w:pPr>
      <w:bookmarkStart w:id="12" w:name="heterogeneidad-en-la-cobertura-temporal"/>
      <w:r w:rsidRPr="00F315D9">
        <w:rPr>
          <w:lang w:val="es-ES"/>
        </w:rPr>
        <w:t>4.1.1. Heterogeneidad en la cobertura temporal</w:t>
      </w:r>
    </w:p>
    <w:p w14:paraId="4247498F" w14:textId="77777777" w:rsidR="001B6E41" w:rsidRDefault="00000000">
      <w:r w:rsidRPr="00F315D9">
        <w:rPr>
          <w:lang w:val="es-ES"/>
        </w:rPr>
        <w:t xml:space="preserve">No todas las empresas cotizan durante los 20 años completos del estudio. La mayoría dispone de la serie histórica completa (5.323 días de trading desde 2005), pero otras se incorporaron al IBEX en fechas posteriores. </w:t>
      </w:r>
      <w:r>
        <w:t xml:space="preserve">Los </w:t>
      </w:r>
      <w:proofErr w:type="spellStart"/>
      <w:r>
        <w:t>casos</w:t>
      </w:r>
      <w:proofErr w:type="spellEnd"/>
      <w:r>
        <w:t xml:space="preserve"> </w:t>
      </w:r>
      <w:proofErr w:type="spellStart"/>
      <w:r>
        <w:t>más</w:t>
      </w:r>
      <w:proofErr w:type="spellEnd"/>
      <w:r>
        <w:t xml:space="preserve"> </w:t>
      </w:r>
      <w:proofErr w:type="spellStart"/>
      <w:r>
        <w:t>extremos</w:t>
      </w:r>
      <w:proofErr w:type="spellEnd"/>
      <w:r>
        <w:t xml:space="preserve"> son:</w:t>
      </w:r>
    </w:p>
    <w:p w14:paraId="43DDD5A1" w14:textId="77777777" w:rsidR="001B6E41" w:rsidRPr="00F315D9" w:rsidRDefault="00000000">
      <w:pPr>
        <w:numPr>
          <w:ilvl w:val="0"/>
          <w:numId w:val="13"/>
        </w:numPr>
        <w:rPr>
          <w:lang w:val="es-ES"/>
        </w:rPr>
      </w:pPr>
      <w:r w:rsidRPr="00F315D9">
        <w:rPr>
          <w:b/>
          <w:bCs/>
          <w:lang w:val="es-ES"/>
        </w:rPr>
        <w:t xml:space="preserve">Puig </w:t>
      </w:r>
      <w:proofErr w:type="spellStart"/>
      <w:r w:rsidRPr="00F315D9">
        <w:rPr>
          <w:b/>
          <w:bCs/>
          <w:lang w:val="es-ES"/>
        </w:rPr>
        <w:t>Brands</w:t>
      </w:r>
      <w:proofErr w:type="spellEnd"/>
      <w:r w:rsidRPr="00F315D9">
        <w:rPr>
          <w:lang w:val="es-ES"/>
        </w:rPr>
        <w:t xml:space="preserve"> (PUIGb.MC): salida a bolsa el 3 de mayo de 2024, con solo 385 observaciones.</w:t>
      </w:r>
    </w:p>
    <w:p w14:paraId="305963CC" w14:textId="77777777" w:rsidR="001B6E41" w:rsidRPr="00F315D9" w:rsidRDefault="00000000">
      <w:pPr>
        <w:numPr>
          <w:ilvl w:val="0"/>
          <w:numId w:val="13"/>
        </w:numPr>
        <w:rPr>
          <w:lang w:val="es-ES"/>
        </w:rPr>
      </w:pPr>
      <w:r w:rsidRPr="00F315D9">
        <w:rPr>
          <w:b/>
          <w:bCs/>
          <w:lang w:val="es-ES"/>
        </w:rPr>
        <w:t>Antevenio</w:t>
      </w:r>
      <w:r w:rsidRPr="00F315D9">
        <w:rPr>
          <w:lang w:val="es-ES"/>
        </w:rPr>
        <w:t xml:space="preserve"> (ANE.MC): 1.112 observaciones desde julio de 2021.</w:t>
      </w:r>
    </w:p>
    <w:p w14:paraId="70564892" w14:textId="77777777" w:rsidR="001B6E41" w:rsidRPr="00F315D9" w:rsidRDefault="00000000">
      <w:pPr>
        <w:numPr>
          <w:ilvl w:val="0"/>
          <w:numId w:val="13"/>
        </w:numPr>
        <w:rPr>
          <w:lang w:val="es-ES"/>
        </w:rPr>
      </w:pPr>
      <w:r w:rsidRPr="00F315D9">
        <w:rPr>
          <w:b/>
          <w:bCs/>
          <w:lang w:val="es-ES"/>
        </w:rPr>
        <w:t>Unicaja</w:t>
      </w:r>
      <w:r w:rsidRPr="00F315D9">
        <w:rPr>
          <w:lang w:val="es-ES"/>
        </w:rPr>
        <w:t xml:space="preserve"> (UNI.MC): 2.134 observaciones desde junio de 2017.</w:t>
      </w:r>
    </w:p>
    <w:p w14:paraId="392B0379" w14:textId="77777777" w:rsidR="001B6E41" w:rsidRPr="00F315D9" w:rsidRDefault="00000000">
      <w:pPr>
        <w:rPr>
          <w:lang w:val="es-ES"/>
        </w:rPr>
      </w:pPr>
      <w:r w:rsidRPr="00F315D9">
        <w:rPr>
          <w:lang w:val="es-ES"/>
        </w:rPr>
        <w:t xml:space="preserve">Esta heterogeneidad no se corrige (no se eliminan empresas con menos datos), ya que el formato panel del </w:t>
      </w:r>
      <w:proofErr w:type="spellStart"/>
      <w:r w:rsidRPr="00F315D9">
        <w:rPr>
          <w:lang w:val="es-ES"/>
        </w:rPr>
        <w:t>dataset</w:t>
      </w:r>
      <w:proofErr w:type="spellEnd"/>
      <w:r w:rsidRPr="00F315D9">
        <w:rPr>
          <w:lang w:val="es-ES"/>
        </w:rPr>
        <w:t xml:space="preserve"> maestro permite analizar cada empresa en su rango temporal real.</w:t>
      </w:r>
    </w:p>
    <w:p w14:paraId="42310B27" w14:textId="77777777" w:rsidR="001B6E41" w:rsidRPr="00F315D9" w:rsidRDefault="00000000">
      <w:pPr>
        <w:pStyle w:val="Ttulo4"/>
        <w:rPr>
          <w:lang w:val="es-ES"/>
        </w:rPr>
      </w:pPr>
      <w:bookmarkStart w:id="13" w:name="variables-derivadas"/>
      <w:bookmarkEnd w:id="12"/>
      <w:r w:rsidRPr="00F315D9">
        <w:rPr>
          <w:lang w:val="es-ES"/>
        </w:rPr>
        <w:lastRenderedPageBreak/>
        <w:t>4.1.2. Variables derivadas</w:t>
      </w:r>
    </w:p>
    <w:p w14:paraId="6E85BAF8" w14:textId="77777777" w:rsidR="001B6E41" w:rsidRPr="00F315D9" w:rsidRDefault="00000000">
      <w:pPr>
        <w:rPr>
          <w:lang w:val="es-ES"/>
        </w:rPr>
      </w:pPr>
      <w:r w:rsidRPr="00F315D9">
        <w:rPr>
          <w:lang w:val="es-ES"/>
        </w:rPr>
        <w:t>Sobre los datos brutos de precios se calculan dos variables fundamentales para el análisis:</w:t>
      </w:r>
    </w:p>
    <w:p w14:paraId="1B62BA33" w14:textId="77777777" w:rsidR="001B6E41" w:rsidRPr="00F315D9" w:rsidRDefault="00000000">
      <w:pPr>
        <w:pStyle w:val="Textoindependiente"/>
        <w:rPr>
          <w:lang w:val="es-ES"/>
        </w:rPr>
      </w:pPr>
      <w:r w:rsidRPr="00F315D9">
        <w:rPr>
          <w:b/>
          <w:bCs/>
          <w:lang w:val="es-ES"/>
        </w:rPr>
        <w:t>Log-retorno diario</w:t>
      </w:r>
      <w:r w:rsidRPr="00F315D9">
        <w:rPr>
          <w:lang w:val="es-ES"/>
        </w:rPr>
        <w:t xml:space="preserve"> (</w:t>
      </w:r>
      <w:proofErr w:type="spellStart"/>
      <w:r w:rsidRPr="00F315D9">
        <w:rPr>
          <w:lang w:val="es-ES"/>
        </w:rPr>
        <w:t>log_ret</w:t>
      </w:r>
      <w:proofErr w:type="spellEnd"/>
      <w:r w:rsidRPr="00F315D9">
        <w:rPr>
          <w:lang w:val="es-ES"/>
        </w:rPr>
        <w:t>):</w:t>
      </w:r>
    </w:p>
    <w:p w14:paraId="358E04FA" w14:textId="77777777" w:rsidR="001B6E41"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e>
          </m:d>
        </m:oMath>
      </m:oMathPara>
    </w:p>
    <w:p w14:paraId="2461CB7B" w14:textId="77777777" w:rsidR="001B6E41" w:rsidRPr="00F315D9" w:rsidRDefault="00000000">
      <w:pPr>
        <w:rPr>
          <w:lang w:val="es-ES"/>
        </w:rPr>
      </w:pPr>
      <w:r w:rsidRPr="00F315D9">
        <w:rPr>
          <w:lang w:val="es-ES"/>
        </w:rPr>
        <w:t xml:space="preserve">donde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315D9">
        <w:rPr>
          <w:lang w:val="es-ES"/>
        </w:rPr>
        <w:t xml:space="preserve"> es el precio de cierre en el día </w:t>
      </w:r>
      <m:oMath>
        <m:r>
          <w:rPr>
            <w:rFonts w:ascii="Cambria Math" w:hAnsi="Cambria Math"/>
          </w:rPr>
          <m:t>t</m:t>
        </m:r>
      </m:oMath>
      <w:r w:rsidRPr="00F315D9">
        <w:rPr>
          <w:lang w:val="es-ES"/>
        </w:rPr>
        <w:t xml:space="preserve">. El log-retorno se prefiere sobre el retorno aritmético simple porque (1) es </w:t>
      </w:r>
      <w:r w:rsidRPr="00F315D9">
        <w:rPr>
          <w:b/>
          <w:bCs/>
          <w:lang w:val="es-ES"/>
        </w:rPr>
        <w:t>aditivo en el tiempo</w:t>
      </w:r>
      <w:r w:rsidRPr="00F315D9">
        <w:rPr>
          <w:lang w:val="es-ES"/>
        </w:rPr>
        <w:t>, (2) aproxima bien el retorno aritmético para variaciones pequeñas, y (3) presenta mejores propiedades estadísticas.</w:t>
      </w:r>
    </w:p>
    <w:p w14:paraId="56C7ED4C" w14:textId="77777777" w:rsidR="001B6E41" w:rsidRPr="00F315D9" w:rsidRDefault="00000000">
      <w:pPr>
        <w:pStyle w:val="Textoindependiente"/>
        <w:rPr>
          <w:lang w:val="es-ES"/>
        </w:rPr>
      </w:pPr>
      <w:r w:rsidRPr="00F315D9">
        <w:rPr>
          <w:b/>
          <w:bCs/>
          <w:lang w:val="es-ES"/>
        </w:rPr>
        <w:t>Volatilidad histórica anualizada</w:t>
      </w:r>
      <w:r w:rsidRPr="00F315D9">
        <w:rPr>
          <w:lang w:val="es-ES"/>
        </w:rPr>
        <w:t xml:space="preserve"> (vol_hist_21d):</w:t>
      </w:r>
    </w:p>
    <w:p w14:paraId="4EE75E9D" w14:textId="77777777" w:rsidR="001B6E41"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21</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m:rPr>
              <m:nor/>
            </m:rPr>
            <m:t>std</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19</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m:oMathPara>
    </w:p>
    <w:p w14:paraId="1D259D5B" w14:textId="77777777" w:rsidR="001B6E41" w:rsidRPr="00F315D9" w:rsidRDefault="00000000">
      <w:pPr>
        <w:rPr>
          <w:lang w:val="es-ES"/>
        </w:rPr>
      </w:pPr>
      <w:r w:rsidRPr="00F315D9">
        <w:rPr>
          <w:lang w:val="es-ES"/>
        </w:rPr>
        <w:t xml:space="preserve">Corresponde a la desviación típica de los log-retornos en una ventana móvil de 21 días de trading (~1 mes), multiplicada por </w:t>
      </w:r>
      <m:oMath>
        <m:rad>
          <m:radPr>
            <m:degHide m:val="1"/>
            <m:ctrlPr>
              <w:rPr>
                <w:rFonts w:ascii="Cambria Math" w:hAnsi="Cambria Math"/>
              </w:rPr>
            </m:ctrlPr>
          </m:radPr>
          <m:deg/>
          <m:e>
            <m:r>
              <w:rPr>
                <w:rFonts w:ascii="Cambria Math" w:hAnsi="Cambria Math"/>
                <w:lang w:val="es-ES"/>
              </w:rPr>
              <m:t>252</m:t>
            </m:r>
          </m:e>
        </m:rad>
      </m:oMath>
      <w:r w:rsidRPr="00F315D9">
        <w:rPr>
          <w:lang w:val="es-ES"/>
        </w:rPr>
        <w:t xml:space="preserve"> para anualizar la estimación. Se utiliza min_periods=10 para que las empresas con series cortas no pierdan las primeras 20 observaciones. Esta variable es el </w:t>
      </w:r>
      <w:r w:rsidRPr="00F315D9">
        <w:rPr>
          <w:b/>
          <w:bCs/>
          <w:lang w:val="es-ES"/>
        </w:rPr>
        <w:t>objetivo principal</w:t>
      </w:r>
      <w:r w:rsidRPr="00F315D9">
        <w:rPr>
          <w:lang w:val="es-ES"/>
        </w:rPr>
        <w:t xml:space="preserve"> (</w:t>
      </w:r>
      <w:proofErr w:type="gramStart"/>
      <w:r w:rsidRPr="00F315D9">
        <w:rPr>
          <w:i/>
          <w:iCs/>
          <w:lang w:val="es-ES"/>
        </w:rPr>
        <w:t>target</w:t>
      </w:r>
      <w:proofErr w:type="gramEnd"/>
      <w:r w:rsidRPr="00F315D9">
        <w:rPr>
          <w:lang w:val="es-ES"/>
        </w:rPr>
        <w:t>) de los modelos de predicción del capítulo de Análisis del Dato.</w:t>
      </w:r>
    </w:p>
    <w:p w14:paraId="47126A40" w14:textId="77777777" w:rsidR="001B6E41" w:rsidRDefault="00000000">
      <w:r>
        <w:rPr>
          <w:noProof/>
        </w:rPr>
        <w:drawing>
          <wp:inline distT="0" distB="0" distL="0" distR="0" wp14:anchorId="71741301" wp14:editId="0D09F24C">
            <wp:extent cx="4937760" cy="2449460"/>
            <wp:effectExtent l="0" t="0" r="0" b="0"/>
            <wp:docPr id="56" name="Picture" descr="Figura 1. Comparación antes/después de la transformación a log-retornos para Santander (SAN.MC). Los precios brutos exhiben tendencia y no estacionariedad; los log-retornos oscilan alrededor de cero con varianza variable en el tiempo (volatility clustering)."/>
            <wp:cNvGraphicFramePr/>
            <a:graphic xmlns:a="http://schemas.openxmlformats.org/drawingml/2006/main">
              <a:graphicData uri="http://schemas.openxmlformats.org/drawingml/2006/picture">
                <pic:pic xmlns:pic="http://schemas.openxmlformats.org/drawingml/2006/picture">
                  <pic:nvPicPr>
                    <pic:cNvPr id="57" name="Picture" descr="figuras/02_antes_despues_logretos.png"/>
                    <pic:cNvPicPr>
                      <a:picLocks noChangeAspect="1" noChangeArrowheads="1"/>
                    </pic:cNvPicPr>
                  </pic:nvPicPr>
                  <pic:blipFill>
                    <a:blip r:embed="rId5"/>
                    <a:stretch>
                      <a:fillRect/>
                    </a:stretch>
                  </pic:blipFill>
                  <pic:spPr bwMode="auto">
                    <a:xfrm>
                      <a:off x="0" y="0"/>
                      <a:ext cx="4937760" cy="2449460"/>
                    </a:xfrm>
                    <a:prstGeom prst="rect">
                      <a:avLst/>
                    </a:prstGeom>
                    <a:noFill/>
                    <a:ln w="9525">
                      <a:noFill/>
                      <a:headEnd/>
                      <a:tailEnd/>
                    </a:ln>
                  </pic:spPr>
                </pic:pic>
              </a:graphicData>
            </a:graphic>
          </wp:inline>
        </w:drawing>
      </w:r>
    </w:p>
    <w:p w14:paraId="2882E9F3" w14:textId="77777777" w:rsidR="001B6E41" w:rsidRPr="00F315D9" w:rsidRDefault="00000000">
      <w:pPr>
        <w:rPr>
          <w:lang w:val="es-ES"/>
        </w:rPr>
      </w:pPr>
      <w:r w:rsidRPr="00F315D9">
        <w:rPr>
          <w:b/>
          <w:bCs/>
          <w:lang w:val="es-ES"/>
        </w:rPr>
        <w:t>Figura 1.</w:t>
      </w:r>
      <w:r w:rsidRPr="00F315D9">
        <w:rPr>
          <w:lang w:val="es-ES"/>
        </w:rPr>
        <w:t xml:space="preserve"> Comparación antes/después de la transformación a log-retornos para Santander (SAN.MC). Los precios brutos exhiben tendencia y no estacionariedad; los log-retornos oscilan alrededor de cero con varianza variable en el tiempo (</w:t>
      </w:r>
      <w:proofErr w:type="spellStart"/>
      <w:r w:rsidRPr="00F315D9">
        <w:rPr>
          <w:i/>
          <w:iCs/>
          <w:lang w:val="es-ES"/>
        </w:rPr>
        <w:t>volatility</w:t>
      </w:r>
      <w:proofErr w:type="spellEnd"/>
      <w:r w:rsidRPr="00F315D9">
        <w:rPr>
          <w:i/>
          <w:iCs/>
          <w:lang w:val="es-ES"/>
        </w:rPr>
        <w:t xml:space="preserve"> </w:t>
      </w:r>
      <w:proofErr w:type="spellStart"/>
      <w:r w:rsidRPr="00F315D9">
        <w:rPr>
          <w:i/>
          <w:iCs/>
          <w:lang w:val="es-ES"/>
        </w:rPr>
        <w:t>clustering</w:t>
      </w:r>
      <w:proofErr w:type="spellEnd"/>
      <w:r w:rsidRPr="00F315D9">
        <w:rPr>
          <w:lang w:val="es-ES"/>
        </w:rPr>
        <w:t>).</w:t>
      </w:r>
    </w:p>
    <w:p w14:paraId="4155DACE" w14:textId="77777777" w:rsidR="001B6E41" w:rsidRPr="00F315D9" w:rsidRDefault="00000000">
      <w:pPr>
        <w:pStyle w:val="Ttulo3"/>
        <w:rPr>
          <w:lang w:val="es-ES"/>
        </w:rPr>
      </w:pPr>
      <w:bookmarkStart w:id="14" w:name="etl-de-variables-macroeconómicas"/>
      <w:bookmarkEnd w:id="11"/>
      <w:bookmarkEnd w:id="13"/>
      <w:r w:rsidRPr="00F315D9">
        <w:rPr>
          <w:lang w:val="es-ES"/>
        </w:rPr>
        <w:t>4.2. ETL de variables macroeconómicas</w:t>
      </w:r>
    </w:p>
    <w:p w14:paraId="15B7EE46" w14:textId="77777777" w:rsidR="001B6E41" w:rsidRPr="00F315D9" w:rsidRDefault="00000000">
      <w:pPr>
        <w:rPr>
          <w:lang w:val="es-ES"/>
        </w:rPr>
      </w:pPr>
      <w:r w:rsidRPr="00F315D9">
        <w:rPr>
          <w:lang w:val="es-ES"/>
        </w:rPr>
        <w:t xml:space="preserve">La heterogeneidad de formatos requiere </w:t>
      </w:r>
      <w:r w:rsidRPr="00F315D9">
        <w:rPr>
          <w:b/>
          <w:bCs/>
          <w:lang w:val="es-ES"/>
        </w:rPr>
        <w:t xml:space="preserve">cuatro funciones de </w:t>
      </w:r>
      <w:proofErr w:type="spellStart"/>
      <w:r w:rsidRPr="00F315D9">
        <w:rPr>
          <w:b/>
          <w:bCs/>
          <w:lang w:val="es-ES"/>
        </w:rPr>
        <w:t>parsing</w:t>
      </w:r>
      <w:proofErr w:type="spellEnd"/>
      <w:r w:rsidRPr="00F315D9">
        <w:rPr>
          <w:b/>
          <w:bCs/>
          <w:lang w:val="es-ES"/>
        </w:rPr>
        <w:t xml:space="preserve"> especializadas</w:t>
      </w:r>
      <w:r w:rsidRPr="00F315D9">
        <w:rPr>
          <w:lang w:val="es-ES"/>
        </w:rPr>
        <w:t xml:space="preserve">, una por tipo de fuente: </w:t>
      </w:r>
      <w:proofErr w:type="spellStart"/>
      <w:r w:rsidRPr="00F315D9">
        <w:rPr>
          <w:lang w:val="es-ES"/>
        </w:rPr>
        <w:t>parsear_numero_</w:t>
      </w:r>
      <w:proofErr w:type="gramStart"/>
      <w:r w:rsidRPr="00F315D9">
        <w:rPr>
          <w:lang w:val="es-ES"/>
        </w:rPr>
        <w:t>europeo</w:t>
      </w:r>
      <w:proofErr w:type="spellEnd"/>
      <w:r w:rsidRPr="00F315D9">
        <w:rPr>
          <w:lang w:val="es-ES"/>
        </w:rPr>
        <w:t>(</w:t>
      </w:r>
      <w:proofErr w:type="gramEnd"/>
      <w:r w:rsidRPr="00F315D9">
        <w:rPr>
          <w:lang w:val="es-ES"/>
        </w:rPr>
        <w:t xml:space="preserve">) (formato europeo de Investing.com), </w:t>
      </w:r>
      <w:proofErr w:type="spellStart"/>
      <w:r w:rsidRPr="00F315D9">
        <w:rPr>
          <w:lang w:val="es-ES"/>
        </w:rPr>
        <w:t>leer_investing_</w:t>
      </w:r>
      <w:proofErr w:type="gramStart"/>
      <w:r w:rsidRPr="00F315D9">
        <w:rPr>
          <w:lang w:val="es-ES"/>
        </w:rPr>
        <w:t>csv</w:t>
      </w:r>
      <w:proofErr w:type="spellEnd"/>
      <w:r w:rsidRPr="00F315D9">
        <w:rPr>
          <w:lang w:val="es-ES"/>
        </w:rPr>
        <w:t>(</w:t>
      </w:r>
      <w:proofErr w:type="gramEnd"/>
      <w:r w:rsidRPr="00F315D9">
        <w:rPr>
          <w:lang w:val="es-ES"/>
        </w:rPr>
        <w:t xml:space="preserve">) (CSV con fechas </w:t>
      </w:r>
      <w:proofErr w:type="spellStart"/>
      <w:proofErr w:type="gramStart"/>
      <w:r w:rsidRPr="00F315D9">
        <w:rPr>
          <w:lang w:val="es-ES"/>
        </w:rPr>
        <w:t>dd.mm.yyyy</w:t>
      </w:r>
      <w:proofErr w:type="spellEnd"/>
      <w:proofErr w:type="gramEnd"/>
      <w:r w:rsidRPr="00F315D9">
        <w:rPr>
          <w:lang w:val="es-ES"/>
        </w:rPr>
        <w:t xml:space="preserve">), </w:t>
      </w:r>
      <w:proofErr w:type="spellStart"/>
      <w:r w:rsidRPr="00F315D9">
        <w:rPr>
          <w:lang w:val="es-ES"/>
        </w:rPr>
        <w:t>leer_reuters_</w:t>
      </w:r>
      <w:proofErr w:type="gramStart"/>
      <w:r w:rsidRPr="00F315D9">
        <w:rPr>
          <w:lang w:val="es-ES"/>
        </w:rPr>
        <w:t>macro</w:t>
      </w:r>
      <w:proofErr w:type="spellEnd"/>
      <w:r w:rsidRPr="00F315D9">
        <w:rPr>
          <w:lang w:val="es-ES"/>
        </w:rPr>
        <w:t>(</w:t>
      </w:r>
      <w:proofErr w:type="gramEnd"/>
      <w:r w:rsidRPr="00F315D9">
        <w:rPr>
          <w:lang w:val="es-ES"/>
        </w:rPr>
        <w:t xml:space="preserve">) (Excel con períodos "Q1 2005" o "Jan 2005") y </w:t>
      </w:r>
      <w:proofErr w:type="spellStart"/>
      <w:r w:rsidRPr="00F315D9">
        <w:rPr>
          <w:lang w:val="es-ES"/>
        </w:rPr>
        <w:t>leer_ine_</w:t>
      </w:r>
      <w:proofErr w:type="gramStart"/>
      <w:r w:rsidRPr="00F315D9">
        <w:rPr>
          <w:lang w:val="es-ES"/>
        </w:rPr>
        <w:t>matriz</w:t>
      </w:r>
      <w:proofErr w:type="spellEnd"/>
      <w:r w:rsidRPr="00F315D9">
        <w:rPr>
          <w:lang w:val="es-ES"/>
        </w:rPr>
        <w:t>(</w:t>
      </w:r>
      <w:proofErr w:type="gramEnd"/>
      <w:r w:rsidRPr="00F315D9">
        <w:rPr>
          <w:lang w:val="es-ES"/>
        </w:rPr>
        <w:t xml:space="preserve">) (matriz año × mes con </w:t>
      </w:r>
      <w:proofErr w:type="spellStart"/>
      <w:r w:rsidRPr="00F315D9">
        <w:rPr>
          <w:lang w:val="es-ES"/>
        </w:rPr>
        <w:t>melt</w:t>
      </w:r>
      <w:proofErr w:type="spellEnd"/>
      <w:r w:rsidRPr="00F315D9">
        <w:rPr>
          <w:lang w:val="es-ES"/>
        </w:rPr>
        <w:t>).</w:t>
      </w:r>
    </w:p>
    <w:p w14:paraId="4C3CBA50" w14:textId="77777777" w:rsidR="001B6E41" w:rsidRPr="00F315D9" w:rsidRDefault="00000000">
      <w:pPr>
        <w:pStyle w:val="Ttulo4"/>
        <w:rPr>
          <w:lang w:val="es-ES"/>
        </w:rPr>
      </w:pPr>
      <w:bookmarkStart w:id="15" w:name="organización-en-bloques-temáticos"/>
      <w:r w:rsidRPr="00F315D9">
        <w:rPr>
          <w:lang w:val="es-ES"/>
        </w:rPr>
        <w:lastRenderedPageBreak/>
        <w:t>4.2.1. Organización en bloques temáticos</w:t>
      </w:r>
    </w:p>
    <w:p w14:paraId="50C46275" w14:textId="77777777" w:rsidR="001B6E41" w:rsidRPr="00F315D9" w:rsidRDefault="00000000">
      <w:pPr>
        <w:rPr>
          <w:lang w:val="es-ES"/>
        </w:rPr>
      </w:pPr>
      <w:r w:rsidRPr="00F315D9">
        <w:rPr>
          <w:lang w:val="es-ES"/>
        </w:rPr>
        <w:t xml:space="preserve">Las </w:t>
      </w:r>
      <w:r w:rsidRPr="00F315D9">
        <w:rPr>
          <w:b/>
          <w:bCs/>
          <w:lang w:val="es-ES"/>
        </w:rPr>
        <w:t>21 variables macroeconómicas</w:t>
      </w:r>
      <w:r w:rsidRPr="00F315D9">
        <w:rPr>
          <w:lang w:val="es-ES"/>
        </w:rPr>
        <w:t xml:space="preserve"> se organizan en cuatro bloques temáticos, cada uno reflejando un canal de transmisión distinto hacia la volatilidad bursátil:</w:t>
      </w:r>
    </w:p>
    <w:p w14:paraId="190202B7" w14:textId="77777777" w:rsidR="001B6E41" w:rsidRPr="00F315D9" w:rsidRDefault="00000000">
      <w:pPr>
        <w:numPr>
          <w:ilvl w:val="0"/>
          <w:numId w:val="14"/>
        </w:numPr>
        <w:rPr>
          <w:lang w:val="es-ES"/>
        </w:rPr>
      </w:pPr>
      <w:r w:rsidRPr="00F315D9">
        <w:rPr>
          <w:b/>
          <w:bCs/>
          <w:lang w:val="es-ES"/>
        </w:rPr>
        <w:t>Bloque 1 — Actividad económica</w:t>
      </w:r>
      <w:r w:rsidRPr="00F315D9">
        <w:rPr>
          <w:lang w:val="es-ES"/>
        </w:rPr>
        <w:t>: PIB interanual, tasa de paro, IPI y PMI. Capturan el canal real de la economía: en recesiones, la incertidumbre sobre los beneficios empresariales eleva la volatilidad.</w:t>
      </w:r>
    </w:p>
    <w:p w14:paraId="7D2EE2A5" w14:textId="77777777" w:rsidR="001B6E41" w:rsidRDefault="00000000">
      <w:pPr>
        <w:numPr>
          <w:ilvl w:val="0"/>
          <w:numId w:val="14"/>
        </w:numPr>
      </w:pPr>
      <w:r w:rsidRPr="00F315D9">
        <w:rPr>
          <w:b/>
          <w:bCs/>
          <w:lang w:val="es-ES"/>
        </w:rPr>
        <w:t>Bloque 2 — Condiciones monetarias y financieras</w:t>
      </w:r>
      <w:r w:rsidRPr="00F315D9">
        <w:rPr>
          <w:lang w:val="es-ES"/>
        </w:rPr>
        <w:t xml:space="preserve">: bonos soberanos (España y Alemania 10Y), spread, EUR/USD, Euribor 3M y 6M, tipos oficiales del BCE (DFR, MLF, MRO) e IPC interanual. </w:t>
      </w:r>
      <w:proofErr w:type="spellStart"/>
      <w:r>
        <w:t>Capturan</w:t>
      </w:r>
      <w:proofErr w:type="spellEnd"/>
      <w:r>
        <w:t xml:space="preserve"> </w:t>
      </w:r>
      <w:proofErr w:type="spellStart"/>
      <w:r>
        <w:t>el</w:t>
      </w:r>
      <w:proofErr w:type="spellEnd"/>
      <w:r>
        <w:t xml:space="preserve"> canal </w:t>
      </w:r>
      <w:proofErr w:type="spellStart"/>
      <w:r>
        <w:t>monetario</w:t>
      </w:r>
      <w:proofErr w:type="spellEnd"/>
      <w:r>
        <w:t>.</w:t>
      </w:r>
    </w:p>
    <w:p w14:paraId="0AB9CEAD" w14:textId="77777777" w:rsidR="001B6E41" w:rsidRPr="00F315D9" w:rsidRDefault="00000000">
      <w:pPr>
        <w:numPr>
          <w:ilvl w:val="0"/>
          <w:numId w:val="14"/>
        </w:numPr>
        <w:rPr>
          <w:lang w:val="es-ES"/>
        </w:rPr>
      </w:pPr>
      <w:r w:rsidRPr="00F315D9">
        <w:rPr>
          <w:b/>
          <w:bCs/>
          <w:lang w:val="es-ES"/>
        </w:rPr>
        <w:t>Bloque 3 — Precios e inflación</w:t>
      </w:r>
      <w:r w:rsidRPr="00F315D9">
        <w:rPr>
          <w:lang w:val="es-ES"/>
        </w:rPr>
        <w:t>: IPC subyacente mensual, que mide presiones inflacionarias de fondo excluyendo energía y alimentos no elaborados.</w:t>
      </w:r>
    </w:p>
    <w:p w14:paraId="153A8A8F" w14:textId="77777777" w:rsidR="001B6E41" w:rsidRDefault="00000000">
      <w:pPr>
        <w:numPr>
          <w:ilvl w:val="0"/>
          <w:numId w:val="14"/>
        </w:numPr>
      </w:pPr>
      <w:r w:rsidRPr="00F315D9">
        <w:rPr>
          <w:b/>
          <w:bCs/>
          <w:lang w:val="es-ES"/>
        </w:rPr>
        <w:t xml:space="preserve">Bloque 4 — Riesgo global, </w:t>
      </w:r>
      <w:proofErr w:type="spellStart"/>
      <w:r w:rsidRPr="00F315D9">
        <w:rPr>
          <w:b/>
          <w:bCs/>
          <w:lang w:val="es-ES"/>
        </w:rPr>
        <w:t>commodities</w:t>
      </w:r>
      <w:proofErr w:type="spellEnd"/>
      <w:r w:rsidRPr="00F315D9">
        <w:rPr>
          <w:b/>
          <w:bCs/>
          <w:lang w:val="es-ES"/>
        </w:rPr>
        <w:t xml:space="preserve"> y divisas</w:t>
      </w:r>
      <w:r w:rsidRPr="00F315D9">
        <w:rPr>
          <w:lang w:val="es-ES"/>
        </w:rPr>
        <w:t xml:space="preserve">: VIX, VIBEX, VSTOXX, Brent y Gas Natural TTF. </w:t>
      </w:r>
      <w:proofErr w:type="spellStart"/>
      <w:r>
        <w:t>Reflejan</w:t>
      </w:r>
      <w:proofErr w:type="spellEnd"/>
      <w:r>
        <w:t xml:space="preserve"> </w:t>
      </w:r>
      <w:proofErr w:type="spellStart"/>
      <w:r>
        <w:t>el</w:t>
      </w:r>
      <w:proofErr w:type="spellEnd"/>
      <w:r>
        <w:t xml:space="preserve"> canal de contagio entre mercados globales.</w:t>
      </w:r>
    </w:p>
    <w:p w14:paraId="01E23CE9" w14:textId="77777777" w:rsidR="001B6E41" w:rsidRDefault="00000000">
      <w:pPr>
        <w:pStyle w:val="Ttulo4"/>
      </w:pPr>
      <w:bookmarkStart w:id="16" w:name="carga-en-base-de-datos"/>
      <w:bookmarkEnd w:id="15"/>
      <w:r>
        <w:t>4.2.2. Carga en base de datos</w:t>
      </w:r>
    </w:p>
    <w:p w14:paraId="5F476985" w14:textId="77777777" w:rsidR="001B6E41" w:rsidRPr="00F315D9" w:rsidRDefault="00000000">
      <w:pPr>
        <w:rPr>
          <w:lang w:val="es-ES"/>
        </w:rPr>
      </w:pPr>
      <w:r w:rsidRPr="00F315D9">
        <w:rPr>
          <w:lang w:val="es-ES"/>
        </w:rPr>
        <w:t xml:space="preserve">Las variables se agrupan en </w:t>
      </w:r>
      <w:r w:rsidRPr="00F315D9">
        <w:rPr>
          <w:b/>
          <w:bCs/>
          <w:lang w:val="es-ES"/>
        </w:rPr>
        <w:t>5 tablas SQLite</w:t>
      </w:r>
      <w:r w:rsidRPr="00F315D9">
        <w:rPr>
          <w:lang w:val="es-ES"/>
        </w:rPr>
        <w:t xml:space="preserve"> según su frecuencia y temática:</w:t>
      </w:r>
    </w:p>
    <w:tbl>
      <w:tblPr>
        <w:tblW w:w="5000" w:type="pct"/>
        <w:tblLayout w:type="fixed"/>
        <w:tblLook w:val="0020" w:firstRow="1" w:lastRow="0" w:firstColumn="0" w:lastColumn="0" w:noHBand="0" w:noVBand="0"/>
      </w:tblPr>
      <w:tblGrid>
        <w:gridCol w:w="2214"/>
        <w:gridCol w:w="2214"/>
        <w:gridCol w:w="2214"/>
        <w:gridCol w:w="2214"/>
      </w:tblGrid>
      <w:tr w:rsidR="001B6E41" w14:paraId="35CC0EB4" w14:textId="77777777">
        <w:trPr>
          <w:tblHeader/>
        </w:trPr>
        <w:tc>
          <w:tcPr>
            <w:tcW w:w="1980" w:type="dxa"/>
            <w:tcBorders>
              <w:top w:val="single" w:sz="4" w:space="0" w:color="404040"/>
              <w:left w:val="single" w:sz="4" w:space="0" w:color="404040"/>
              <w:bottom w:val="single" w:sz="4" w:space="0" w:color="404040"/>
              <w:right w:val="single" w:sz="4" w:space="0" w:color="404040"/>
            </w:tcBorders>
            <w:shd w:val="clear" w:color="auto" w:fill="404040"/>
          </w:tcPr>
          <w:p w14:paraId="51A7F9F8" w14:textId="77777777" w:rsidR="001B6E41" w:rsidRDefault="00000000">
            <w:proofErr w:type="spellStart"/>
            <w:r>
              <w:rPr>
                <w:b/>
                <w:color w:val="FFFFFF"/>
              </w:rPr>
              <w:t>Tabla</w:t>
            </w:r>
            <w:proofErr w:type="spellEnd"/>
          </w:p>
        </w:tc>
        <w:tc>
          <w:tcPr>
            <w:tcW w:w="1980" w:type="dxa"/>
            <w:tcBorders>
              <w:top w:val="single" w:sz="4" w:space="0" w:color="404040"/>
              <w:left w:val="single" w:sz="4" w:space="0" w:color="404040"/>
              <w:bottom w:val="single" w:sz="4" w:space="0" w:color="404040"/>
              <w:right w:val="single" w:sz="4" w:space="0" w:color="404040"/>
            </w:tcBorders>
            <w:shd w:val="clear" w:color="auto" w:fill="404040"/>
          </w:tcPr>
          <w:p w14:paraId="342D8A18" w14:textId="77777777" w:rsidR="001B6E41" w:rsidRDefault="00000000">
            <w:r>
              <w:rPr>
                <w:b/>
                <w:color w:val="FFFFFF"/>
              </w:rPr>
              <w:t>Frecuencia</w:t>
            </w:r>
          </w:p>
        </w:tc>
        <w:tc>
          <w:tcPr>
            <w:tcW w:w="1980" w:type="dxa"/>
            <w:tcBorders>
              <w:top w:val="single" w:sz="4" w:space="0" w:color="404040"/>
              <w:left w:val="single" w:sz="4" w:space="0" w:color="404040"/>
              <w:bottom w:val="single" w:sz="4" w:space="0" w:color="404040"/>
              <w:right w:val="single" w:sz="4" w:space="0" w:color="404040"/>
            </w:tcBorders>
            <w:shd w:val="clear" w:color="auto" w:fill="404040"/>
          </w:tcPr>
          <w:p w14:paraId="52177CE1" w14:textId="77777777" w:rsidR="001B6E41" w:rsidRDefault="00000000">
            <w:r>
              <w:rPr>
                <w:b/>
                <w:color w:val="FFFFFF"/>
              </w:rPr>
              <w:t>Variables principales</w:t>
            </w:r>
          </w:p>
        </w:tc>
        <w:tc>
          <w:tcPr>
            <w:tcW w:w="1980" w:type="dxa"/>
            <w:tcBorders>
              <w:top w:val="single" w:sz="4" w:space="0" w:color="404040"/>
              <w:left w:val="single" w:sz="4" w:space="0" w:color="404040"/>
              <w:bottom w:val="single" w:sz="4" w:space="0" w:color="404040"/>
              <w:right w:val="single" w:sz="4" w:space="0" w:color="404040"/>
            </w:tcBorders>
            <w:shd w:val="clear" w:color="auto" w:fill="404040"/>
          </w:tcPr>
          <w:p w14:paraId="6A1EAC7C" w14:textId="77777777" w:rsidR="001B6E41" w:rsidRDefault="00000000">
            <w:r>
              <w:rPr>
                <w:b/>
                <w:color w:val="FFFFFF"/>
              </w:rPr>
              <w:t>Filas</w:t>
            </w:r>
          </w:p>
        </w:tc>
      </w:tr>
      <w:tr w:rsidR="001B6E41" w14:paraId="52247453" w14:textId="77777777">
        <w:tc>
          <w:tcPr>
            <w:tcW w:w="1980" w:type="dxa"/>
            <w:tcBorders>
              <w:top w:val="single" w:sz="4" w:space="0" w:color="BFBFBF"/>
              <w:left w:val="single" w:sz="4" w:space="0" w:color="BFBFBF"/>
              <w:bottom w:val="single" w:sz="4" w:space="0" w:color="BFBFBF"/>
              <w:right w:val="single" w:sz="4" w:space="0" w:color="BFBFBF"/>
            </w:tcBorders>
          </w:tcPr>
          <w:p w14:paraId="705CDA51" w14:textId="77777777" w:rsidR="001B6E41" w:rsidRDefault="00000000">
            <w:r>
              <w:t>macro_act_mensual</w:t>
            </w:r>
          </w:p>
        </w:tc>
        <w:tc>
          <w:tcPr>
            <w:tcW w:w="1980" w:type="dxa"/>
            <w:tcBorders>
              <w:top w:val="single" w:sz="4" w:space="0" w:color="BFBFBF"/>
              <w:left w:val="single" w:sz="4" w:space="0" w:color="BFBFBF"/>
              <w:bottom w:val="single" w:sz="4" w:space="0" w:color="BFBFBF"/>
              <w:right w:val="single" w:sz="4" w:space="0" w:color="BFBFBF"/>
            </w:tcBorders>
          </w:tcPr>
          <w:p w14:paraId="353047D8" w14:textId="77777777" w:rsidR="001B6E41" w:rsidRDefault="00000000">
            <w:r>
              <w:t>Mensual</w:t>
            </w:r>
          </w:p>
        </w:tc>
        <w:tc>
          <w:tcPr>
            <w:tcW w:w="1980" w:type="dxa"/>
            <w:tcBorders>
              <w:top w:val="single" w:sz="4" w:space="0" w:color="BFBFBF"/>
              <w:left w:val="single" w:sz="4" w:space="0" w:color="BFBFBF"/>
              <w:bottom w:val="single" w:sz="4" w:space="0" w:color="BFBFBF"/>
              <w:right w:val="single" w:sz="4" w:space="0" w:color="BFBFBF"/>
            </w:tcBorders>
          </w:tcPr>
          <w:p w14:paraId="1840EB09" w14:textId="77777777" w:rsidR="001B6E41" w:rsidRDefault="00000000">
            <w:r>
              <w:t>ipi_yoy, pmi, ipc_sub_mom</w:t>
            </w:r>
          </w:p>
        </w:tc>
        <w:tc>
          <w:tcPr>
            <w:tcW w:w="1980" w:type="dxa"/>
            <w:tcBorders>
              <w:top w:val="single" w:sz="4" w:space="0" w:color="BFBFBF"/>
              <w:left w:val="single" w:sz="4" w:space="0" w:color="BFBFBF"/>
              <w:bottom w:val="single" w:sz="4" w:space="0" w:color="BFBFBF"/>
              <w:right w:val="single" w:sz="4" w:space="0" w:color="BFBFBF"/>
            </w:tcBorders>
          </w:tcPr>
          <w:p w14:paraId="0D856947" w14:textId="77777777" w:rsidR="001B6E41" w:rsidRDefault="00000000">
            <w:r>
              <w:t>250</w:t>
            </w:r>
          </w:p>
        </w:tc>
      </w:tr>
      <w:tr w:rsidR="001B6E41" w14:paraId="35F3F8CD" w14:textId="77777777">
        <w:tc>
          <w:tcPr>
            <w:tcW w:w="1980" w:type="dxa"/>
            <w:tcBorders>
              <w:top w:val="single" w:sz="4" w:space="0" w:color="BFBFBF"/>
              <w:left w:val="single" w:sz="4" w:space="0" w:color="BFBFBF"/>
              <w:bottom w:val="single" w:sz="4" w:space="0" w:color="BFBFBF"/>
              <w:right w:val="single" w:sz="4" w:space="0" w:color="BFBFBF"/>
            </w:tcBorders>
          </w:tcPr>
          <w:p w14:paraId="5B8F8272" w14:textId="77777777" w:rsidR="001B6E41" w:rsidRDefault="00000000">
            <w:r>
              <w:t>macro_act_trimes</w:t>
            </w:r>
          </w:p>
        </w:tc>
        <w:tc>
          <w:tcPr>
            <w:tcW w:w="1980" w:type="dxa"/>
            <w:tcBorders>
              <w:top w:val="single" w:sz="4" w:space="0" w:color="BFBFBF"/>
              <w:left w:val="single" w:sz="4" w:space="0" w:color="BFBFBF"/>
              <w:bottom w:val="single" w:sz="4" w:space="0" w:color="BFBFBF"/>
              <w:right w:val="single" w:sz="4" w:space="0" w:color="BFBFBF"/>
            </w:tcBorders>
          </w:tcPr>
          <w:p w14:paraId="2B8C37A4" w14:textId="77777777" w:rsidR="001B6E41" w:rsidRDefault="00000000">
            <w:r>
              <w:t>Trimestral</w:t>
            </w:r>
          </w:p>
        </w:tc>
        <w:tc>
          <w:tcPr>
            <w:tcW w:w="1980" w:type="dxa"/>
            <w:tcBorders>
              <w:top w:val="single" w:sz="4" w:space="0" w:color="BFBFBF"/>
              <w:left w:val="single" w:sz="4" w:space="0" w:color="BFBFBF"/>
              <w:bottom w:val="single" w:sz="4" w:space="0" w:color="BFBFBF"/>
              <w:right w:val="single" w:sz="4" w:space="0" w:color="BFBFBF"/>
            </w:tcBorders>
          </w:tcPr>
          <w:p w14:paraId="3D3F5B74" w14:textId="77777777" w:rsidR="001B6E41" w:rsidRDefault="00000000">
            <w:r>
              <w:t>pib_yoy, tasa_paro</w:t>
            </w:r>
          </w:p>
        </w:tc>
        <w:tc>
          <w:tcPr>
            <w:tcW w:w="1980" w:type="dxa"/>
            <w:tcBorders>
              <w:top w:val="single" w:sz="4" w:space="0" w:color="BFBFBF"/>
              <w:left w:val="single" w:sz="4" w:space="0" w:color="BFBFBF"/>
              <w:bottom w:val="single" w:sz="4" w:space="0" w:color="BFBFBF"/>
              <w:right w:val="single" w:sz="4" w:space="0" w:color="BFBFBF"/>
            </w:tcBorders>
          </w:tcPr>
          <w:p w14:paraId="42A458EB" w14:textId="77777777" w:rsidR="001B6E41" w:rsidRDefault="00000000">
            <w:r>
              <w:t>82</w:t>
            </w:r>
          </w:p>
        </w:tc>
      </w:tr>
      <w:tr w:rsidR="001B6E41" w14:paraId="1047C75C" w14:textId="77777777">
        <w:tc>
          <w:tcPr>
            <w:tcW w:w="1980" w:type="dxa"/>
            <w:tcBorders>
              <w:top w:val="single" w:sz="4" w:space="0" w:color="BFBFBF"/>
              <w:left w:val="single" w:sz="4" w:space="0" w:color="BFBFBF"/>
              <w:bottom w:val="single" w:sz="4" w:space="0" w:color="BFBFBF"/>
              <w:right w:val="single" w:sz="4" w:space="0" w:color="BFBFBF"/>
            </w:tcBorders>
          </w:tcPr>
          <w:p w14:paraId="6B9CAA9C" w14:textId="77777777" w:rsidR="001B6E41" w:rsidRDefault="00000000">
            <w:r>
              <w:t>macro_mon_diario</w:t>
            </w:r>
          </w:p>
        </w:tc>
        <w:tc>
          <w:tcPr>
            <w:tcW w:w="1980" w:type="dxa"/>
            <w:tcBorders>
              <w:top w:val="single" w:sz="4" w:space="0" w:color="BFBFBF"/>
              <w:left w:val="single" w:sz="4" w:space="0" w:color="BFBFBF"/>
              <w:bottom w:val="single" w:sz="4" w:space="0" w:color="BFBFBF"/>
              <w:right w:val="single" w:sz="4" w:space="0" w:color="BFBFBF"/>
            </w:tcBorders>
          </w:tcPr>
          <w:p w14:paraId="744A1037" w14:textId="77777777" w:rsidR="001B6E41" w:rsidRDefault="00000000">
            <w:r>
              <w:t>Diaria</w:t>
            </w:r>
          </w:p>
        </w:tc>
        <w:tc>
          <w:tcPr>
            <w:tcW w:w="1980" w:type="dxa"/>
            <w:tcBorders>
              <w:top w:val="single" w:sz="4" w:space="0" w:color="BFBFBF"/>
              <w:left w:val="single" w:sz="4" w:space="0" w:color="BFBFBF"/>
              <w:bottom w:val="single" w:sz="4" w:space="0" w:color="BFBFBF"/>
              <w:right w:val="single" w:sz="4" w:space="0" w:color="BFBFBF"/>
            </w:tcBorders>
          </w:tcPr>
          <w:p w14:paraId="585CFD3F" w14:textId="77777777" w:rsidR="001B6E41" w:rsidRPr="00F315D9" w:rsidRDefault="00000000">
            <w:pPr>
              <w:rPr>
                <w:lang w:val="es-ES"/>
              </w:rPr>
            </w:pPr>
            <w:r w:rsidRPr="00F315D9">
              <w:rPr>
                <w:lang w:val="es-ES"/>
              </w:rPr>
              <w:t xml:space="preserve">bono_es_10y, bono_de_10y, </w:t>
            </w:r>
            <w:proofErr w:type="spellStart"/>
            <w:r w:rsidRPr="00F315D9">
              <w:rPr>
                <w:lang w:val="es-ES"/>
              </w:rPr>
              <w:t>spread_es_de</w:t>
            </w:r>
            <w:proofErr w:type="spellEnd"/>
            <w:r w:rsidRPr="00F315D9">
              <w:rPr>
                <w:lang w:val="es-ES"/>
              </w:rPr>
              <w:t xml:space="preserve">, </w:t>
            </w:r>
            <w:proofErr w:type="spellStart"/>
            <w:r w:rsidRPr="00F315D9">
              <w:rPr>
                <w:lang w:val="es-ES"/>
              </w:rPr>
              <w:t>eur_usd</w:t>
            </w:r>
            <w:proofErr w:type="spellEnd"/>
          </w:p>
        </w:tc>
        <w:tc>
          <w:tcPr>
            <w:tcW w:w="1980" w:type="dxa"/>
            <w:tcBorders>
              <w:top w:val="single" w:sz="4" w:space="0" w:color="BFBFBF"/>
              <w:left w:val="single" w:sz="4" w:space="0" w:color="BFBFBF"/>
              <w:bottom w:val="single" w:sz="4" w:space="0" w:color="BFBFBF"/>
              <w:right w:val="single" w:sz="4" w:space="0" w:color="BFBFBF"/>
            </w:tcBorders>
          </w:tcPr>
          <w:p w14:paraId="026C500D" w14:textId="77777777" w:rsidR="001B6E41" w:rsidRDefault="00000000">
            <w:r>
              <w:t>5.865</w:t>
            </w:r>
          </w:p>
        </w:tc>
      </w:tr>
      <w:tr w:rsidR="001B6E41" w14:paraId="1B351E0C" w14:textId="77777777">
        <w:tc>
          <w:tcPr>
            <w:tcW w:w="1980" w:type="dxa"/>
            <w:tcBorders>
              <w:top w:val="single" w:sz="4" w:space="0" w:color="BFBFBF"/>
              <w:left w:val="single" w:sz="4" w:space="0" w:color="BFBFBF"/>
              <w:bottom w:val="single" w:sz="4" w:space="0" w:color="BFBFBF"/>
              <w:right w:val="single" w:sz="4" w:space="0" w:color="BFBFBF"/>
            </w:tcBorders>
          </w:tcPr>
          <w:p w14:paraId="2CB7D696" w14:textId="77777777" w:rsidR="001B6E41" w:rsidRDefault="00000000">
            <w:r>
              <w:t>macro_mon_mensual</w:t>
            </w:r>
          </w:p>
        </w:tc>
        <w:tc>
          <w:tcPr>
            <w:tcW w:w="1980" w:type="dxa"/>
            <w:tcBorders>
              <w:top w:val="single" w:sz="4" w:space="0" w:color="BFBFBF"/>
              <w:left w:val="single" w:sz="4" w:space="0" w:color="BFBFBF"/>
              <w:bottom w:val="single" w:sz="4" w:space="0" w:color="BFBFBF"/>
              <w:right w:val="single" w:sz="4" w:space="0" w:color="BFBFBF"/>
            </w:tcBorders>
          </w:tcPr>
          <w:p w14:paraId="23B011E2" w14:textId="77777777" w:rsidR="001B6E41" w:rsidRDefault="00000000">
            <w:r>
              <w:t>Mensual</w:t>
            </w:r>
          </w:p>
        </w:tc>
        <w:tc>
          <w:tcPr>
            <w:tcW w:w="1980" w:type="dxa"/>
            <w:tcBorders>
              <w:top w:val="single" w:sz="4" w:space="0" w:color="BFBFBF"/>
              <w:left w:val="single" w:sz="4" w:space="0" w:color="BFBFBF"/>
              <w:bottom w:val="single" w:sz="4" w:space="0" w:color="BFBFBF"/>
              <w:right w:val="single" w:sz="4" w:space="0" w:color="BFBFBF"/>
            </w:tcBorders>
          </w:tcPr>
          <w:p w14:paraId="34AAD954" w14:textId="77777777" w:rsidR="001B6E41" w:rsidRPr="00F315D9" w:rsidRDefault="00000000">
            <w:pPr>
              <w:rPr>
                <w:lang w:val="es-ES"/>
              </w:rPr>
            </w:pPr>
            <w:r w:rsidRPr="00F315D9">
              <w:rPr>
                <w:lang w:val="es-ES"/>
              </w:rPr>
              <w:t xml:space="preserve">euribor_3m, euribor_6m, </w:t>
            </w:r>
            <w:proofErr w:type="spellStart"/>
            <w:r w:rsidRPr="00F315D9">
              <w:rPr>
                <w:lang w:val="es-ES"/>
              </w:rPr>
              <w:t>tipo_dfr</w:t>
            </w:r>
            <w:proofErr w:type="spellEnd"/>
            <w:r w:rsidRPr="00F315D9">
              <w:rPr>
                <w:lang w:val="es-ES"/>
              </w:rPr>
              <w:t xml:space="preserve">, </w:t>
            </w:r>
            <w:proofErr w:type="spellStart"/>
            <w:r w:rsidRPr="00F315D9">
              <w:rPr>
                <w:lang w:val="es-ES"/>
              </w:rPr>
              <w:t>tipo_mlf</w:t>
            </w:r>
            <w:proofErr w:type="spellEnd"/>
            <w:r w:rsidRPr="00F315D9">
              <w:rPr>
                <w:lang w:val="es-ES"/>
              </w:rPr>
              <w:t xml:space="preserve">, </w:t>
            </w:r>
            <w:proofErr w:type="spellStart"/>
            <w:r w:rsidRPr="00F315D9">
              <w:rPr>
                <w:lang w:val="es-ES"/>
              </w:rPr>
              <w:t>tipo_mro</w:t>
            </w:r>
            <w:proofErr w:type="spellEnd"/>
            <w:r w:rsidRPr="00F315D9">
              <w:rPr>
                <w:lang w:val="es-ES"/>
              </w:rPr>
              <w:t xml:space="preserve">, </w:t>
            </w:r>
            <w:proofErr w:type="spellStart"/>
            <w:r w:rsidRPr="00F315D9">
              <w:rPr>
                <w:lang w:val="es-ES"/>
              </w:rPr>
              <w:t>ipc_yoy</w:t>
            </w:r>
            <w:proofErr w:type="spellEnd"/>
          </w:p>
        </w:tc>
        <w:tc>
          <w:tcPr>
            <w:tcW w:w="1980" w:type="dxa"/>
            <w:tcBorders>
              <w:top w:val="single" w:sz="4" w:space="0" w:color="BFBFBF"/>
              <w:left w:val="single" w:sz="4" w:space="0" w:color="BFBFBF"/>
              <w:bottom w:val="single" w:sz="4" w:space="0" w:color="BFBFBF"/>
              <w:right w:val="single" w:sz="4" w:space="0" w:color="BFBFBF"/>
            </w:tcBorders>
          </w:tcPr>
          <w:p w14:paraId="19603745" w14:textId="77777777" w:rsidR="001B6E41" w:rsidRDefault="00000000">
            <w:r>
              <w:t>423</w:t>
            </w:r>
          </w:p>
        </w:tc>
      </w:tr>
      <w:tr w:rsidR="001B6E41" w14:paraId="079DA119" w14:textId="77777777">
        <w:tc>
          <w:tcPr>
            <w:tcW w:w="1980" w:type="dxa"/>
            <w:tcBorders>
              <w:top w:val="single" w:sz="4" w:space="0" w:color="BFBFBF"/>
              <w:left w:val="single" w:sz="4" w:space="0" w:color="BFBFBF"/>
              <w:bottom w:val="single" w:sz="4" w:space="0" w:color="BFBFBF"/>
              <w:right w:val="single" w:sz="4" w:space="0" w:color="BFBFBF"/>
            </w:tcBorders>
          </w:tcPr>
          <w:p w14:paraId="5FCE6CE0" w14:textId="77777777" w:rsidR="001B6E41" w:rsidRDefault="00000000">
            <w:r>
              <w:t>macro_riesgo</w:t>
            </w:r>
          </w:p>
        </w:tc>
        <w:tc>
          <w:tcPr>
            <w:tcW w:w="1980" w:type="dxa"/>
            <w:tcBorders>
              <w:top w:val="single" w:sz="4" w:space="0" w:color="BFBFBF"/>
              <w:left w:val="single" w:sz="4" w:space="0" w:color="BFBFBF"/>
              <w:bottom w:val="single" w:sz="4" w:space="0" w:color="BFBFBF"/>
              <w:right w:val="single" w:sz="4" w:space="0" w:color="BFBFBF"/>
            </w:tcBorders>
          </w:tcPr>
          <w:p w14:paraId="0D33C843" w14:textId="77777777" w:rsidR="001B6E41" w:rsidRDefault="00000000">
            <w:r>
              <w:t>Diaria</w:t>
            </w:r>
          </w:p>
        </w:tc>
        <w:tc>
          <w:tcPr>
            <w:tcW w:w="1980" w:type="dxa"/>
            <w:tcBorders>
              <w:top w:val="single" w:sz="4" w:space="0" w:color="BFBFBF"/>
              <w:left w:val="single" w:sz="4" w:space="0" w:color="BFBFBF"/>
              <w:bottom w:val="single" w:sz="4" w:space="0" w:color="BFBFBF"/>
              <w:right w:val="single" w:sz="4" w:space="0" w:color="BFBFBF"/>
            </w:tcBorders>
          </w:tcPr>
          <w:p w14:paraId="1696619F" w14:textId="77777777" w:rsidR="001B6E41" w:rsidRDefault="00000000">
            <w:r>
              <w:t>vix, vibex, vstoxx, brent, gas_ttf</w:t>
            </w:r>
          </w:p>
        </w:tc>
        <w:tc>
          <w:tcPr>
            <w:tcW w:w="1980" w:type="dxa"/>
            <w:tcBorders>
              <w:top w:val="single" w:sz="4" w:space="0" w:color="BFBFBF"/>
              <w:left w:val="single" w:sz="4" w:space="0" w:color="BFBFBF"/>
              <w:bottom w:val="single" w:sz="4" w:space="0" w:color="BFBFBF"/>
              <w:right w:val="single" w:sz="4" w:space="0" w:color="BFBFBF"/>
            </w:tcBorders>
          </w:tcPr>
          <w:p w14:paraId="222BDBD8" w14:textId="77777777" w:rsidR="001B6E41" w:rsidRDefault="00000000">
            <w:r>
              <w:t>5.091</w:t>
            </w:r>
          </w:p>
        </w:tc>
      </w:tr>
    </w:tbl>
    <w:p w14:paraId="4539F554" w14:textId="77777777" w:rsidR="001B6E41" w:rsidRPr="00F315D9" w:rsidRDefault="00000000">
      <w:pPr>
        <w:pStyle w:val="Textoindependiente"/>
        <w:rPr>
          <w:lang w:val="es-ES"/>
        </w:rPr>
      </w:pPr>
      <w:r w:rsidRPr="00F315D9">
        <w:rPr>
          <w:lang w:val="es-ES"/>
        </w:rPr>
        <w:t xml:space="preserve">Las tablas dentro de cada bloque se construyen mediante </w:t>
      </w:r>
      <w:proofErr w:type="spellStart"/>
      <w:proofErr w:type="gramStart"/>
      <w:r w:rsidRPr="00F315D9">
        <w:rPr>
          <w:lang w:val="es-ES"/>
        </w:rPr>
        <w:t>merge</w:t>
      </w:r>
      <w:proofErr w:type="spellEnd"/>
      <w:r w:rsidRPr="00F315D9">
        <w:rPr>
          <w:lang w:val="es-ES"/>
        </w:rPr>
        <w:t>(</w:t>
      </w:r>
      <w:proofErr w:type="spellStart"/>
      <w:proofErr w:type="gramEnd"/>
      <w:r w:rsidRPr="00F315D9">
        <w:rPr>
          <w:lang w:val="es-ES"/>
        </w:rPr>
        <w:t>on</w:t>
      </w:r>
      <w:proofErr w:type="spellEnd"/>
      <w:r w:rsidRPr="00F315D9">
        <w:rPr>
          <w:lang w:val="es-ES"/>
        </w:rPr>
        <w:t xml:space="preserve">='fecha', </w:t>
      </w:r>
      <w:proofErr w:type="spellStart"/>
      <w:r w:rsidRPr="00F315D9">
        <w:rPr>
          <w:lang w:val="es-ES"/>
        </w:rPr>
        <w:t>how</w:t>
      </w:r>
      <w:proofErr w:type="spellEnd"/>
      <w:r w:rsidRPr="00F315D9">
        <w:rPr>
          <w:lang w:val="es-ES"/>
        </w:rPr>
        <w:t>='</w:t>
      </w:r>
      <w:proofErr w:type="spellStart"/>
      <w:r w:rsidRPr="00F315D9">
        <w:rPr>
          <w:lang w:val="es-ES"/>
        </w:rPr>
        <w:t>outer</w:t>
      </w:r>
      <w:proofErr w:type="spellEnd"/>
      <w:r w:rsidRPr="00F315D9">
        <w:rPr>
          <w:lang w:val="es-ES"/>
        </w:rPr>
        <w:t>') para preservar todas las fechas disponibles, aunque provengan de series con rangos temporales distintos.</w:t>
      </w:r>
    </w:p>
    <w:p w14:paraId="5B8568A9" w14:textId="77777777" w:rsidR="001B6E41" w:rsidRPr="00F315D9" w:rsidRDefault="00000000">
      <w:pPr>
        <w:pStyle w:val="Ttulo2"/>
        <w:rPr>
          <w:lang w:val="es-ES"/>
        </w:rPr>
      </w:pPr>
      <w:bookmarkStart w:id="17" w:name="limpieza-y-alineación-temporal"/>
      <w:bookmarkEnd w:id="10"/>
      <w:bookmarkEnd w:id="14"/>
      <w:bookmarkEnd w:id="16"/>
      <w:r w:rsidRPr="00F315D9">
        <w:rPr>
          <w:lang w:val="es-ES"/>
        </w:rPr>
        <w:lastRenderedPageBreak/>
        <w:t>5. Limpieza y alineación temporal</w:t>
      </w:r>
    </w:p>
    <w:p w14:paraId="280D10BC" w14:textId="77777777" w:rsidR="001B6E41" w:rsidRPr="00F315D9" w:rsidRDefault="00000000">
      <w:pPr>
        <w:pStyle w:val="Ttulo3"/>
        <w:rPr>
          <w:lang w:val="es-ES"/>
        </w:rPr>
      </w:pPr>
      <w:bookmarkStart w:id="18" w:name="tratamiento-de-nulos-en-precios"/>
      <w:r w:rsidRPr="00F315D9">
        <w:rPr>
          <w:lang w:val="es-ES"/>
        </w:rPr>
        <w:t>5.1. Tratamiento de nulos en precios</w:t>
      </w:r>
    </w:p>
    <w:p w14:paraId="1847C102" w14:textId="77777777" w:rsidR="001B6E41" w:rsidRPr="00F315D9" w:rsidRDefault="00000000">
      <w:pPr>
        <w:rPr>
          <w:lang w:val="es-ES"/>
        </w:rPr>
      </w:pPr>
      <w:r w:rsidRPr="00F315D9">
        <w:rPr>
          <w:lang w:val="es-ES"/>
        </w:rPr>
        <w:t xml:space="preserve">El control de calidad del </w:t>
      </w:r>
      <w:proofErr w:type="spellStart"/>
      <w:r w:rsidRPr="00F315D9">
        <w:rPr>
          <w:lang w:val="es-ES"/>
        </w:rPr>
        <w:t>dataset</w:t>
      </w:r>
      <w:proofErr w:type="spellEnd"/>
      <w:r w:rsidRPr="00F315D9">
        <w:rPr>
          <w:lang w:val="es-ES"/>
        </w:rPr>
        <w:t xml:space="preserve"> de precios revela </w:t>
      </w:r>
      <w:r w:rsidRPr="00F315D9">
        <w:rPr>
          <w:b/>
          <w:bCs/>
          <w:lang w:val="es-ES"/>
        </w:rPr>
        <w:t>8 valores nulos</w:t>
      </w:r>
      <w:r w:rsidRPr="00F315D9">
        <w:rPr>
          <w:lang w:val="es-ES"/>
        </w:rPr>
        <w:t xml:space="preserve"> en la columna </w:t>
      </w:r>
      <w:proofErr w:type="spellStart"/>
      <w:r w:rsidRPr="00F315D9">
        <w:rPr>
          <w:lang w:val="es-ES"/>
        </w:rPr>
        <w:t>close</w:t>
      </w:r>
      <w:proofErr w:type="spellEnd"/>
      <w:r w:rsidRPr="00F315D9">
        <w:rPr>
          <w:lang w:val="es-ES"/>
        </w:rPr>
        <w:t>, distribuidos en 4 empresas (CABK, FER, MRL, ROVI). Estos nulos corresponden a días en los que la plataforma Reuters no registró precio de cierre, probablemente por suspensiones temporales de cotización o errores en la exportación.</w:t>
      </w:r>
    </w:p>
    <w:p w14:paraId="13C432DC" w14:textId="77777777" w:rsidR="001B6E41" w:rsidRDefault="00000000">
      <w:pPr>
        <w:pStyle w:val="Textoindependiente"/>
      </w:pPr>
      <w:r w:rsidRPr="00F315D9">
        <w:rPr>
          <w:b/>
          <w:bCs/>
          <w:lang w:val="es-ES"/>
        </w:rPr>
        <w:t>Decisión: interpolación lineal.</w:t>
      </w:r>
      <w:r w:rsidRPr="00F315D9">
        <w:rPr>
          <w:lang w:val="es-ES"/>
        </w:rPr>
        <w:t xml:space="preserve"> Se opta por </w:t>
      </w:r>
      <w:proofErr w:type="spellStart"/>
      <w:proofErr w:type="gramStart"/>
      <w:r w:rsidRPr="00F315D9">
        <w:rPr>
          <w:lang w:val="es-ES"/>
        </w:rPr>
        <w:t>pandas.interpolate</w:t>
      </w:r>
      <w:proofErr w:type="spellEnd"/>
      <w:proofErr w:type="gramEnd"/>
      <w:r w:rsidRPr="00F315D9">
        <w:rPr>
          <w:lang w:val="es-ES"/>
        </w:rPr>
        <w:t>(</w:t>
      </w:r>
      <w:proofErr w:type="spellStart"/>
      <w:r w:rsidRPr="00F315D9">
        <w:rPr>
          <w:lang w:val="es-ES"/>
        </w:rPr>
        <w:t>method</w:t>
      </w:r>
      <w:proofErr w:type="spellEnd"/>
      <w:r w:rsidRPr="00F315D9">
        <w:rPr>
          <w:lang w:val="es-ES"/>
        </w:rPr>
        <w:t xml:space="preserve">='linear', </w:t>
      </w:r>
      <w:proofErr w:type="spellStart"/>
      <w:r w:rsidRPr="00F315D9">
        <w:rPr>
          <w:lang w:val="es-ES"/>
        </w:rPr>
        <w:t>limit_direction</w:t>
      </w:r>
      <w:proofErr w:type="spellEnd"/>
      <w:r w:rsidRPr="00F315D9">
        <w:rPr>
          <w:lang w:val="es-ES"/>
        </w:rPr>
        <w:t>='</w:t>
      </w:r>
      <w:proofErr w:type="spellStart"/>
      <w:r w:rsidRPr="00F315D9">
        <w:rPr>
          <w:lang w:val="es-ES"/>
        </w:rPr>
        <w:t>both</w:t>
      </w:r>
      <w:proofErr w:type="spellEnd"/>
      <w:r w:rsidRPr="00F315D9">
        <w:rPr>
          <w:lang w:val="es-ES"/>
        </w:rPr>
        <w:t xml:space="preserve">'), aplicada por empresa. Este método estima el precio faltante como el punto medio ponderado entre el último precio conocido y el siguiente disponible. </w:t>
      </w:r>
      <w:r>
        <w:t xml:space="preserve">Se </w:t>
      </w:r>
      <w:proofErr w:type="spellStart"/>
      <w:r>
        <w:t>prefiere</w:t>
      </w:r>
      <w:proofErr w:type="spellEnd"/>
      <w:r>
        <w:t xml:space="preserve"> </w:t>
      </w:r>
      <w:proofErr w:type="spellStart"/>
      <w:r>
        <w:t>sobre</w:t>
      </w:r>
      <w:proofErr w:type="spellEnd"/>
      <w:r>
        <w:t xml:space="preserve"> las alternativas porque:</w:t>
      </w:r>
    </w:p>
    <w:p w14:paraId="68DFE02F" w14:textId="77777777" w:rsidR="001B6E41" w:rsidRPr="00F315D9" w:rsidRDefault="00000000">
      <w:pPr>
        <w:numPr>
          <w:ilvl w:val="0"/>
          <w:numId w:val="15"/>
        </w:numPr>
        <w:rPr>
          <w:lang w:val="es-ES"/>
        </w:rPr>
      </w:pPr>
      <w:r w:rsidRPr="00F315D9">
        <w:rPr>
          <w:b/>
          <w:bCs/>
          <w:lang w:val="es-ES"/>
        </w:rPr>
        <w:t>Frente a forward-</w:t>
      </w:r>
      <w:proofErr w:type="spellStart"/>
      <w:r w:rsidRPr="00F315D9">
        <w:rPr>
          <w:b/>
          <w:bCs/>
          <w:lang w:val="es-ES"/>
        </w:rPr>
        <w:t>fill</w:t>
      </w:r>
      <w:proofErr w:type="spellEnd"/>
      <w:r w:rsidRPr="00F315D9">
        <w:rPr>
          <w:b/>
          <w:bCs/>
          <w:lang w:val="es-ES"/>
        </w:rPr>
        <w:t xml:space="preserve"> (</w:t>
      </w:r>
      <w:proofErr w:type="spellStart"/>
      <w:r w:rsidRPr="00F315D9">
        <w:rPr>
          <w:b/>
          <w:bCs/>
          <w:lang w:val="es-ES"/>
        </w:rPr>
        <w:t>ffill</w:t>
      </w:r>
      <w:proofErr w:type="spellEnd"/>
      <w:r w:rsidRPr="00F315D9">
        <w:rPr>
          <w:b/>
          <w:bCs/>
          <w:lang w:val="es-ES"/>
        </w:rPr>
        <w:t>)</w:t>
      </w:r>
      <w:r w:rsidRPr="00F315D9">
        <w:rPr>
          <w:lang w:val="es-ES"/>
        </w:rPr>
        <w:t>: los precios tienen tendencia, por lo que arrastrar el último valor conocido introduce un sesgo sistemático.</w:t>
      </w:r>
    </w:p>
    <w:p w14:paraId="6FA8691A" w14:textId="77777777" w:rsidR="001B6E41" w:rsidRPr="00F315D9" w:rsidRDefault="00000000">
      <w:pPr>
        <w:numPr>
          <w:ilvl w:val="0"/>
          <w:numId w:val="15"/>
        </w:numPr>
        <w:rPr>
          <w:lang w:val="es-ES"/>
        </w:rPr>
      </w:pPr>
      <w:r w:rsidRPr="00F315D9">
        <w:rPr>
          <w:b/>
          <w:bCs/>
          <w:lang w:val="es-ES"/>
        </w:rPr>
        <w:t>Frente a eliminación de filas</w:t>
      </w:r>
      <w:r w:rsidRPr="00F315D9">
        <w:rPr>
          <w:lang w:val="es-ES"/>
        </w:rPr>
        <w:t>: penalizaría a las otras 34 empresas que sí tienen dato ese día.</w:t>
      </w:r>
    </w:p>
    <w:p w14:paraId="2AD4F838" w14:textId="77777777" w:rsidR="001B6E41" w:rsidRPr="00F315D9" w:rsidRDefault="00000000">
      <w:pPr>
        <w:numPr>
          <w:ilvl w:val="0"/>
          <w:numId w:val="15"/>
        </w:numPr>
        <w:rPr>
          <w:lang w:val="es-ES"/>
        </w:rPr>
      </w:pPr>
      <w:r w:rsidRPr="00F315D9">
        <w:rPr>
          <w:b/>
          <w:bCs/>
          <w:lang w:val="es-ES"/>
        </w:rPr>
        <w:t>Frente a la media</w:t>
      </w:r>
      <w:r w:rsidRPr="00F315D9">
        <w:rPr>
          <w:lang w:val="es-ES"/>
        </w:rPr>
        <w:t>: el precio medio histórico no tiene sentido para una serie con tendencia temporal.</w:t>
      </w:r>
    </w:p>
    <w:p w14:paraId="474333DE" w14:textId="77777777" w:rsidR="001B6E41" w:rsidRPr="00F315D9" w:rsidRDefault="00000000">
      <w:pPr>
        <w:rPr>
          <w:lang w:val="es-ES"/>
        </w:rPr>
      </w:pPr>
      <w:r w:rsidRPr="00F315D9">
        <w:rPr>
          <w:lang w:val="es-ES"/>
        </w:rPr>
        <w:t xml:space="preserve">Tras la imputación se recalculan </w:t>
      </w:r>
      <w:proofErr w:type="spellStart"/>
      <w:r w:rsidRPr="00F315D9">
        <w:rPr>
          <w:lang w:val="es-ES"/>
        </w:rPr>
        <w:t>log_ret</w:t>
      </w:r>
      <w:proofErr w:type="spellEnd"/>
      <w:r w:rsidRPr="00F315D9">
        <w:rPr>
          <w:lang w:val="es-ES"/>
        </w:rPr>
        <w:t xml:space="preserve"> y vol_hist_21d. </w:t>
      </w:r>
      <w:r w:rsidRPr="00F315D9">
        <w:rPr>
          <w:b/>
          <w:bCs/>
          <w:lang w:val="es-ES"/>
        </w:rPr>
        <w:t>Verificación final</w:t>
      </w:r>
      <w:r w:rsidRPr="00F315D9">
        <w:rPr>
          <w:lang w:val="es-ES"/>
        </w:rPr>
        <w:t xml:space="preserve">: 0 nulos en </w:t>
      </w:r>
      <w:proofErr w:type="spellStart"/>
      <w:r w:rsidRPr="00F315D9">
        <w:rPr>
          <w:lang w:val="es-ES"/>
        </w:rPr>
        <w:t>close</w:t>
      </w:r>
      <w:proofErr w:type="spellEnd"/>
      <w:r w:rsidRPr="00F315D9">
        <w:rPr>
          <w:lang w:val="es-ES"/>
        </w:rPr>
        <w:t>, 0 duplicados por par (</w:t>
      </w:r>
      <w:proofErr w:type="spellStart"/>
      <w:r w:rsidRPr="00F315D9">
        <w:rPr>
          <w:lang w:val="es-ES"/>
        </w:rPr>
        <w:t>ticker</w:t>
      </w:r>
      <w:proofErr w:type="spellEnd"/>
      <w:r w:rsidRPr="00F315D9">
        <w:rPr>
          <w:lang w:val="es-ES"/>
        </w:rPr>
        <w:t>, fecha), 0 precios negativos o cero.</w:t>
      </w:r>
    </w:p>
    <w:p w14:paraId="782995F9" w14:textId="77777777" w:rsidR="001B6E41" w:rsidRDefault="00000000">
      <w:r>
        <w:rPr>
          <w:noProof/>
        </w:rPr>
        <w:drawing>
          <wp:inline distT="0" distB="0" distL="0" distR="0" wp14:anchorId="51A0F47F" wp14:editId="26D09065">
            <wp:extent cx="4937760" cy="2619809"/>
            <wp:effectExtent l="0" t="0" r="0" b="0"/>
            <wp:docPr id="65" name="Picture" descr="Figura 2. Resultado de la interpolación lineal en las 4 empresas con nulos en el precio de cierre (CABK, FER, MRL, ROVI). El método estima cada valor faltante como el punto medio entre los días adyacentes, sin introducir saltos artificiales."/>
            <wp:cNvGraphicFramePr/>
            <a:graphic xmlns:a="http://schemas.openxmlformats.org/drawingml/2006/main">
              <a:graphicData uri="http://schemas.openxmlformats.org/drawingml/2006/picture">
                <pic:pic xmlns:pic="http://schemas.openxmlformats.org/drawingml/2006/picture">
                  <pic:nvPicPr>
                    <pic:cNvPr id="66" name="Picture" descr="figuras/03_interpolacion_nulos.png"/>
                    <pic:cNvPicPr>
                      <a:picLocks noChangeAspect="1" noChangeArrowheads="1"/>
                    </pic:cNvPicPr>
                  </pic:nvPicPr>
                  <pic:blipFill>
                    <a:blip r:embed="rId6"/>
                    <a:stretch>
                      <a:fillRect/>
                    </a:stretch>
                  </pic:blipFill>
                  <pic:spPr bwMode="auto">
                    <a:xfrm>
                      <a:off x="0" y="0"/>
                      <a:ext cx="4937760" cy="2619809"/>
                    </a:xfrm>
                    <a:prstGeom prst="rect">
                      <a:avLst/>
                    </a:prstGeom>
                    <a:noFill/>
                    <a:ln w="9525">
                      <a:noFill/>
                      <a:headEnd/>
                      <a:tailEnd/>
                    </a:ln>
                  </pic:spPr>
                </pic:pic>
              </a:graphicData>
            </a:graphic>
          </wp:inline>
        </w:drawing>
      </w:r>
    </w:p>
    <w:p w14:paraId="6E6B78DA" w14:textId="77777777" w:rsidR="001B6E41" w:rsidRPr="00F315D9" w:rsidRDefault="00000000">
      <w:pPr>
        <w:rPr>
          <w:lang w:val="es-ES"/>
        </w:rPr>
      </w:pPr>
      <w:r w:rsidRPr="00F315D9">
        <w:rPr>
          <w:b/>
          <w:bCs/>
          <w:lang w:val="es-ES"/>
        </w:rPr>
        <w:t>Figura 2.</w:t>
      </w:r>
      <w:r w:rsidRPr="00F315D9">
        <w:rPr>
          <w:lang w:val="es-ES"/>
        </w:rPr>
        <w:t xml:space="preserve"> Resultado de la interpolación lineal en las 4 empresas con nulos en el precio de cierre (CABK, FER, MRL, ROVI). El método estima cada valor faltante como el punto medio entre los días adyacentes, sin introducir saltos artificiales.</w:t>
      </w:r>
    </w:p>
    <w:p w14:paraId="2C0825BA" w14:textId="77777777" w:rsidR="001B6E41" w:rsidRPr="00F315D9" w:rsidRDefault="00000000">
      <w:pPr>
        <w:pStyle w:val="Ttulo3"/>
        <w:rPr>
          <w:lang w:val="es-ES"/>
        </w:rPr>
      </w:pPr>
      <w:bookmarkStart w:id="19" w:name="Xfafb47428236057ce8dbe24f8c95e91350052de"/>
      <w:bookmarkEnd w:id="18"/>
      <w:r w:rsidRPr="00F315D9">
        <w:rPr>
          <w:lang w:val="es-ES"/>
        </w:rPr>
        <w:t>5.2. Nulos estructurales en datos macroeconómicos</w:t>
      </w:r>
    </w:p>
    <w:p w14:paraId="4F9C2504" w14:textId="77777777" w:rsidR="001B6E41" w:rsidRPr="00F315D9" w:rsidRDefault="00000000">
      <w:pPr>
        <w:rPr>
          <w:lang w:val="es-ES"/>
        </w:rPr>
      </w:pPr>
      <w:r w:rsidRPr="00F315D9">
        <w:rPr>
          <w:lang w:val="es-ES"/>
        </w:rPr>
        <w:t xml:space="preserve">En las variables macroeconómicas, los nulos no son errores sino </w:t>
      </w:r>
      <w:r w:rsidRPr="00F315D9">
        <w:rPr>
          <w:b/>
          <w:bCs/>
          <w:lang w:val="es-ES"/>
        </w:rPr>
        <w:t>ausencias estructurales</w:t>
      </w:r>
      <w:r w:rsidRPr="00F315D9">
        <w:rPr>
          <w:lang w:val="es-ES"/>
        </w:rPr>
        <w:t xml:space="preserve"> derivadas de (1) </w:t>
      </w:r>
      <w:r w:rsidRPr="00F315D9">
        <w:rPr>
          <w:b/>
          <w:bCs/>
          <w:lang w:val="es-ES"/>
        </w:rPr>
        <w:t>distintos rangos temporales</w:t>
      </w:r>
      <w:r w:rsidRPr="00F315D9">
        <w:rPr>
          <w:lang w:val="es-ES"/>
        </w:rPr>
        <w:t xml:space="preserve"> (el VIBEX comienza en 2015, el spread España-</w:t>
      </w:r>
      <w:r w:rsidRPr="00F315D9">
        <w:rPr>
          <w:lang w:val="es-ES"/>
        </w:rPr>
        <w:lastRenderedPageBreak/>
        <w:t xml:space="preserve">Alemania en 2014, los tipos BCE en 2009) y (2) </w:t>
      </w:r>
      <w:r w:rsidRPr="00F315D9">
        <w:rPr>
          <w:b/>
          <w:bCs/>
          <w:lang w:val="es-ES"/>
        </w:rPr>
        <w:t>distinta frecuencia de publicación</w:t>
      </w:r>
      <w:r w:rsidRPr="00F315D9">
        <w:rPr>
          <w:lang w:val="es-ES"/>
        </w:rPr>
        <w:t xml:space="preserve"> (el PIB solo se publica una vez al trimestre). Estas ausencias se resuelven en la alineación temporal mediante forward-</w:t>
      </w:r>
      <w:proofErr w:type="spellStart"/>
      <w:r w:rsidRPr="00F315D9">
        <w:rPr>
          <w:lang w:val="es-ES"/>
        </w:rPr>
        <w:t>fill</w:t>
      </w:r>
      <w:proofErr w:type="spellEnd"/>
      <w:r w:rsidRPr="00F315D9">
        <w:rPr>
          <w:lang w:val="es-ES"/>
        </w:rPr>
        <w:t xml:space="preserve"> (sección 5.4), que es la aproximación correcta desde el punto de vista de la información disponible para un inversor.</w:t>
      </w:r>
    </w:p>
    <w:p w14:paraId="3444D921" w14:textId="77777777" w:rsidR="001B6E41" w:rsidRPr="00F315D9" w:rsidRDefault="00000000">
      <w:pPr>
        <w:rPr>
          <w:lang w:val="es-ES"/>
        </w:rPr>
      </w:pPr>
      <w:r w:rsidRPr="00F315D9">
        <w:rPr>
          <w:b/>
          <w:bCs/>
          <w:lang w:val="es-ES"/>
        </w:rPr>
        <w:t>Nota metodológica</w:t>
      </w:r>
      <w:r w:rsidRPr="00F315D9">
        <w:rPr>
          <w:lang w:val="es-ES"/>
        </w:rPr>
        <w:t xml:space="preserve">: existen dos tipos de nulos en este proyecto, tratados de forma distinta. Los nulos en precios se imputan con </w:t>
      </w:r>
      <w:r w:rsidRPr="00F315D9">
        <w:rPr>
          <w:b/>
          <w:bCs/>
          <w:lang w:val="es-ES"/>
        </w:rPr>
        <w:t>interpolación lineal</w:t>
      </w:r>
      <w:r w:rsidRPr="00F315D9">
        <w:rPr>
          <w:lang w:val="es-ES"/>
        </w:rPr>
        <w:t xml:space="preserve"> (porque son días puntuales con dato faltante entre dos puntos válidos). Los nulos en macro se rellenan con </w:t>
      </w:r>
      <w:r w:rsidRPr="00F315D9">
        <w:rPr>
          <w:b/>
          <w:bCs/>
          <w:lang w:val="es-ES"/>
        </w:rPr>
        <w:t>forward-</w:t>
      </w:r>
      <w:proofErr w:type="spellStart"/>
      <w:r w:rsidRPr="00F315D9">
        <w:rPr>
          <w:b/>
          <w:bCs/>
          <w:lang w:val="es-ES"/>
        </w:rPr>
        <w:t>fill</w:t>
      </w:r>
      <w:proofErr w:type="spellEnd"/>
      <w:r w:rsidRPr="00F315D9">
        <w:rPr>
          <w:lang w:val="es-ES"/>
        </w:rPr>
        <w:t xml:space="preserve"> (porque reflejan que el dato anterior sigue vigente hasta la próxima publicación oficial). Confundir ambos métodos introduciría sesgos opuestos.</w:t>
      </w:r>
    </w:p>
    <w:p w14:paraId="504A9630" w14:textId="77777777" w:rsidR="001B6E41" w:rsidRPr="00F315D9" w:rsidRDefault="00000000">
      <w:pPr>
        <w:pStyle w:val="Ttulo3"/>
        <w:rPr>
          <w:lang w:val="es-ES"/>
        </w:rPr>
      </w:pPr>
      <w:bookmarkStart w:id="20" w:name="el-problema-de-las-frecuencias-múltiples"/>
      <w:bookmarkEnd w:id="19"/>
      <w:r w:rsidRPr="00F315D9">
        <w:rPr>
          <w:lang w:val="es-ES"/>
        </w:rPr>
        <w:t>5.3. El problema de las frecuencias múltiples</w:t>
      </w:r>
    </w:p>
    <w:p w14:paraId="5870890D" w14:textId="77777777" w:rsidR="001B6E41" w:rsidRPr="00F315D9" w:rsidRDefault="00000000">
      <w:pPr>
        <w:rPr>
          <w:lang w:val="es-ES"/>
        </w:rPr>
      </w:pPr>
      <w:r w:rsidRPr="00F315D9">
        <w:rPr>
          <w:lang w:val="es-ES"/>
        </w:rPr>
        <w:t xml:space="preserve">El principal reto técnico de este capítulo es la integración de datos con frecuencias muy distintas en un único </w:t>
      </w:r>
      <w:proofErr w:type="spellStart"/>
      <w:r w:rsidRPr="00F315D9">
        <w:rPr>
          <w:lang w:val="es-ES"/>
        </w:rPr>
        <w:t>dataset</w:t>
      </w:r>
      <w:proofErr w:type="spellEnd"/>
      <w:r w:rsidRPr="00F315D9">
        <w:rPr>
          <w:lang w:val="es-ES"/>
        </w:rPr>
        <w:t xml:space="preserve"> diario: precios y variables financieras (5.323 fechas), variables mensuales (IPI, IPC, Euribor, ~12 </w:t>
      </w:r>
      <w:proofErr w:type="spellStart"/>
      <w:r w:rsidRPr="00F315D9">
        <w:rPr>
          <w:lang w:val="es-ES"/>
        </w:rPr>
        <w:t>obs</w:t>
      </w:r>
      <w:proofErr w:type="spellEnd"/>
      <w:r w:rsidRPr="00F315D9">
        <w:rPr>
          <w:lang w:val="es-ES"/>
        </w:rPr>
        <w:t xml:space="preserve">/año), trimestrales (PIB, tasa de paro, ~4 </w:t>
      </w:r>
      <w:proofErr w:type="spellStart"/>
      <w:r w:rsidRPr="00F315D9">
        <w:rPr>
          <w:lang w:val="es-ES"/>
        </w:rPr>
        <w:t>obs</w:t>
      </w:r>
      <w:proofErr w:type="spellEnd"/>
      <w:r w:rsidRPr="00F315D9">
        <w:rPr>
          <w:lang w:val="es-ES"/>
        </w:rPr>
        <w:t xml:space="preserve">/año) e irregulares (tipos BCE, solo cuando hay decisión de política monetaria). No es posible simplemente hacer un </w:t>
      </w:r>
      <w:proofErr w:type="spellStart"/>
      <w:r w:rsidRPr="00F315D9">
        <w:rPr>
          <w:lang w:val="es-ES"/>
        </w:rPr>
        <w:t>merge</w:t>
      </w:r>
      <w:proofErr w:type="spellEnd"/>
      <w:r w:rsidRPr="00F315D9">
        <w:rPr>
          <w:lang w:val="es-ES"/>
        </w:rPr>
        <w:t xml:space="preserve"> por fecha, porque las fechas de las variables mensuales (primer día del mes) o trimestrales (primer día del trimestre) rara vez coinciden con días de negociación bursátil.</w:t>
      </w:r>
    </w:p>
    <w:p w14:paraId="70469ADA" w14:textId="77777777" w:rsidR="001B6E41" w:rsidRPr="00F315D9" w:rsidRDefault="00000000">
      <w:pPr>
        <w:pStyle w:val="Ttulo3"/>
        <w:rPr>
          <w:lang w:val="es-ES"/>
        </w:rPr>
      </w:pPr>
      <w:bookmarkStart w:id="21" w:name="solución-forward-fill-y-merge_asof"/>
      <w:bookmarkEnd w:id="20"/>
      <w:r w:rsidRPr="00F315D9">
        <w:rPr>
          <w:lang w:val="es-ES"/>
        </w:rPr>
        <w:t>5.4. Solución: forward-</w:t>
      </w:r>
      <w:proofErr w:type="spellStart"/>
      <w:r w:rsidRPr="00F315D9">
        <w:rPr>
          <w:lang w:val="es-ES"/>
        </w:rPr>
        <w:t>fill</w:t>
      </w:r>
      <w:proofErr w:type="spellEnd"/>
      <w:r w:rsidRPr="00F315D9">
        <w:rPr>
          <w:lang w:val="es-ES"/>
        </w:rPr>
        <w:t xml:space="preserve"> y </w:t>
      </w:r>
      <w:proofErr w:type="spellStart"/>
      <w:r w:rsidRPr="00F315D9">
        <w:rPr>
          <w:lang w:val="es-ES"/>
        </w:rPr>
        <w:t>merge_asof</w:t>
      </w:r>
      <w:proofErr w:type="spellEnd"/>
    </w:p>
    <w:p w14:paraId="5FAF82F2" w14:textId="77777777" w:rsidR="001B6E41" w:rsidRPr="00F315D9" w:rsidRDefault="00000000">
      <w:pPr>
        <w:rPr>
          <w:lang w:val="es-ES"/>
        </w:rPr>
      </w:pPr>
      <w:r w:rsidRPr="00F315D9">
        <w:rPr>
          <w:lang w:val="es-ES"/>
        </w:rPr>
        <w:t>La estrategia adoptada sigue el enfoque estándar de la econometría financiera:</w:t>
      </w:r>
    </w:p>
    <w:p w14:paraId="6B3F7160" w14:textId="77777777" w:rsidR="001B6E41" w:rsidRPr="00F315D9" w:rsidRDefault="00000000">
      <w:pPr>
        <w:numPr>
          <w:ilvl w:val="0"/>
          <w:numId w:val="16"/>
        </w:numPr>
        <w:rPr>
          <w:lang w:val="es-ES"/>
        </w:rPr>
      </w:pPr>
      <w:r w:rsidRPr="00F315D9">
        <w:rPr>
          <w:b/>
          <w:bCs/>
          <w:lang w:val="es-ES"/>
        </w:rPr>
        <w:t>Construcción del calendario bursátil</w:t>
      </w:r>
      <w:r w:rsidRPr="00F315D9">
        <w:rPr>
          <w:lang w:val="es-ES"/>
        </w:rPr>
        <w:t xml:space="preserve">: se extraen las </w:t>
      </w:r>
      <w:r w:rsidRPr="00F315D9">
        <w:rPr>
          <w:b/>
          <w:bCs/>
          <w:lang w:val="es-ES"/>
        </w:rPr>
        <w:t>5.323 fechas de negociación únicas</w:t>
      </w:r>
      <w:r w:rsidRPr="00F315D9">
        <w:rPr>
          <w:lang w:val="es-ES"/>
        </w:rPr>
        <w:t xml:space="preserve"> de la tabla </w:t>
      </w:r>
      <w:proofErr w:type="spellStart"/>
      <w:r w:rsidRPr="00F315D9">
        <w:rPr>
          <w:lang w:val="es-ES"/>
        </w:rPr>
        <w:t>precios_empresas</w:t>
      </w:r>
      <w:proofErr w:type="spellEnd"/>
      <w:r w:rsidRPr="00F315D9">
        <w:rPr>
          <w:lang w:val="es-ES"/>
        </w:rPr>
        <w:t>.</w:t>
      </w:r>
    </w:p>
    <w:p w14:paraId="7BED6C8D" w14:textId="77777777" w:rsidR="001B6E41" w:rsidRPr="00F315D9" w:rsidRDefault="00000000">
      <w:pPr>
        <w:numPr>
          <w:ilvl w:val="0"/>
          <w:numId w:val="16"/>
        </w:numPr>
        <w:rPr>
          <w:lang w:val="es-ES"/>
        </w:rPr>
      </w:pPr>
      <w:r w:rsidRPr="00F315D9">
        <w:rPr>
          <w:b/>
          <w:bCs/>
          <w:lang w:val="es-ES"/>
        </w:rPr>
        <w:t>Forward-</w:t>
      </w:r>
      <w:proofErr w:type="spellStart"/>
      <w:r w:rsidRPr="00F315D9">
        <w:rPr>
          <w:b/>
          <w:bCs/>
          <w:lang w:val="es-ES"/>
        </w:rPr>
        <w:t>fill</w:t>
      </w:r>
      <w:proofErr w:type="spellEnd"/>
      <w:r w:rsidRPr="00F315D9">
        <w:rPr>
          <w:b/>
          <w:bCs/>
          <w:lang w:val="es-ES"/>
        </w:rPr>
        <w:t xml:space="preserve"> interno</w:t>
      </w:r>
      <w:r w:rsidRPr="00F315D9">
        <w:rPr>
          <w:lang w:val="es-ES"/>
        </w:rPr>
        <w:t xml:space="preserve"> (</w:t>
      </w:r>
      <w:proofErr w:type="spellStart"/>
      <w:proofErr w:type="gramStart"/>
      <w:r w:rsidRPr="00F315D9">
        <w:rPr>
          <w:lang w:val="es-ES"/>
        </w:rPr>
        <w:t>ffill</w:t>
      </w:r>
      <w:proofErr w:type="spellEnd"/>
      <w:r w:rsidRPr="00F315D9">
        <w:rPr>
          <w:lang w:val="es-ES"/>
        </w:rPr>
        <w:t>(</w:t>
      </w:r>
      <w:proofErr w:type="gramEnd"/>
      <w:r w:rsidRPr="00F315D9">
        <w:rPr>
          <w:lang w:val="es-ES"/>
        </w:rPr>
        <w:t xml:space="preserve">)) en cada tabla macro: propaga el último valor publicado hasta la siguiente publicación, reflejando que un dato macroeconómico mantiene su vigencia hasta el siguiente </w:t>
      </w:r>
      <w:proofErr w:type="spellStart"/>
      <w:r w:rsidRPr="00F315D9">
        <w:rPr>
          <w:lang w:val="es-ES"/>
        </w:rPr>
        <w:t>release</w:t>
      </w:r>
      <w:proofErr w:type="spellEnd"/>
      <w:r w:rsidRPr="00F315D9">
        <w:rPr>
          <w:lang w:val="es-ES"/>
        </w:rPr>
        <w:t xml:space="preserve"> oficial.</w:t>
      </w:r>
    </w:p>
    <w:p w14:paraId="5E6A6704" w14:textId="77777777" w:rsidR="001B6E41" w:rsidRPr="00F315D9" w:rsidRDefault="00000000">
      <w:pPr>
        <w:numPr>
          <w:ilvl w:val="0"/>
          <w:numId w:val="16"/>
        </w:numPr>
        <w:rPr>
          <w:lang w:val="es-ES"/>
        </w:rPr>
      </w:pPr>
      <w:r w:rsidRPr="00F315D9">
        <w:rPr>
          <w:b/>
          <w:bCs/>
          <w:lang w:val="es-ES"/>
        </w:rPr>
        <w:t xml:space="preserve">Alineación con </w:t>
      </w:r>
      <w:proofErr w:type="spellStart"/>
      <w:proofErr w:type="gramStart"/>
      <w:r w:rsidRPr="00F315D9">
        <w:rPr>
          <w:b/>
          <w:bCs/>
          <w:lang w:val="es-ES"/>
        </w:rPr>
        <w:t>pd.merge</w:t>
      </w:r>
      <w:proofErr w:type="gramEnd"/>
      <w:r w:rsidRPr="00F315D9">
        <w:rPr>
          <w:b/>
          <w:bCs/>
          <w:lang w:val="es-ES"/>
        </w:rPr>
        <w:t>_asof</w:t>
      </w:r>
      <w:proofErr w:type="spellEnd"/>
      <w:r w:rsidRPr="00F315D9">
        <w:rPr>
          <w:b/>
          <w:bCs/>
          <w:lang w:val="es-ES"/>
        </w:rPr>
        <w:t>(</w:t>
      </w:r>
      <w:proofErr w:type="spellStart"/>
      <w:r w:rsidRPr="00F315D9">
        <w:rPr>
          <w:b/>
          <w:bCs/>
          <w:lang w:val="es-ES"/>
        </w:rPr>
        <w:t>direction</w:t>
      </w:r>
      <w:proofErr w:type="spellEnd"/>
      <w:r w:rsidRPr="00F315D9">
        <w:rPr>
          <w:b/>
          <w:bCs/>
          <w:lang w:val="es-ES"/>
        </w:rPr>
        <w:t>='</w:t>
      </w:r>
      <w:proofErr w:type="spellStart"/>
      <w:r w:rsidRPr="00F315D9">
        <w:rPr>
          <w:b/>
          <w:bCs/>
          <w:lang w:val="es-ES"/>
        </w:rPr>
        <w:t>backward</w:t>
      </w:r>
      <w:proofErr w:type="spellEnd"/>
      <w:r w:rsidRPr="00F315D9">
        <w:rPr>
          <w:b/>
          <w:bCs/>
          <w:lang w:val="es-ES"/>
        </w:rPr>
        <w:t>')</w:t>
      </w:r>
      <w:r w:rsidRPr="00F315D9">
        <w:rPr>
          <w:lang w:val="es-ES"/>
        </w:rPr>
        <w:t xml:space="preserve">: para cada fecha del calendario bursátil se asigna el último valor macro disponible </w:t>
      </w:r>
      <w:r w:rsidRPr="00F315D9">
        <w:rPr>
          <w:b/>
          <w:bCs/>
          <w:lang w:val="es-ES"/>
        </w:rPr>
        <w:t>antes o en</w:t>
      </w:r>
      <w:r w:rsidRPr="00F315D9">
        <w:rPr>
          <w:lang w:val="es-ES"/>
        </w:rPr>
        <w:t xml:space="preserve"> esa fecha. Esto es conceptualmente correcto porque un inversor que opera el día </w:t>
      </w:r>
      <m:oMath>
        <m:r>
          <w:rPr>
            <w:rFonts w:ascii="Cambria Math" w:hAnsi="Cambria Math"/>
          </w:rPr>
          <m:t>t</m:t>
        </m:r>
      </m:oMath>
      <w:r w:rsidRPr="00F315D9">
        <w:rPr>
          <w:lang w:val="es-ES"/>
        </w:rPr>
        <w:t xml:space="preserve"> solo puede conocer la información publicada hasta ese momento, evitando </w:t>
      </w:r>
      <w:r w:rsidRPr="00F315D9">
        <w:rPr>
          <w:i/>
          <w:iCs/>
          <w:lang w:val="es-ES"/>
        </w:rPr>
        <w:t xml:space="preserve">data </w:t>
      </w:r>
      <w:proofErr w:type="spellStart"/>
      <w:r w:rsidRPr="00F315D9">
        <w:rPr>
          <w:i/>
          <w:iCs/>
          <w:lang w:val="es-ES"/>
        </w:rPr>
        <w:t>leakage</w:t>
      </w:r>
      <w:proofErr w:type="spellEnd"/>
      <w:r w:rsidRPr="00F315D9">
        <w:rPr>
          <w:lang w:val="es-ES"/>
        </w:rPr>
        <w:t>.</w:t>
      </w:r>
    </w:p>
    <w:p w14:paraId="32FEDFCB" w14:textId="77777777" w:rsidR="001B6E41" w:rsidRPr="00F315D9" w:rsidRDefault="00000000">
      <w:pPr>
        <w:numPr>
          <w:ilvl w:val="0"/>
          <w:numId w:val="16"/>
        </w:numPr>
        <w:rPr>
          <w:lang w:val="es-ES"/>
        </w:rPr>
      </w:pPr>
      <w:r w:rsidRPr="00F315D9">
        <w:rPr>
          <w:b/>
          <w:bCs/>
          <w:lang w:val="es-ES"/>
        </w:rPr>
        <w:t>Combinación</w:t>
      </w:r>
      <w:r w:rsidRPr="00F315D9">
        <w:rPr>
          <w:lang w:val="es-ES"/>
        </w:rPr>
        <w:t xml:space="preserve"> de las 5 tablas macro alineadas en una única tabla </w:t>
      </w:r>
      <w:proofErr w:type="spellStart"/>
      <w:r w:rsidRPr="00F315D9">
        <w:rPr>
          <w:lang w:val="es-ES"/>
        </w:rPr>
        <w:t>df_macro_diario</w:t>
      </w:r>
      <w:proofErr w:type="spellEnd"/>
      <w:r w:rsidRPr="00F315D9">
        <w:rPr>
          <w:lang w:val="es-ES"/>
        </w:rPr>
        <w:t xml:space="preserve"> de 5.323 filas × 21 columnas.</w:t>
      </w:r>
    </w:p>
    <w:p w14:paraId="76DC3254" w14:textId="77777777" w:rsidR="001B6E41" w:rsidRPr="00F315D9" w:rsidRDefault="00000000">
      <w:pPr>
        <w:numPr>
          <w:ilvl w:val="0"/>
          <w:numId w:val="16"/>
        </w:numPr>
        <w:rPr>
          <w:lang w:val="es-ES"/>
        </w:rPr>
      </w:pPr>
      <w:proofErr w:type="spellStart"/>
      <w:r w:rsidRPr="00F315D9">
        <w:rPr>
          <w:b/>
          <w:bCs/>
          <w:lang w:val="es-ES"/>
        </w:rPr>
        <w:t>Merge</w:t>
      </w:r>
      <w:proofErr w:type="spellEnd"/>
      <w:r w:rsidRPr="00F315D9">
        <w:rPr>
          <w:b/>
          <w:bCs/>
          <w:lang w:val="es-ES"/>
        </w:rPr>
        <w:t xml:space="preserve"> final</w:t>
      </w:r>
      <w:r w:rsidRPr="00F315D9">
        <w:rPr>
          <w:lang w:val="es-ES"/>
        </w:rPr>
        <w:t xml:space="preserve"> con precios para que cada empresa en cada día reciba sus variables macro correspondientes.</w:t>
      </w:r>
    </w:p>
    <w:p w14:paraId="7883BA92" w14:textId="77777777" w:rsidR="001B6E41" w:rsidRPr="00F315D9" w:rsidRDefault="00000000">
      <w:pPr>
        <w:rPr>
          <w:lang w:val="es-ES"/>
        </w:rPr>
      </w:pPr>
      <w:r w:rsidRPr="00F315D9">
        <w:rPr>
          <w:b/>
          <w:bCs/>
          <w:lang w:val="es-ES"/>
        </w:rPr>
        <w:t>Resultado</w:t>
      </w:r>
      <w:r w:rsidRPr="00F315D9">
        <w:rPr>
          <w:lang w:val="es-ES"/>
        </w:rPr>
        <w:t xml:space="preserve">: el </w:t>
      </w:r>
      <w:proofErr w:type="spellStart"/>
      <w:r w:rsidRPr="00F315D9">
        <w:rPr>
          <w:b/>
          <w:bCs/>
          <w:lang w:val="es-ES"/>
        </w:rPr>
        <w:t>dataset</w:t>
      </w:r>
      <w:proofErr w:type="spellEnd"/>
      <w:r w:rsidRPr="00F315D9">
        <w:rPr>
          <w:b/>
          <w:bCs/>
          <w:lang w:val="es-ES"/>
        </w:rPr>
        <w:t xml:space="preserve"> maestro</w:t>
      </w:r>
      <w:r w:rsidRPr="00F315D9">
        <w:rPr>
          <w:lang w:val="es-ES"/>
        </w:rPr>
        <w:t xml:space="preserve"> contiene </w:t>
      </w:r>
      <w:r w:rsidRPr="00F315D9">
        <w:rPr>
          <w:b/>
          <w:bCs/>
          <w:lang w:val="es-ES"/>
        </w:rPr>
        <w:t>157.455 filas × 31 columnas</w:t>
      </w:r>
      <w:r w:rsidRPr="00F315D9">
        <w:rPr>
          <w:lang w:val="es-ES"/>
        </w:rPr>
        <w:t>, formando un panel desbalanceado donde cada empresa cubre su rango histórico real sobre el calendario bursátil común de 5.323 días.</w:t>
      </w:r>
    </w:p>
    <w:p w14:paraId="70996F31" w14:textId="77777777" w:rsidR="001B6E41" w:rsidRPr="00F315D9" w:rsidRDefault="00000000">
      <w:pPr>
        <w:pStyle w:val="Ttulo3"/>
        <w:rPr>
          <w:lang w:val="es-ES"/>
        </w:rPr>
      </w:pPr>
      <w:bookmarkStart w:id="22" w:name="cobertura-del-dataset-maestro"/>
      <w:bookmarkEnd w:id="21"/>
      <w:r w:rsidRPr="00F315D9">
        <w:rPr>
          <w:lang w:val="es-ES"/>
        </w:rPr>
        <w:t xml:space="preserve">5.5. Cobertura del </w:t>
      </w:r>
      <w:proofErr w:type="spellStart"/>
      <w:r w:rsidRPr="00F315D9">
        <w:rPr>
          <w:lang w:val="es-ES"/>
        </w:rPr>
        <w:t>dataset</w:t>
      </w:r>
      <w:proofErr w:type="spellEnd"/>
      <w:r w:rsidRPr="00F315D9">
        <w:rPr>
          <w:lang w:val="es-ES"/>
        </w:rPr>
        <w:t xml:space="preserve"> maestro</w:t>
      </w:r>
    </w:p>
    <w:p w14:paraId="494BAA41" w14:textId="77777777" w:rsidR="001B6E41" w:rsidRPr="00F315D9" w:rsidRDefault="00000000">
      <w:pPr>
        <w:rPr>
          <w:lang w:val="es-ES"/>
        </w:rPr>
      </w:pPr>
      <w:r w:rsidRPr="00F315D9">
        <w:rPr>
          <w:lang w:val="es-ES"/>
        </w:rPr>
        <w:t xml:space="preserve">El análisis de nulos del </w:t>
      </w:r>
      <w:proofErr w:type="spellStart"/>
      <w:r w:rsidRPr="00F315D9">
        <w:rPr>
          <w:lang w:val="es-ES"/>
        </w:rPr>
        <w:t>dataset</w:t>
      </w:r>
      <w:proofErr w:type="spellEnd"/>
      <w:r w:rsidRPr="00F315D9">
        <w:rPr>
          <w:lang w:val="es-ES"/>
        </w:rPr>
        <w:t xml:space="preserve"> maestro revela tres niveles de cobertura: variables con cobertura prácticamente completa (</w:t>
      </w:r>
      <w:proofErr w:type="spellStart"/>
      <w:r w:rsidRPr="00F315D9">
        <w:rPr>
          <w:lang w:val="es-ES"/>
        </w:rPr>
        <w:t>vix</w:t>
      </w:r>
      <w:proofErr w:type="spellEnd"/>
      <w:r w:rsidRPr="00F315D9">
        <w:rPr>
          <w:lang w:val="es-ES"/>
        </w:rPr>
        <w:t xml:space="preserve">, euribor_3m, </w:t>
      </w:r>
      <w:proofErr w:type="spellStart"/>
      <w:r w:rsidRPr="00F315D9">
        <w:rPr>
          <w:lang w:val="es-ES"/>
        </w:rPr>
        <w:t>pib_yoy</w:t>
      </w:r>
      <w:proofErr w:type="spellEnd"/>
      <w:r w:rsidRPr="00F315D9">
        <w:rPr>
          <w:lang w:val="es-ES"/>
        </w:rPr>
        <w:t xml:space="preserve">, bono_es_10y, brent con &gt;89%), variables </w:t>
      </w:r>
      <w:r w:rsidRPr="00F315D9">
        <w:rPr>
          <w:lang w:val="es-ES"/>
        </w:rPr>
        <w:lastRenderedPageBreak/>
        <w:t>con cobertura parcial limitada por su histórico de publicación (</w:t>
      </w:r>
      <w:proofErr w:type="spellStart"/>
      <w:r w:rsidRPr="00F315D9">
        <w:rPr>
          <w:lang w:val="es-ES"/>
        </w:rPr>
        <w:t>ipc_yoy</w:t>
      </w:r>
      <w:proofErr w:type="spellEnd"/>
      <w:r w:rsidRPr="00F315D9">
        <w:rPr>
          <w:lang w:val="es-ES"/>
        </w:rPr>
        <w:t xml:space="preserve"> 70,9%, </w:t>
      </w:r>
      <w:proofErr w:type="spellStart"/>
      <w:r w:rsidRPr="00F315D9">
        <w:rPr>
          <w:lang w:val="es-ES"/>
        </w:rPr>
        <w:t>vstoxx</w:t>
      </w:r>
      <w:proofErr w:type="spellEnd"/>
      <w:r w:rsidRPr="00F315D9">
        <w:rPr>
          <w:lang w:val="es-ES"/>
        </w:rPr>
        <w:t xml:space="preserve"> 67,9%, </w:t>
      </w:r>
      <w:proofErr w:type="spellStart"/>
      <w:r w:rsidRPr="00F315D9">
        <w:rPr>
          <w:lang w:val="es-ES"/>
        </w:rPr>
        <w:t>spread_es_de</w:t>
      </w:r>
      <w:proofErr w:type="spellEnd"/>
      <w:r w:rsidRPr="00F315D9">
        <w:rPr>
          <w:lang w:val="es-ES"/>
        </w:rPr>
        <w:t xml:space="preserve"> 52,6%) y variables con cobertura insuficiente (</w:t>
      </w:r>
      <w:proofErr w:type="spellStart"/>
      <w:r w:rsidRPr="00F315D9">
        <w:rPr>
          <w:lang w:val="es-ES"/>
        </w:rPr>
        <w:t>vibex</w:t>
      </w:r>
      <w:proofErr w:type="spellEnd"/>
      <w:r w:rsidRPr="00F315D9">
        <w:rPr>
          <w:lang w:val="es-ES"/>
        </w:rPr>
        <w:t xml:space="preserve"> 39,1% desde 2015 y </w:t>
      </w:r>
      <w:proofErr w:type="spellStart"/>
      <w:r w:rsidRPr="00F315D9">
        <w:rPr>
          <w:lang w:val="es-ES"/>
        </w:rPr>
        <w:t>pmi</w:t>
      </w:r>
      <w:proofErr w:type="spellEnd"/>
      <w:r w:rsidRPr="00F315D9">
        <w:rPr>
          <w:lang w:val="es-ES"/>
        </w:rPr>
        <w:t xml:space="preserve"> con apenas </w:t>
      </w:r>
      <w:r w:rsidRPr="00F315D9">
        <w:rPr>
          <w:b/>
          <w:bCs/>
          <w:lang w:val="es-ES"/>
        </w:rPr>
        <w:t>16,8%</w:t>
      </w:r>
      <w:r w:rsidRPr="00F315D9">
        <w:rPr>
          <w:lang w:val="es-ES"/>
        </w:rPr>
        <w:t xml:space="preserve"> al estar disponible solo desde 2023).</w:t>
      </w:r>
    </w:p>
    <w:tbl>
      <w:tblPr>
        <w:tblW w:w="0" w:type="auto"/>
        <w:tblLook w:val="0020" w:firstRow="1" w:lastRow="0" w:firstColumn="0" w:lastColumn="0" w:noHBand="0" w:noVBand="0"/>
      </w:tblPr>
      <w:tblGrid>
        <w:gridCol w:w="1465"/>
        <w:gridCol w:w="1139"/>
        <w:gridCol w:w="1717"/>
      </w:tblGrid>
      <w:tr w:rsidR="001B6E41" w14:paraId="228C3807" w14:textId="77777777">
        <w:trPr>
          <w:tblHeader/>
        </w:trPr>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76CF5866" w14:textId="77777777" w:rsidR="001B6E41" w:rsidRDefault="00000000">
            <w:r>
              <w:rPr>
                <w:b/>
                <w:color w:val="FFFFFF"/>
              </w:rPr>
              <w:t>Variable</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0B7F4AA0" w14:textId="77777777" w:rsidR="001B6E41" w:rsidRDefault="00000000">
            <w:r>
              <w:rPr>
                <w:b/>
                <w:color w:val="FFFFFF"/>
              </w:rPr>
              <w:t>Cobertura</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2D5EA27C" w14:textId="77777777" w:rsidR="001B6E41" w:rsidRDefault="00000000">
            <w:r>
              <w:rPr>
                <w:b/>
                <w:color w:val="FFFFFF"/>
              </w:rPr>
              <w:t>Período efectivo</w:t>
            </w:r>
          </w:p>
        </w:tc>
      </w:tr>
      <w:tr w:rsidR="001B6E41" w14:paraId="48B1DB13" w14:textId="77777777">
        <w:tc>
          <w:tcPr>
            <w:tcW w:w="0" w:type="auto"/>
            <w:tcBorders>
              <w:top w:val="single" w:sz="4" w:space="0" w:color="BFBFBF"/>
              <w:left w:val="single" w:sz="4" w:space="0" w:color="BFBFBF"/>
              <w:bottom w:val="single" w:sz="4" w:space="0" w:color="BFBFBF"/>
              <w:right w:val="single" w:sz="4" w:space="0" w:color="BFBFBF"/>
            </w:tcBorders>
          </w:tcPr>
          <w:p w14:paraId="784E3B3B" w14:textId="77777777" w:rsidR="001B6E41" w:rsidRDefault="00000000">
            <w:r>
              <w:t>euribor_3m</w:t>
            </w:r>
          </w:p>
        </w:tc>
        <w:tc>
          <w:tcPr>
            <w:tcW w:w="0" w:type="auto"/>
            <w:tcBorders>
              <w:top w:val="single" w:sz="4" w:space="0" w:color="BFBFBF"/>
              <w:left w:val="single" w:sz="4" w:space="0" w:color="BFBFBF"/>
              <w:bottom w:val="single" w:sz="4" w:space="0" w:color="BFBFBF"/>
              <w:right w:val="single" w:sz="4" w:space="0" w:color="BFBFBF"/>
            </w:tcBorders>
          </w:tcPr>
          <w:p w14:paraId="6C434CB4" w14:textId="77777777" w:rsidR="001B6E41" w:rsidRDefault="00000000">
            <w:r>
              <w:t>99,8%</w:t>
            </w:r>
          </w:p>
        </w:tc>
        <w:tc>
          <w:tcPr>
            <w:tcW w:w="0" w:type="auto"/>
            <w:tcBorders>
              <w:top w:val="single" w:sz="4" w:space="0" w:color="BFBFBF"/>
              <w:left w:val="single" w:sz="4" w:space="0" w:color="BFBFBF"/>
              <w:bottom w:val="single" w:sz="4" w:space="0" w:color="BFBFBF"/>
              <w:right w:val="single" w:sz="4" w:space="0" w:color="BFBFBF"/>
            </w:tcBorders>
          </w:tcPr>
          <w:p w14:paraId="6CE28269" w14:textId="77777777" w:rsidR="001B6E41" w:rsidRDefault="00000000">
            <w:r>
              <w:t>2005-2025</w:t>
            </w:r>
          </w:p>
        </w:tc>
      </w:tr>
      <w:tr w:rsidR="001B6E41" w14:paraId="79F6523E" w14:textId="77777777">
        <w:tc>
          <w:tcPr>
            <w:tcW w:w="0" w:type="auto"/>
            <w:tcBorders>
              <w:top w:val="single" w:sz="4" w:space="0" w:color="BFBFBF"/>
              <w:left w:val="single" w:sz="4" w:space="0" w:color="BFBFBF"/>
              <w:bottom w:val="single" w:sz="4" w:space="0" w:color="BFBFBF"/>
              <w:right w:val="single" w:sz="4" w:space="0" w:color="BFBFBF"/>
            </w:tcBorders>
          </w:tcPr>
          <w:p w14:paraId="6A2E3527" w14:textId="77777777" w:rsidR="001B6E41" w:rsidRDefault="00000000">
            <w:r>
              <w:t>pib_yoy</w:t>
            </w:r>
          </w:p>
        </w:tc>
        <w:tc>
          <w:tcPr>
            <w:tcW w:w="0" w:type="auto"/>
            <w:tcBorders>
              <w:top w:val="single" w:sz="4" w:space="0" w:color="BFBFBF"/>
              <w:left w:val="single" w:sz="4" w:space="0" w:color="BFBFBF"/>
              <w:bottom w:val="single" w:sz="4" w:space="0" w:color="BFBFBF"/>
              <w:right w:val="single" w:sz="4" w:space="0" w:color="BFBFBF"/>
            </w:tcBorders>
          </w:tcPr>
          <w:p w14:paraId="09B9FD6D" w14:textId="77777777" w:rsidR="001B6E41" w:rsidRDefault="00000000">
            <w:r>
              <w:t>99,2%</w:t>
            </w:r>
          </w:p>
        </w:tc>
        <w:tc>
          <w:tcPr>
            <w:tcW w:w="0" w:type="auto"/>
            <w:tcBorders>
              <w:top w:val="single" w:sz="4" w:space="0" w:color="BFBFBF"/>
              <w:left w:val="single" w:sz="4" w:space="0" w:color="BFBFBF"/>
              <w:bottom w:val="single" w:sz="4" w:space="0" w:color="BFBFBF"/>
              <w:right w:val="single" w:sz="4" w:space="0" w:color="BFBFBF"/>
            </w:tcBorders>
          </w:tcPr>
          <w:p w14:paraId="3F3BF36C" w14:textId="77777777" w:rsidR="001B6E41" w:rsidRDefault="00000000">
            <w:r>
              <w:t>2005-2025</w:t>
            </w:r>
          </w:p>
        </w:tc>
      </w:tr>
      <w:tr w:rsidR="001B6E41" w14:paraId="4F0502AC" w14:textId="77777777">
        <w:tc>
          <w:tcPr>
            <w:tcW w:w="0" w:type="auto"/>
            <w:tcBorders>
              <w:top w:val="single" w:sz="4" w:space="0" w:color="BFBFBF"/>
              <w:left w:val="single" w:sz="4" w:space="0" w:color="BFBFBF"/>
              <w:bottom w:val="single" w:sz="4" w:space="0" w:color="BFBFBF"/>
              <w:right w:val="single" w:sz="4" w:space="0" w:color="BFBFBF"/>
            </w:tcBorders>
          </w:tcPr>
          <w:p w14:paraId="79BE16D2" w14:textId="77777777" w:rsidR="001B6E41" w:rsidRDefault="00000000">
            <w:r>
              <w:t>vix</w:t>
            </w:r>
          </w:p>
        </w:tc>
        <w:tc>
          <w:tcPr>
            <w:tcW w:w="0" w:type="auto"/>
            <w:tcBorders>
              <w:top w:val="single" w:sz="4" w:space="0" w:color="BFBFBF"/>
              <w:left w:val="single" w:sz="4" w:space="0" w:color="BFBFBF"/>
              <w:bottom w:val="single" w:sz="4" w:space="0" w:color="BFBFBF"/>
              <w:right w:val="single" w:sz="4" w:space="0" w:color="BFBFBF"/>
            </w:tcBorders>
          </w:tcPr>
          <w:p w14:paraId="0C7E71B3" w14:textId="77777777" w:rsidR="001B6E41" w:rsidRDefault="00000000">
            <w:r>
              <w:t>96,2%</w:t>
            </w:r>
          </w:p>
        </w:tc>
        <w:tc>
          <w:tcPr>
            <w:tcW w:w="0" w:type="auto"/>
            <w:tcBorders>
              <w:top w:val="single" w:sz="4" w:space="0" w:color="BFBFBF"/>
              <w:left w:val="single" w:sz="4" w:space="0" w:color="BFBFBF"/>
              <w:bottom w:val="single" w:sz="4" w:space="0" w:color="BFBFBF"/>
              <w:right w:val="single" w:sz="4" w:space="0" w:color="BFBFBF"/>
            </w:tcBorders>
          </w:tcPr>
          <w:p w14:paraId="69DC99CB" w14:textId="77777777" w:rsidR="001B6E41" w:rsidRDefault="00000000">
            <w:r>
              <w:t>2005-2025</w:t>
            </w:r>
          </w:p>
        </w:tc>
      </w:tr>
      <w:tr w:rsidR="001B6E41" w14:paraId="1F1F33A6" w14:textId="77777777">
        <w:tc>
          <w:tcPr>
            <w:tcW w:w="0" w:type="auto"/>
            <w:tcBorders>
              <w:top w:val="single" w:sz="4" w:space="0" w:color="BFBFBF"/>
              <w:left w:val="single" w:sz="4" w:space="0" w:color="BFBFBF"/>
              <w:bottom w:val="single" w:sz="4" w:space="0" w:color="BFBFBF"/>
              <w:right w:val="single" w:sz="4" w:space="0" w:color="BFBFBF"/>
            </w:tcBorders>
          </w:tcPr>
          <w:p w14:paraId="0E4458FA" w14:textId="77777777" w:rsidR="001B6E41" w:rsidRDefault="00000000">
            <w:r>
              <w:t>brent</w:t>
            </w:r>
          </w:p>
        </w:tc>
        <w:tc>
          <w:tcPr>
            <w:tcW w:w="0" w:type="auto"/>
            <w:tcBorders>
              <w:top w:val="single" w:sz="4" w:space="0" w:color="BFBFBF"/>
              <w:left w:val="single" w:sz="4" w:space="0" w:color="BFBFBF"/>
              <w:bottom w:val="single" w:sz="4" w:space="0" w:color="BFBFBF"/>
              <w:right w:val="single" w:sz="4" w:space="0" w:color="BFBFBF"/>
            </w:tcBorders>
          </w:tcPr>
          <w:p w14:paraId="6F163626" w14:textId="77777777" w:rsidR="001B6E41" w:rsidRDefault="00000000">
            <w:r>
              <w:t>95,1%</w:t>
            </w:r>
          </w:p>
        </w:tc>
        <w:tc>
          <w:tcPr>
            <w:tcW w:w="0" w:type="auto"/>
            <w:tcBorders>
              <w:top w:val="single" w:sz="4" w:space="0" w:color="BFBFBF"/>
              <w:left w:val="single" w:sz="4" w:space="0" w:color="BFBFBF"/>
              <w:bottom w:val="single" w:sz="4" w:space="0" w:color="BFBFBF"/>
              <w:right w:val="single" w:sz="4" w:space="0" w:color="BFBFBF"/>
            </w:tcBorders>
          </w:tcPr>
          <w:p w14:paraId="42284D03" w14:textId="77777777" w:rsidR="001B6E41" w:rsidRDefault="00000000">
            <w:r>
              <w:t>2005-2025</w:t>
            </w:r>
          </w:p>
        </w:tc>
      </w:tr>
      <w:tr w:rsidR="001B6E41" w14:paraId="5171E1F8" w14:textId="77777777">
        <w:tc>
          <w:tcPr>
            <w:tcW w:w="0" w:type="auto"/>
            <w:tcBorders>
              <w:top w:val="single" w:sz="4" w:space="0" w:color="BFBFBF"/>
              <w:left w:val="single" w:sz="4" w:space="0" w:color="BFBFBF"/>
              <w:bottom w:val="single" w:sz="4" w:space="0" w:color="BFBFBF"/>
              <w:right w:val="single" w:sz="4" w:space="0" w:color="BFBFBF"/>
            </w:tcBorders>
          </w:tcPr>
          <w:p w14:paraId="0B0D2CB1" w14:textId="77777777" w:rsidR="001B6E41" w:rsidRDefault="00000000">
            <w:r>
              <w:t>bono_es_10y</w:t>
            </w:r>
          </w:p>
        </w:tc>
        <w:tc>
          <w:tcPr>
            <w:tcW w:w="0" w:type="auto"/>
            <w:tcBorders>
              <w:top w:val="single" w:sz="4" w:space="0" w:color="BFBFBF"/>
              <w:left w:val="single" w:sz="4" w:space="0" w:color="BFBFBF"/>
              <w:bottom w:val="single" w:sz="4" w:space="0" w:color="BFBFBF"/>
              <w:right w:val="single" w:sz="4" w:space="0" w:color="BFBFBF"/>
            </w:tcBorders>
          </w:tcPr>
          <w:p w14:paraId="13783D6C" w14:textId="77777777" w:rsidR="001B6E41" w:rsidRDefault="00000000">
            <w:r>
              <w:t>89,7%</w:t>
            </w:r>
          </w:p>
        </w:tc>
        <w:tc>
          <w:tcPr>
            <w:tcW w:w="0" w:type="auto"/>
            <w:tcBorders>
              <w:top w:val="single" w:sz="4" w:space="0" w:color="BFBFBF"/>
              <w:left w:val="single" w:sz="4" w:space="0" w:color="BFBFBF"/>
              <w:bottom w:val="single" w:sz="4" w:space="0" w:color="BFBFBF"/>
              <w:right w:val="single" w:sz="4" w:space="0" w:color="BFBFBF"/>
            </w:tcBorders>
          </w:tcPr>
          <w:p w14:paraId="06D917C7" w14:textId="77777777" w:rsidR="001B6E41" w:rsidRDefault="00000000">
            <w:r>
              <w:t>2005-2025</w:t>
            </w:r>
          </w:p>
        </w:tc>
      </w:tr>
      <w:tr w:rsidR="001B6E41" w14:paraId="4CE9886F" w14:textId="77777777">
        <w:tc>
          <w:tcPr>
            <w:tcW w:w="0" w:type="auto"/>
            <w:tcBorders>
              <w:top w:val="single" w:sz="4" w:space="0" w:color="BFBFBF"/>
              <w:left w:val="single" w:sz="4" w:space="0" w:color="BFBFBF"/>
              <w:bottom w:val="single" w:sz="4" w:space="0" w:color="BFBFBF"/>
              <w:right w:val="single" w:sz="4" w:space="0" w:color="BFBFBF"/>
            </w:tcBorders>
          </w:tcPr>
          <w:p w14:paraId="18F6B52C" w14:textId="77777777" w:rsidR="001B6E41" w:rsidRDefault="00000000">
            <w:r>
              <w:t>ipc_yoy</w:t>
            </w:r>
          </w:p>
        </w:tc>
        <w:tc>
          <w:tcPr>
            <w:tcW w:w="0" w:type="auto"/>
            <w:tcBorders>
              <w:top w:val="single" w:sz="4" w:space="0" w:color="BFBFBF"/>
              <w:left w:val="single" w:sz="4" w:space="0" w:color="BFBFBF"/>
              <w:bottom w:val="single" w:sz="4" w:space="0" w:color="BFBFBF"/>
              <w:right w:val="single" w:sz="4" w:space="0" w:color="BFBFBF"/>
            </w:tcBorders>
          </w:tcPr>
          <w:p w14:paraId="4B9116CD" w14:textId="77777777" w:rsidR="001B6E41" w:rsidRDefault="00000000">
            <w:r>
              <w:t>70,9%</w:t>
            </w:r>
          </w:p>
        </w:tc>
        <w:tc>
          <w:tcPr>
            <w:tcW w:w="0" w:type="auto"/>
            <w:tcBorders>
              <w:top w:val="single" w:sz="4" w:space="0" w:color="BFBFBF"/>
              <w:left w:val="single" w:sz="4" w:space="0" w:color="BFBFBF"/>
              <w:bottom w:val="single" w:sz="4" w:space="0" w:color="BFBFBF"/>
              <w:right w:val="single" w:sz="4" w:space="0" w:color="BFBFBF"/>
            </w:tcBorders>
          </w:tcPr>
          <w:p w14:paraId="18248AB2" w14:textId="77777777" w:rsidR="001B6E41" w:rsidRDefault="00000000">
            <w:r>
              <w:t>2008-2025</w:t>
            </w:r>
          </w:p>
        </w:tc>
      </w:tr>
      <w:tr w:rsidR="001B6E41" w14:paraId="419AB516" w14:textId="77777777">
        <w:tc>
          <w:tcPr>
            <w:tcW w:w="0" w:type="auto"/>
            <w:tcBorders>
              <w:top w:val="single" w:sz="4" w:space="0" w:color="BFBFBF"/>
              <w:left w:val="single" w:sz="4" w:space="0" w:color="BFBFBF"/>
              <w:bottom w:val="single" w:sz="4" w:space="0" w:color="BFBFBF"/>
              <w:right w:val="single" w:sz="4" w:space="0" w:color="BFBFBF"/>
            </w:tcBorders>
          </w:tcPr>
          <w:p w14:paraId="3623E5E3" w14:textId="77777777" w:rsidR="001B6E41" w:rsidRDefault="00000000">
            <w:r>
              <w:t>spread_es_de</w:t>
            </w:r>
          </w:p>
        </w:tc>
        <w:tc>
          <w:tcPr>
            <w:tcW w:w="0" w:type="auto"/>
            <w:tcBorders>
              <w:top w:val="single" w:sz="4" w:space="0" w:color="BFBFBF"/>
              <w:left w:val="single" w:sz="4" w:space="0" w:color="BFBFBF"/>
              <w:bottom w:val="single" w:sz="4" w:space="0" w:color="BFBFBF"/>
              <w:right w:val="single" w:sz="4" w:space="0" w:color="BFBFBF"/>
            </w:tcBorders>
          </w:tcPr>
          <w:p w14:paraId="1A370DF5" w14:textId="77777777" w:rsidR="001B6E41" w:rsidRDefault="00000000">
            <w:r>
              <w:t>52,6%</w:t>
            </w:r>
          </w:p>
        </w:tc>
        <w:tc>
          <w:tcPr>
            <w:tcW w:w="0" w:type="auto"/>
            <w:tcBorders>
              <w:top w:val="single" w:sz="4" w:space="0" w:color="BFBFBF"/>
              <w:left w:val="single" w:sz="4" w:space="0" w:color="BFBFBF"/>
              <w:bottom w:val="single" w:sz="4" w:space="0" w:color="BFBFBF"/>
              <w:right w:val="single" w:sz="4" w:space="0" w:color="BFBFBF"/>
            </w:tcBorders>
          </w:tcPr>
          <w:p w14:paraId="4D1F3756" w14:textId="77777777" w:rsidR="001B6E41" w:rsidRDefault="00000000">
            <w:r>
              <w:t>2014-2025</w:t>
            </w:r>
          </w:p>
        </w:tc>
      </w:tr>
      <w:tr w:rsidR="001B6E41" w14:paraId="6BB36415" w14:textId="77777777">
        <w:tc>
          <w:tcPr>
            <w:tcW w:w="0" w:type="auto"/>
            <w:tcBorders>
              <w:top w:val="single" w:sz="4" w:space="0" w:color="BFBFBF"/>
              <w:left w:val="single" w:sz="4" w:space="0" w:color="BFBFBF"/>
              <w:bottom w:val="single" w:sz="4" w:space="0" w:color="BFBFBF"/>
              <w:right w:val="single" w:sz="4" w:space="0" w:color="BFBFBF"/>
            </w:tcBorders>
          </w:tcPr>
          <w:p w14:paraId="6721D479" w14:textId="77777777" w:rsidR="001B6E41" w:rsidRDefault="00000000">
            <w:r>
              <w:t>vibex</w:t>
            </w:r>
          </w:p>
        </w:tc>
        <w:tc>
          <w:tcPr>
            <w:tcW w:w="0" w:type="auto"/>
            <w:tcBorders>
              <w:top w:val="single" w:sz="4" w:space="0" w:color="BFBFBF"/>
              <w:left w:val="single" w:sz="4" w:space="0" w:color="BFBFBF"/>
              <w:bottom w:val="single" w:sz="4" w:space="0" w:color="BFBFBF"/>
              <w:right w:val="single" w:sz="4" w:space="0" w:color="BFBFBF"/>
            </w:tcBorders>
          </w:tcPr>
          <w:p w14:paraId="17E10ABD" w14:textId="77777777" w:rsidR="001B6E41" w:rsidRDefault="00000000">
            <w:r>
              <w:t>39,1%</w:t>
            </w:r>
          </w:p>
        </w:tc>
        <w:tc>
          <w:tcPr>
            <w:tcW w:w="0" w:type="auto"/>
            <w:tcBorders>
              <w:top w:val="single" w:sz="4" w:space="0" w:color="BFBFBF"/>
              <w:left w:val="single" w:sz="4" w:space="0" w:color="BFBFBF"/>
              <w:bottom w:val="single" w:sz="4" w:space="0" w:color="BFBFBF"/>
              <w:right w:val="single" w:sz="4" w:space="0" w:color="BFBFBF"/>
            </w:tcBorders>
          </w:tcPr>
          <w:p w14:paraId="2F65B3E7" w14:textId="77777777" w:rsidR="001B6E41" w:rsidRDefault="00000000">
            <w:r>
              <w:t>2015-2025</w:t>
            </w:r>
          </w:p>
        </w:tc>
      </w:tr>
      <w:tr w:rsidR="001B6E41" w14:paraId="777359B7" w14:textId="77777777">
        <w:tc>
          <w:tcPr>
            <w:tcW w:w="0" w:type="auto"/>
            <w:tcBorders>
              <w:top w:val="single" w:sz="4" w:space="0" w:color="BFBFBF"/>
              <w:left w:val="single" w:sz="4" w:space="0" w:color="BFBFBF"/>
              <w:bottom w:val="single" w:sz="4" w:space="0" w:color="BFBFBF"/>
              <w:right w:val="single" w:sz="4" w:space="0" w:color="BFBFBF"/>
            </w:tcBorders>
          </w:tcPr>
          <w:p w14:paraId="5C135830" w14:textId="77777777" w:rsidR="001B6E41" w:rsidRDefault="00000000">
            <w:r>
              <w:t>pmi</w:t>
            </w:r>
          </w:p>
        </w:tc>
        <w:tc>
          <w:tcPr>
            <w:tcW w:w="0" w:type="auto"/>
            <w:tcBorders>
              <w:top w:val="single" w:sz="4" w:space="0" w:color="BFBFBF"/>
              <w:left w:val="single" w:sz="4" w:space="0" w:color="BFBFBF"/>
              <w:bottom w:val="single" w:sz="4" w:space="0" w:color="BFBFBF"/>
              <w:right w:val="single" w:sz="4" w:space="0" w:color="BFBFBF"/>
            </w:tcBorders>
          </w:tcPr>
          <w:p w14:paraId="6D2B0C1E" w14:textId="77777777" w:rsidR="001B6E41" w:rsidRDefault="00000000">
            <w:r>
              <w:t>16,8%</w:t>
            </w:r>
          </w:p>
        </w:tc>
        <w:tc>
          <w:tcPr>
            <w:tcW w:w="0" w:type="auto"/>
            <w:tcBorders>
              <w:top w:val="single" w:sz="4" w:space="0" w:color="BFBFBF"/>
              <w:left w:val="single" w:sz="4" w:space="0" w:color="BFBFBF"/>
              <w:bottom w:val="single" w:sz="4" w:space="0" w:color="BFBFBF"/>
              <w:right w:val="single" w:sz="4" w:space="0" w:color="BFBFBF"/>
            </w:tcBorders>
          </w:tcPr>
          <w:p w14:paraId="277CBD35" w14:textId="77777777" w:rsidR="001B6E41" w:rsidRDefault="00000000">
            <w:r>
              <w:t>2023-2025</w:t>
            </w:r>
          </w:p>
        </w:tc>
      </w:tr>
    </w:tbl>
    <w:p w14:paraId="1F45BBEA" w14:textId="77777777" w:rsidR="001B6E41" w:rsidRDefault="00000000">
      <w:r>
        <w:rPr>
          <w:noProof/>
        </w:rPr>
        <w:drawing>
          <wp:inline distT="0" distB="0" distL="0" distR="0" wp14:anchorId="2A402784" wp14:editId="7A38CEF6">
            <wp:extent cx="4937760" cy="2169780"/>
            <wp:effectExtent l="0" t="0" r="0" b="0"/>
            <wp:docPr id="72" name="Picture" descr="Figura 3. Cobertura de datos: porcentaje de nulos por variable (izq.) y heatmap de cobertura anual por variable macro (der.). Permite identificar visualmente las variables con cobertura limitada (pmi, vibex, spread_es_de)."/>
            <wp:cNvGraphicFramePr/>
            <a:graphic xmlns:a="http://schemas.openxmlformats.org/drawingml/2006/main">
              <a:graphicData uri="http://schemas.openxmlformats.org/drawingml/2006/picture">
                <pic:pic xmlns:pic="http://schemas.openxmlformats.org/drawingml/2006/picture">
                  <pic:nvPicPr>
                    <pic:cNvPr id="73" name="Picture" descr="figuras/01_cobertura_datos.png"/>
                    <pic:cNvPicPr>
                      <a:picLocks noChangeAspect="1" noChangeArrowheads="1"/>
                    </pic:cNvPicPr>
                  </pic:nvPicPr>
                  <pic:blipFill>
                    <a:blip r:embed="rId7"/>
                    <a:stretch>
                      <a:fillRect/>
                    </a:stretch>
                  </pic:blipFill>
                  <pic:spPr bwMode="auto">
                    <a:xfrm>
                      <a:off x="0" y="0"/>
                      <a:ext cx="4937760" cy="2169780"/>
                    </a:xfrm>
                    <a:prstGeom prst="rect">
                      <a:avLst/>
                    </a:prstGeom>
                    <a:noFill/>
                    <a:ln w="9525">
                      <a:noFill/>
                      <a:headEnd/>
                      <a:tailEnd/>
                    </a:ln>
                  </pic:spPr>
                </pic:pic>
              </a:graphicData>
            </a:graphic>
          </wp:inline>
        </w:drawing>
      </w:r>
    </w:p>
    <w:p w14:paraId="5146D234" w14:textId="77777777" w:rsidR="001B6E41" w:rsidRPr="00F315D9" w:rsidRDefault="00000000">
      <w:pPr>
        <w:rPr>
          <w:lang w:val="es-ES"/>
        </w:rPr>
      </w:pPr>
      <w:r w:rsidRPr="00F315D9">
        <w:rPr>
          <w:b/>
          <w:bCs/>
          <w:lang w:val="es-ES"/>
        </w:rPr>
        <w:t>Figura 3.</w:t>
      </w:r>
      <w:r w:rsidRPr="00F315D9">
        <w:rPr>
          <w:lang w:val="es-ES"/>
        </w:rPr>
        <w:t xml:space="preserve"> Cobertura de datos: porcentaje de nulos por variable (izq.) y </w:t>
      </w:r>
      <w:proofErr w:type="spellStart"/>
      <w:r w:rsidRPr="00F315D9">
        <w:rPr>
          <w:lang w:val="es-ES"/>
        </w:rPr>
        <w:t>heatmap</w:t>
      </w:r>
      <w:proofErr w:type="spellEnd"/>
      <w:r w:rsidRPr="00F315D9">
        <w:rPr>
          <w:lang w:val="es-ES"/>
        </w:rPr>
        <w:t xml:space="preserve"> de cobertura anual por variable macro (</w:t>
      </w:r>
      <w:proofErr w:type="spellStart"/>
      <w:r w:rsidRPr="00F315D9">
        <w:rPr>
          <w:lang w:val="es-ES"/>
        </w:rPr>
        <w:t>der</w:t>
      </w:r>
      <w:proofErr w:type="spellEnd"/>
      <w:r w:rsidRPr="00F315D9">
        <w:rPr>
          <w:lang w:val="es-ES"/>
        </w:rPr>
        <w:t>.). Permite identificar visualmente las variables con cobertura limitada (</w:t>
      </w:r>
      <w:proofErr w:type="spellStart"/>
      <w:r w:rsidRPr="00F315D9">
        <w:rPr>
          <w:lang w:val="es-ES"/>
        </w:rPr>
        <w:t>pmi</w:t>
      </w:r>
      <w:proofErr w:type="spellEnd"/>
      <w:r w:rsidRPr="00F315D9">
        <w:rPr>
          <w:lang w:val="es-ES"/>
        </w:rPr>
        <w:t xml:space="preserve">, </w:t>
      </w:r>
      <w:proofErr w:type="spellStart"/>
      <w:r w:rsidRPr="00F315D9">
        <w:rPr>
          <w:lang w:val="es-ES"/>
        </w:rPr>
        <w:t>vibex</w:t>
      </w:r>
      <w:proofErr w:type="spellEnd"/>
      <w:r w:rsidRPr="00F315D9">
        <w:rPr>
          <w:lang w:val="es-ES"/>
        </w:rPr>
        <w:t xml:space="preserve">, </w:t>
      </w:r>
      <w:proofErr w:type="spellStart"/>
      <w:r w:rsidRPr="00F315D9">
        <w:rPr>
          <w:lang w:val="es-ES"/>
        </w:rPr>
        <w:t>spread_es_de</w:t>
      </w:r>
      <w:proofErr w:type="spellEnd"/>
      <w:r w:rsidRPr="00F315D9">
        <w:rPr>
          <w:lang w:val="es-ES"/>
        </w:rPr>
        <w:t>).</w:t>
      </w:r>
    </w:p>
    <w:p w14:paraId="24FAF8B2" w14:textId="77777777" w:rsidR="001B6E41" w:rsidRPr="00F315D9" w:rsidRDefault="00000000">
      <w:pPr>
        <w:pStyle w:val="Ttulo2"/>
        <w:rPr>
          <w:lang w:val="es-ES"/>
        </w:rPr>
      </w:pPr>
      <w:bookmarkStart w:id="23" w:name="análisis-exploratorio-de-datos-eda"/>
      <w:bookmarkEnd w:id="17"/>
      <w:bookmarkEnd w:id="22"/>
      <w:r w:rsidRPr="00F315D9">
        <w:rPr>
          <w:lang w:val="es-ES"/>
        </w:rPr>
        <w:t>6. Análisis exploratorio de datos (EDA)</w:t>
      </w:r>
    </w:p>
    <w:p w14:paraId="4B239C68" w14:textId="77777777" w:rsidR="001B6E41" w:rsidRPr="00F315D9" w:rsidRDefault="00000000">
      <w:pPr>
        <w:rPr>
          <w:lang w:val="es-ES"/>
        </w:rPr>
      </w:pPr>
      <w:r w:rsidRPr="00F315D9">
        <w:rPr>
          <w:lang w:val="es-ES"/>
        </w:rPr>
        <w:t xml:space="preserve">El análisis exploratorio se estructura en bloques que progresan desde los estadísticos descriptivos hasta los </w:t>
      </w:r>
      <w:proofErr w:type="spellStart"/>
      <w:r w:rsidRPr="00F315D9">
        <w:rPr>
          <w:lang w:val="es-ES"/>
        </w:rPr>
        <w:t>tests</w:t>
      </w:r>
      <w:proofErr w:type="spellEnd"/>
      <w:r w:rsidRPr="00F315D9">
        <w:rPr>
          <w:lang w:val="es-ES"/>
        </w:rPr>
        <w:t xml:space="preserve"> formales de hipótesis, documentando cada hallazgo y su implicación para la modelización.</w:t>
      </w:r>
    </w:p>
    <w:p w14:paraId="30341028" w14:textId="77777777" w:rsidR="001B6E41" w:rsidRPr="00F315D9" w:rsidRDefault="00000000">
      <w:pPr>
        <w:pStyle w:val="Ttulo3"/>
        <w:rPr>
          <w:lang w:val="es-ES"/>
        </w:rPr>
      </w:pPr>
      <w:bookmarkStart w:id="24" w:name="estadísticos-descriptivos"/>
      <w:r w:rsidRPr="00F315D9">
        <w:rPr>
          <w:lang w:val="es-ES"/>
        </w:rPr>
        <w:t>6.1. Estadísticos descriptivos</w:t>
      </w:r>
    </w:p>
    <w:p w14:paraId="585CA838" w14:textId="77777777" w:rsidR="001B6E41" w:rsidRPr="00F315D9" w:rsidRDefault="00000000">
      <w:pPr>
        <w:rPr>
          <w:lang w:val="es-ES"/>
        </w:rPr>
      </w:pPr>
      <w:r w:rsidRPr="00F315D9">
        <w:rPr>
          <w:lang w:val="es-ES"/>
        </w:rPr>
        <w:t xml:space="preserve">Los </w:t>
      </w:r>
      <w:r w:rsidRPr="00F315D9">
        <w:rPr>
          <w:b/>
          <w:bCs/>
          <w:lang w:val="es-ES"/>
        </w:rPr>
        <w:t>log-retornos</w:t>
      </w:r>
      <w:r w:rsidRPr="00F315D9">
        <w:rPr>
          <w:lang w:val="es-ES"/>
        </w:rPr>
        <w:t xml:space="preserve"> del panel completo (157.420 observaciones) presentan media casi nula (0,00015), desviación típica de 0,0212, asimetría ligeramente negativa (-0,071) y una </w:t>
      </w:r>
      <w:r w:rsidRPr="00F315D9">
        <w:rPr>
          <w:b/>
          <w:bCs/>
          <w:lang w:val="es-ES"/>
        </w:rPr>
        <w:t>curtosis (exceso) de 19,00</w:t>
      </w:r>
      <w:r w:rsidRPr="00F315D9">
        <w:rPr>
          <w:lang w:val="es-ES"/>
        </w:rPr>
        <w:t xml:space="preserve">, frente al valor de 3 de una distribución normal. Esta curtosis </w:t>
      </w:r>
      <w:r w:rsidRPr="00F315D9">
        <w:rPr>
          <w:lang w:val="es-ES"/>
        </w:rPr>
        <w:lastRenderedPageBreak/>
        <w:t xml:space="preserve">extremadamente elevada indica colas muy pesadas: los eventos extremos (caídas o subidas superiores al 10% en un día) son mucho más frecuentes de lo que predeciría una distribución gaussiana. Este hallazgo, conocido como </w:t>
      </w:r>
      <w:proofErr w:type="spellStart"/>
      <w:r w:rsidRPr="00F315D9">
        <w:rPr>
          <w:i/>
          <w:iCs/>
          <w:lang w:val="es-ES"/>
        </w:rPr>
        <w:t>fat</w:t>
      </w:r>
      <w:proofErr w:type="spellEnd"/>
      <w:r w:rsidRPr="00F315D9">
        <w:rPr>
          <w:i/>
          <w:iCs/>
          <w:lang w:val="es-ES"/>
        </w:rPr>
        <w:t xml:space="preserve"> </w:t>
      </w:r>
      <w:proofErr w:type="spellStart"/>
      <w:r w:rsidRPr="00F315D9">
        <w:rPr>
          <w:i/>
          <w:iCs/>
          <w:lang w:val="es-ES"/>
        </w:rPr>
        <w:t>tails</w:t>
      </w:r>
      <w:proofErr w:type="spellEnd"/>
      <w:r w:rsidRPr="00F315D9">
        <w:rPr>
          <w:lang w:val="es-ES"/>
        </w:rPr>
        <w:t xml:space="preserve"> (Mandelbrot, 1963), implica que los modelos que asuman normalidad subestimarán sistemáticamente el riesgo de cola.</w:t>
      </w:r>
    </w:p>
    <w:p w14:paraId="75AE5670" w14:textId="77777777" w:rsidR="001B6E41" w:rsidRPr="00F315D9" w:rsidRDefault="00000000">
      <w:pPr>
        <w:pStyle w:val="Textoindependiente"/>
        <w:rPr>
          <w:lang w:val="es-ES"/>
        </w:rPr>
      </w:pPr>
      <w:r w:rsidRPr="00F315D9">
        <w:rPr>
          <w:lang w:val="es-ES"/>
        </w:rPr>
        <w:t xml:space="preserve">A nivel individual, </w:t>
      </w:r>
      <w:r w:rsidRPr="00F315D9">
        <w:rPr>
          <w:b/>
          <w:bCs/>
          <w:lang w:val="es-ES"/>
        </w:rPr>
        <w:t>20 de las 35 empresas presentan asimetría negativa</w:t>
      </w:r>
      <w:r w:rsidRPr="00F315D9">
        <w:rPr>
          <w:lang w:val="es-ES"/>
        </w:rPr>
        <w:t xml:space="preserve"> y 15 positiva, lo que confirma la prevalencia de la asimetría de retornos en mercados desarrollados (las caídas tienden a ser más bruscas que las subidas).</w:t>
      </w:r>
    </w:p>
    <w:p w14:paraId="3C370EAF" w14:textId="77777777" w:rsidR="001B6E41" w:rsidRPr="00F315D9" w:rsidRDefault="00000000">
      <w:pPr>
        <w:pStyle w:val="Textoindependiente"/>
        <w:rPr>
          <w:lang w:val="es-ES"/>
        </w:rPr>
      </w:pPr>
      <w:r w:rsidRPr="00F315D9">
        <w:rPr>
          <w:lang w:val="es-ES"/>
        </w:rPr>
        <w:t xml:space="preserve">La </w:t>
      </w:r>
      <w:r w:rsidRPr="00F315D9">
        <w:rPr>
          <w:b/>
          <w:bCs/>
          <w:lang w:val="es-ES"/>
        </w:rPr>
        <w:t>volatilidad histórica</w:t>
      </w:r>
      <w:r w:rsidRPr="00F315D9">
        <w:rPr>
          <w:lang w:val="es-ES"/>
        </w:rPr>
        <w:t xml:space="preserve"> del IBEX 35 tiene media de 0,2926 (29,26% anualizada), con una distribución marcadamente asimétrica a la derecha (asimetría = 2,44, curtosis = 12,53), reflejando que los períodos de alta volatilidad son </w:t>
      </w:r>
      <w:proofErr w:type="gramStart"/>
      <w:r w:rsidRPr="00F315D9">
        <w:rPr>
          <w:lang w:val="es-ES"/>
        </w:rPr>
        <w:t>más extremos y más persistentes</w:t>
      </w:r>
      <w:proofErr w:type="gramEnd"/>
      <w:r w:rsidRPr="00F315D9">
        <w:rPr>
          <w:lang w:val="es-ES"/>
        </w:rPr>
        <w:t xml:space="preserve"> que los de baja volatilidad. La </w:t>
      </w:r>
      <w:r w:rsidRPr="00F315D9">
        <w:rPr>
          <w:i/>
          <w:iCs/>
          <w:lang w:val="es-ES"/>
        </w:rPr>
        <w:t>Figura 4</w:t>
      </w:r>
      <w:r w:rsidRPr="00F315D9">
        <w:rPr>
          <w:lang w:val="es-ES"/>
        </w:rPr>
        <w:t xml:space="preserve"> muestra la evolución temporal de esta volatilidad media a lo largo del período 2005–2025, donde se aprecian claramente los episodios de crisis financiera que definen la estructura de la serie.</w:t>
      </w:r>
    </w:p>
    <w:p w14:paraId="273B1D20" w14:textId="77777777" w:rsidR="001B6E41" w:rsidRDefault="00000000">
      <w:r>
        <w:rPr>
          <w:noProof/>
        </w:rPr>
        <w:drawing>
          <wp:inline distT="0" distB="0" distL="0" distR="0" wp14:anchorId="7068B5AA" wp14:editId="7C0E3629">
            <wp:extent cx="5212080" cy="1604347"/>
            <wp:effectExtent l="0" t="0" r="0" b="0"/>
            <wp:docPr id="77" name="Picture" descr="Figura 4. Evolución temporal de la volatilidad media del IBEX 35 (2005–2025) con marcadores de los principales episodios de crisis: Lehman Brothers (sep. 2008), crisis de deuda europea (may. 2010), COVID-19 (mar. 2020) y guerra de Ucrania (feb. 2022). Se observa el fenómeno de volatility clustering: los períodos de alta volatilidad se agrupan y persisten."/>
            <wp:cNvGraphicFramePr/>
            <a:graphic xmlns:a="http://schemas.openxmlformats.org/drawingml/2006/main">
              <a:graphicData uri="http://schemas.openxmlformats.org/drawingml/2006/picture">
                <pic:pic xmlns:pic="http://schemas.openxmlformats.org/drawingml/2006/picture">
                  <pic:nvPicPr>
                    <pic:cNvPr id="78" name="Picture" descr="figuras/05_volatilidad_temporal.png"/>
                    <pic:cNvPicPr>
                      <a:picLocks noChangeAspect="1" noChangeArrowheads="1"/>
                    </pic:cNvPicPr>
                  </pic:nvPicPr>
                  <pic:blipFill>
                    <a:blip r:embed="rId8"/>
                    <a:stretch>
                      <a:fillRect/>
                    </a:stretch>
                  </pic:blipFill>
                  <pic:spPr bwMode="auto">
                    <a:xfrm>
                      <a:off x="0" y="0"/>
                      <a:ext cx="5212080" cy="1604347"/>
                    </a:xfrm>
                    <a:prstGeom prst="rect">
                      <a:avLst/>
                    </a:prstGeom>
                    <a:noFill/>
                    <a:ln w="9525">
                      <a:noFill/>
                      <a:headEnd/>
                      <a:tailEnd/>
                    </a:ln>
                  </pic:spPr>
                </pic:pic>
              </a:graphicData>
            </a:graphic>
          </wp:inline>
        </w:drawing>
      </w:r>
    </w:p>
    <w:p w14:paraId="21D92E64" w14:textId="77777777" w:rsidR="001B6E41" w:rsidRPr="00F315D9" w:rsidRDefault="00000000">
      <w:pPr>
        <w:rPr>
          <w:lang w:val="es-ES"/>
        </w:rPr>
      </w:pPr>
      <w:r w:rsidRPr="00F315D9">
        <w:rPr>
          <w:b/>
          <w:bCs/>
          <w:lang w:val="es-ES"/>
        </w:rPr>
        <w:t>Figura 4.</w:t>
      </w:r>
      <w:r w:rsidRPr="00F315D9">
        <w:rPr>
          <w:lang w:val="es-ES"/>
        </w:rPr>
        <w:t xml:space="preserve"> Evolución temporal de la volatilidad media del IBEX 35 (2005–2025) con marcadores de los principales episodios de crisis: Lehman </w:t>
      </w:r>
      <w:proofErr w:type="spellStart"/>
      <w:r w:rsidRPr="00F315D9">
        <w:rPr>
          <w:lang w:val="es-ES"/>
        </w:rPr>
        <w:t>Brothers</w:t>
      </w:r>
      <w:proofErr w:type="spellEnd"/>
      <w:r w:rsidRPr="00F315D9">
        <w:rPr>
          <w:lang w:val="es-ES"/>
        </w:rPr>
        <w:t xml:space="preserve"> (sep. 2008), crisis de deuda europea (</w:t>
      </w:r>
      <w:proofErr w:type="spellStart"/>
      <w:r w:rsidRPr="00F315D9">
        <w:rPr>
          <w:lang w:val="es-ES"/>
        </w:rPr>
        <w:t>may</w:t>
      </w:r>
      <w:proofErr w:type="spellEnd"/>
      <w:r w:rsidRPr="00F315D9">
        <w:rPr>
          <w:lang w:val="es-ES"/>
        </w:rPr>
        <w:t xml:space="preserve">. 2010), COVID-19 (mar. 2020) y guerra de Ucrania (feb. 2022). Se observa el fenómeno de </w:t>
      </w:r>
      <w:proofErr w:type="spellStart"/>
      <w:r w:rsidRPr="00F315D9">
        <w:rPr>
          <w:i/>
          <w:iCs/>
          <w:lang w:val="es-ES"/>
        </w:rPr>
        <w:t>volatility</w:t>
      </w:r>
      <w:proofErr w:type="spellEnd"/>
      <w:r w:rsidRPr="00F315D9">
        <w:rPr>
          <w:i/>
          <w:iCs/>
          <w:lang w:val="es-ES"/>
        </w:rPr>
        <w:t xml:space="preserve"> </w:t>
      </w:r>
      <w:proofErr w:type="spellStart"/>
      <w:r w:rsidRPr="00F315D9">
        <w:rPr>
          <w:i/>
          <w:iCs/>
          <w:lang w:val="es-ES"/>
        </w:rPr>
        <w:t>clustering</w:t>
      </w:r>
      <w:proofErr w:type="spellEnd"/>
      <w:r w:rsidRPr="00F315D9">
        <w:rPr>
          <w:lang w:val="es-ES"/>
        </w:rPr>
        <w:t>: los períodos de alta volatilidad se agrupan y persisten.</w:t>
      </w:r>
    </w:p>
    <w:p w14:paraId="23D57D09" w14:textId="77777777" w:rsidR="001B6E41" w:rsidRPr="00F315D9" w:rsidRDefault="00000000">
      <w:pPr>
        <w:pStyle w:val="Ttulo3"/>
        <w:rPr>
          <w:lang w:val="es-ES"/>
        </w:rPr>
      </w:pPr>
      <w:bookmarkStart w:id="25" w:name="tests-de-estacionariedad-adf"/>
      <w:bookmarkEnd w:id="24"/>
      <w:r w:rsidRPr="00F315D9">
        <w:rPr>
          <w:lang w:val="es-ES"/>
        </w:rPr>
        <w:t xml:space="preserve">6.2. </w:t>
      </w:r>
      <w:proofErr w:type="spellStart"/>
      <w:r w:rsidRPr="00F315D9">
        <w:rPr>
          <w:lang w:val="es-ES"/>
        </w:rPr>
        <w:t>Tests</w:t>
      </w:r>
      <w:proofErr w:type="spellEnd"/>
      <w:r w:rsidRPr="00F315D9">
        <w:rPr>
          <w:lang w:val="es-ES"/>
        </w:rPr>
        <w:t xml:space="preserve"> de estacionariedad (ADF)</w:t>
      </w:r>
    </w:p>
    <w:p w14:paraId="502A796B" w14:textId="77777777" w:rsidR="001B6E41" w:rsidRPr="00F315D9" w:rsidRDefault="00000000">
      <w:pPr>
        <w:rPr>
          <w:lang w:val="es-ES"/>
        </w:rPr>
      </w:pPr>
      <w:r w:rsidRPr="00F315D9">
        <w:rPr>
          <w:lang w:val="es-ES"/>
        </w:rPr>
        <w:t xml:space="preserve">La estacionariedad es un requisito fundamental para la mayoría de los modelos econométricos. Se aplica </w:t>
      </w:r>
      <w:proofErr w:type="gramStart"/>
      <w:r w:rsidRPr="00F315D9">
        <w:rPr>
          <w:lang w:val="es-ES"/>
        </w:rPr>
        <w:t>el test</w:t>
      </w:r>
      <w:proofErr w:type="gramEnd"/>
      <w:r w:rsidRPr="00F315D9">
        <w:rPr>
          <w:lang w:val="es-ES"/>
        </w:rPr>
        <w:t xml:space="preserve"> </w:t>
      </w:r>
      <w:proofErr w:type="spellStart"/>
      <w:r w:rsidRPr="00F315D9">
        <w:rPr>
          <w:b/>
          <w:bCs/>
          <w:lang w:val="es-ES"/>
        </w:rPr>
        <w:t>Augmented</w:t>
      </w:r>
      <w:proofErr w:type="spellEnd"/>
      <w:r w:rsidRPr="00F315D9">
        <w:rPr>
          <w:b/>
          <w:bCs/>
          <w:lang w:val="es-ES"/>
        </w:rPr>
        <w:t xml:space="preserve"> </w:t>
      </w:r>
      <w:proofErr w:type="spellStart"/>
      <w:r w:rsidRPr="00F315D9">
        <w:rPr>
          <w:b/>
          <w:bCs/>
          <w:lang w:val="es-ES"/>
        </w:rPr>
        <w:t>Dickey</w:t>
      </w:r>
      <w:proofErr w:type="spellEnd"/>
      <w:r w:rsidRPr="00F315D9">
        <w:rPr>
          <w:b/>
          <w:bCs/>
          <w:lang w:val="es-ES"/>
        </w:rPr>
        <w:t>-Fuller</w:t>
      </w:r>
      <w:r w:rsidRPr="00F315D9">
        <w:rPr>
          <w:lang w:val="es-ES"/>
        </w:rPr>
        <w:t xml:space="preserve"> (ADF) con selección automática de retardos por criterio AIC. La hipótesis nula es que la serie tiene raíz unitaria (no es estacionaria); se rechaza con </w:t>
      </w:r>
      <m:oMath>
        <m:r>
          <w:rPr>
            <w:rFonts w:ascii="Cambria Math" w:hAnsi="Cambria Math"/>
          </w:rPr>
          <m:t>p</m:t>
        </m:r>
        <m:r>
          <m:rPr>
            <m:sty m:val="p"/>
          </m:rPr>
          <w:rPr>
            <w:rFonts w:ascii="Cambria Math" w:hAnsi="Cambria Math"/>
            <w:lang w:val="es-ES"/>
          </w:rPr>
          <m:t>&lt;</m:t>
        </m:r>
        <m:r>
          <w:rPr>
            <w:rFonts w:ascii="Cambria Math" w:hAnsi="Cambria Math"/>
            <w:lang w:val="es-ES"/>
          </w:rPr>
          <m:t>0</m:t>
        </m:r>
        <m:r>
          <m:rPr>
            <m:sty m:val="p"/>
          </m:rPr>
          <w:rPr>
            <w:rFonts w:ascii="Cambria Math" w:hAnsi="Cambria Math"/>
            <w:lang w:val="es-ES"/>
          </w:rPr>
          <m:t>,</m:t>
        </m:r>
        <m:r>
          <w:rPr>
            <w:rFonts w:ascii="Cambria Math" w:hAnsi="Cambria Math"/>
            <w:lang w:val="es-ES"/>
          </w:rPr>
          <m:t>05</m:t>
        </m:r>
      </m:oMath>
      <w:r w:rsidRPr="00F315D9">
        <w:rPr>
          <w:lang w:val="es-ES"/>
        </w:rPr>
        <w:t>.</w:t>
      </w:r>
    </w:p>
    <w:tbl>
      <w:tblPr>
        <w:tblW w:w="0" w:type="auto"/>
        <w:tblLook w:val="0020" w:firstRow="1" w:lastRow="0" w:firstColumn="0" w:lastColumn="0" w:noHBand="0" w:noVBand="0"/>
      </w:tblPr>
      <w:tblGrid>
        <w:gridCol w:w="2909"/>
        <w:gridCol w:w="785"/>
        <w:gridCol w:w="938"/>
        <w:gridCol w:w="1532"/>
      </w:tblGrid>
      <w:tr w:rsidR="001B6E41" w14:paraId="2588093F" w14:textId="77777777">
        <w:trPr>
          <w:tblHeader/>
        </w:trPr>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0880CBBA" w14:textId="77777777" w:rsidR="001B6E41" w:rsidRDefault="00000000">
            <w:r>
              <w:rPr>
                <w:b/>
                <w:color w:val="FFFFFF"/>
              </w:rPr>
              <w:t>Variable</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5014477B" w14:textId="77777777" w:rsidR="001B6E41" w:rsidRDefault="00000000">
            <w:r>
              <w:rPr>
                <w:b/>
                <w:color w:val="FFFFFF"/>
              </w:rPr>
              <w:t>ADF</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35071A44" w14:textId="77777777" w:rsidR="001B6E41" w:rsidRDefault="00000000">
            <w:r>
              <w:rPr>
                <w:b/>
                <w:color w:val="FFFFFF"/>
              </w:rPr>
              <w:t>p-valor</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6C8781B6" w14:textId="77777777" w:rsidR="001B6E41" w:rsidRDefault="00000000">
            <w:r>
              <w:rPr>
                <w:b/>
                <w:color w:val="FFFFFF"/>
              </w:rPr>
              <w:t>¿Estacionaria?</w:t>
            </w:r>
          </w:p>
        </w:tc>
      </w:tr>
      <w:tr w:rsidR="001B6E41" w14:paraId="05AEC3DA" w14:textId="77777777">
        <w:tc>
          <w:tcPr>
            <w:tcW w:w="0" w:type="auto"/>
            <w:tcBorders>
              <w:top w:val="single" w:sz="4" w:space="0" w:color="BFBFBF"/>
              <w:left w:val="single" w:sz="4" w:space="0" w:color="BFBFBF"/>
              <w:bottom w:val="single" w:sz="4" w:space="0" w:color="BFBFBF"/>
              <w:right w:val="single" w:sz="4" w:space="0" w:color="BFBFBF"/>
            </w:tcBorders>
          </w:tcPr>
          <w:p w14:paraId="6ED77F8A" w14:textId="77777777" w:rsidR="001B6E41" w:rsidRPr="00F315D9" w:rsidRDefault="00000000">
            <w:pPr>
              <w:rPr>
                <w:lang w:val="es-ES"/>
              </w:rPr>
            </w:pPr>
            <w:r w:rsidRPr="00F315D9">
              <w:rPr>
                <w:lang w:val="es-ES"/>
              </w:rPr>
              <w:t>Precio de cierre (SAN.MC)</w:t>
            </w:r>
          </w:p>
        </w:tc>
        <w:tc>
          <w:tcPr>
            <w:tcW w:w="0" w:type="auto"/>
            <w:tcBorders>
              <w:top w:val="single" w:sz="4" w:space="0" w:color="BFBFBF"/>
              <w:left w:val="single" w:sz="4" w:space="0" w:color="BFBFBF"/>
              <w:bottom w:val="single" w:sz="4" w:space="0" w:color="BFBFBF"/>
              <w:right w:val="single" w:sz="4" w:space="0" w:color="BFBFBF"/>
            </w:tcBorders>
          </w:tcPr>
          <w:p w14:paraId="5C44C02D" w14:textId="77777777" w:rsidR="001B6E41" w:rsidRDefault="00000000">
            <w:r>
              <w:t>-1,73</w:t>
            </w:r>
          </w:p>
        </w:tc>
        <w:tc>
          <w:tcPr>
            <w:tcW w:w="0" w:type="auto"/>
            <w:tcBorders>
              <w:top w:val="single" w:sz="4" w:space="0" w:color="BFBFBF"/>
              <w:left w:val="single" w:sz="4" w:space="0" w:color="BFBFBF"/>
              <w:bottom w:val="single" w:sz="4" w:space="0" w:color="BFBFBF"/>
              <w:right w:val="single" w:sz="4" w:space="0" w:color="BFBFBF"/>
            </w:tcBorders>
          </w:tcPr>
          <w:p w14:paraId="548D5F87" w14:textId="77777777" w:rsidR="001B6E41" w:rsidRDefault="00000000">
            <w:r>
              <w:t>0,4166</w:t>
            </w:r>
          </w:p>
        </w:tc>
        <w:tc>
          <w:tcPr>
            <w:tcW w:w="0" w:type="auto"/>
            <w:tcBorders>
              <w:top w:val="single" w:sz="4" w:space="0" w:color="BFBFBF"/>
              <w:left w:val="single" w:sz="4" w:space="0" w:color="BFBFBF"/>
              <w:bottom w:val="single" w:sz="4" w:space="0" w:color="BFBFBF"/>
              <w:right w:val="single" w:sz="4" w:space="0" w:color="BFBFBF"/>
            </w:tcBorders>
          </w:tcPr>
          <w:p w14:paraId="4E96AE6F" w14:textId="77777777" w:rsidR="001B6E41" w:rsidRDefault="00000000">
            <w:r>
              <w:rPr>
                <w:b/>
                <w:bCs/>
              </w:rPr>
              <w:t>NO</w:t>
            </w:r>
          </w:p>
        </w:tc>
      </w:tr>
      <w:tr w:rsidR="001B6E41" w14:paraId="6BBF6BCE" w14:textId="77777777">
        <w:tc>
          <w:tcPr>
            <w:tcW w:w="0" w:type="auto"/>
            <w:tcBorders>
              <w:top w:val="single" w:sz="4" w:space="0" w:color="BFBFBF"/>
              <w:left w:val="single" w:sz="4" w:space="0" w:color="BFBFBF"/>
              <w:bottom w:val="single" w:sz="4" w:space="0" w:color="BFBFBF"/>
              <w:right w:val="single" w:sz="4" w:space="0" w:color="BFBFBF"/>
            </w:tcBorders>
          </w:tcPr>
          <w:p w14:paraId="1C9C2869" w14:textId="77777777" w:rsidR="001B6E41" w:rsidRDefault="00000000">
            <w:r>
              <w:t>Log-retorno (SAN.MC)</w:t>
            </w:r>
          </w:p>
        </w:tc>
        <w:tc>
          <w:tcPr>
            <w:tcW w:w="0" w:type="auto"/>
            <w:tcBorders>
              <w:top w:val="single" w:sz="4" w:space="0" w:color="BFBFBF"/>
              <w:left w:val="single" w:sz="4" w:space="0" w:color="BFBFBF"/>
              <w:bottom w:val="single" w:sz="4" w:space="0" w:color="BFBFBF"/>
              <w:right w:val="single" w:sz="4" w:space="0" w:color="BFBFBF"/>
            </w:tcBorders>
          </w:tcPr>
          <w:p w14:paraId="2DC7100C" w14:textId="77777777" w:rsidR="001B6E41" w:rsidRDefault="00000000">
            <w:r>
              <w:t>-43,24</w:t>
            </w:r>
          </w:p>
        </w:tc>
        <w:tc>
          <w:tcPr>
            <w:tcW w:w="0" w:type="auto"/>
            <w:tcBorders>
              <w:top w:val="single" w:sz="4" w:space="0" w:color="BFBFBF"/>
              <w:left w:val="single" w:sz="4" w:space="0" w:color="BFBFBF"/>
              <w:bottom w:val="single" w:sz="4" w:space="0" w:color="BFBFBF"/>
              <w:right w:val="single" w:sz="4" w:space="0" w:color="BFBFBF"/>
            </w:tcBorders>
          </w:tcPr>
          <w:p w14:paraId="48BF7646" w14:textId="77777777" w:rsidR="001B6E41" w:rsidRDefault="00000000">
            <w:r>
              <w:t>&lt;0,0001</w:t>
            </w:r>
          </w:p>
        </w:tc>
        <w:tc>
          <w:tcPr>
            <w:tcW w:w="0" w:type="auto"/>
            <w:tcBorders>
              <w:top w:val="single" w:sz="4" w:space="0" w:color="BFBFBF"/>
              <w:left w:val="single" w:sz="4" w:space="0" w:color="BFBFBF"/>
              <w:bottom w:val="single" w:sz="4" w:space="0" w:color="BFBFBF"/>
              <w:right w:val="single" w:sz="4" w:space="0" w:color="BFBFBF"/>
            </w:tcBorders>
          </w:tcPr>
          <w:p w14:paraId="74293411" w14:textId="77777777" w:rsidR="001B6E41" w:rsidRDefault="00000000">
            <w:r>
              <w:rPr>
                <w:b/>
                <w:bCs/>
              </w:rPr>
              <w:t>SÍ</w:t>
            </w:r>
          </w:p>
        </w:tc>
      </w:tr>
      <w:tr w:rsidR="001B6E41" w14:paraId="79FA99B6" w14:textId="77777777">
        <w:tc>
          <w:tcPr>
            <w:tcW w:w="0" w:type="auto"/>
            <w:tcBorders>
              <w:top w:val="single" w:sz="4" w:space="0" w:color="BFBFBF"/>
              <w:left w:val="single" w:sz="4" w:space="0" w:color="BFBFBF"/>
              <w:bottom w:val="single" w:sz="4" w:space="0" w:color="BFBFBF"/>
              <w:right w:val="single" w:sz="4" w:space="0" w:color="BFBFBF"/>
            </w:tcBorders>
          </w:tcPr>
          <w:p w14:paraId="2997B2CD" w14:textId="77777777" w:rsidR="001B6E41" w:rsidRDefault="00000000">
            <w:r>
              <w:t>Volatilidad hist. 21d (SAN.MC)</w:t>
            </w:r>
          </w:p>
        </w:tc>
        <w:tc>
          <w:tcPr>
            <w:tcW w:w="0" w:type="auto"/>
            <w:tcBorders>
              <w:top w:val="single" w:sz="4" w:space="0" w:color="BFBFBF"/>
              <w:left w:val="single" w:sz="4" w:space="0" w:color="BFBFBF"/>
              <w:bottom w:val="single" w:sz="4" w:space="0" w:color="BFBFBF"/>
              <w:right w:val="single" w:sz="4" w:space="0" w:color="BFBFBF"/>
            </w:tcBorders>
          </w:tcPr>
          <w:p w14:paraId="3BB32AC7" w14:textId="77777777" w:rsidR="001B6E41" w:rsidRDefault="00000000">
            <w:r>
              <w:t>-6,17</w:t>
            </w:r>
          </w:p>
        </w:tc>
        <w:tc>
          <w:tcPr>
            <w:tcW w:w="0" w:type="auto"/>
            <w:tcBorders>
              <w:top w:val="single" w:sz="4" w:space="0" w:color="BFBFBF"/>
              <w:left w:val="single" w:sz="4" w:space="0" w:color="BFBFBF"/>
              <w:bottom w:val="single" w:sz="4" w:space="0" w:color="BFBFBF"/>
              <w:right w:val="single" w:sz="4" w:space="0" w:color="BFBFBF"/>
            </w:tcBorders>
          </w:tcPr>
          <w:p w14:paraId="637CF8FF" w14:textId="77777777" w:rsidR="001B6E41" w:rsidRDefault="00000000">
            <w:r>
              <w:t>&lt;0,0001</w:t>
            </w:r>
          </w:p>
        </w:tc>
        <w:tc>
          <w:tcPr>
            <w:tcW w:w="0" w:type="auto"/>
            <w:tcBorders>
              <w:top w:val="single" w:sz="4" w:space="0" w:color="BFBFBF"/>
              <w:left w:val="single" w:sz="4" w:space="0" w:color="BFBFBF"/>
              <w:bottom w:val="single" w:sz="4" w:space="0" w:color="BFBFBF"/>
              <w:right w:val="single" w:sz="4" w:space="0" w:color="BFBFBF"/>
            </w:tcBorders>
          </w:tcPr>
          <w:p w14:paraId="4C692D45" w14:textId="77777777" w:rsidR="001B6E41" w:rsidRDefault="00000000">
            <w:r>
              <w:rPr>
                <w:b/>
                <w:bCs/>
              </w:rPr>
              <w:t>SÍ</w:t>
            </w:r>
          </w:p>
        </w:tc>
      </w:tr>
      <w:tr w:rsidR="001B6E41" w14:paraId="1AD97640" w14:textId="77777777">
        <w:tc>
          <w:tcPr>
            <w:tcW w:w="0" w:type="auto"/>
            <w:tcBorders>
              <w:top w:val="single" w:sz="4" w:space="0" w:color="BFBFBF"/>
              <w:left w:val="single" w:sz="4" w:space="0" w:color="BFBFBF"/>
              <w:bottom w:val="single" w:sz="4" w:space="0" w:color="BFBFBF"/>
              <w:right w:val="single" w:sz="4" w:space="0" w:color="BFBFBF"/>
            </w:tcBorders>
          </w:tcPr>
          <w:p w14:paraId="1DE7DFAB" w14:textId="77777777" w:rsidR="001B6E41" w:rsidRDefault="00000000">
            <w:r>
              <w:t>VIX</w:t>
            </w:r>
          </w:p>
        </w:tc>
        <w:tc>
          <w:tcPr>
            <w:tcW w:w="0" w:type="auto"/>
            <w:tcBorders>
              <w:top w:val="single" w:sz="4" w:space="0" w:color="BFBFBF"/>
              <w:left w:val="single" w:sz="4" w:space="0" w:color="BFBFBF"/>
              <w:bottom w:val="single" w:sz="4" w:space="0" w:color="BFBFBF"/>
              <w:right w:val="single" w:sz="4" w:space="0" w:color="BFBFBF"/>
            </w:tcBorders>
          </w:tcPr>
          <w:p w14:paraId="637C6308" w14:textId="77777777" w:rsidR="001B6E41" w:rsidRDefault="00000000">
            <w:r>
              <w:t>-5,60</w:t>
            </w:r>
          </w:p>
        </w:tc>
        <w:tc>
          <w:tcPr>
            <w:tcW w:w="0" w:type="auto"/>
            <w:tcBorders>
              <w:top w:val="single" w:sz="4" w:space="0" w:color="BFBFBF"/>
              <w:left w:val="single" w:sz="4" w:space="0" w:color="BFBFBF"/>
              <w:bottom w:val="single" w:sz="4" w:space="0" w:color="BFBFBF"/>
              <w:right w:val="single" w:sz="4" w:space="0" w:color="BFBFBF"/>
            </w:tcBorders>
          </w:tcPr>
          <w:p w14:paraId="35F027C9" w14:textId="77777777" w:rsidR="001B6E41" w:rsidRDefault="00000000">
            <w:r>
              <w:t>&lt;0,0001</w:t>
            </w:r>
          </w:p>
        </w:tc>
        <w:tc>
          <w:tcPr>
            <w:tcW w:w="0" w:type="auto"/>
            <w:tcBorders>
              <w:top w:val="single" w:sz="4" w:space="0" w:color="BFBFBF"/>
              <w:left w:val="single" w:sz="4" w:space="0" w:color="BFBFBF"/>
              <w:bottom w:val="single" w:sz="4" w:space="0" w:color="BFBFBF"/>
              <w:right w:val="single" w:sz="4" w:space="0" w:color="BFBFBF"/>
            </w:tcBorders>
          </w:tcPr>
          <w:p w14:paraId="593329DA" w14:textId="77777777" w:rsidR="001B6E41" w:rsidRDefault="00000000">
            <w:r>
              <w:rPr>
                <w:b/>
                <w:bCs/>
              </w:rPr>
              <w:t>SÍ</w:t>
            </w:r>
          </w:p>
        </w:tc>
      </w:tr>
      <w:tr w:rsidR="001B6E41" w14:paraId="56BF34F5" w14:textId="77777777">
        <w:tc>
          <w:tcPr>
            <w:tcW w:w="0" w:type="auto"/>
            <w:tcBorders>
              <w:top w:val="single" w:sz="4" w:space="0" w:color="BFBFBF"/>
              <w:left w:val="single" w:sz="4" w:space="0" w:color="BFBFBF"/>
              <w:bottom w:val="single" w:sz="4" w:space="0" w:color="BFBFBF"/>
              <w:right w:val="single" w:sz="4" w:space="0" w:color="BFBFBF"/>
            </w:tcBorders>
          </w:tcPr>
          <w:p w14:paraId="239A37DD" w14:textId="77777777" w:rsidR="001B6E41" w:rsidRDefault="00000000">
            <w:r>
              <w:t>Bono ES 10Y</w:t>
            </w:r>
          </w:p>
        </w:tc>
        <w:tc>
          <w:tcPr>
            <w:tcW w:w="0" w:type="auto"/>
            <w:tcBorders>
              <w:top w:val="single" w:sz="4" w:space="0" w:color="BFBFBF"/>
              <w:left w:val="single" w:sz="4" w:space="0" w:color="BFBFBF"/>
              <w:bottom w:val="single" w:sz="4" w:space="0" w:color="BFBFBF"/>
              <w:right w:val="single" w:sz="4" w:space="0" w:color="BFBFBF"/>
            </w:tcBorders>
          </w:tcPr>
          <w:p w14:paraId="6E5DDF1E" w14:textId="77777777" w:rsidR="001B6E41" w:rsidRDefault="00000000">
            <w:r>
              <w:t>-1,36</w:t>
            </w:r>
          </w:p>
        </w:tc>
        <w:tc>
          <w:tcPr>
            <w:tcW w:w="0" w:type="auto"/>
            <w:tcBorders>
              <w:top w:val="single" w:sz="4" w:space="0" w:color="BFBFBF"/>
              <w:left w:val="single" w:sz="4" w:space="0" w:color="BFBFBF"/>
              <w:bottom w:val="single" w:sz="4" w:space="0" w:color="BFBFBF"/>
              <w:right w:val="single" w:sz="4" w:space="0" w:color="BFBFBF"/>
            </w:tcBorders>
          </w:tcPr>
          <w:p w14:paraId="224566D4" w14:textId="77777777" w:rsidR="001B6E41" w:rsidRDefault="00000000">
            <w:r>
              <w:t>0,6005</w:t>
            </w:r>
          </w:p>
        </w:tc>
        <w:tc>
          <w:tcPr>
            <w:tcW w:w="0" w:type="auto"/>
            <w:tcBorders>
              <w:top w:val="single" w:sz="4" w:space="0" w:color="BFBFBF"/>
              <w:left w:val="single" w:sz="4" w:space="0" w:color="BFBFBF"/>
              <w:bottom w:val="single" w:sz="4" w:space="0" w:color="BFBFBF"/>
              <w:right w:val="single" w:sz="4" w:space="0" w:color="BFBFBF"/>
            </w:tcBorders>
          </w:tcPr>
          <w:p w14:paraId="5B86A044" w14:textId="77777777" w:rsidR="001B6E41" w:rsidRDefault="00000000">
            <w:r>
              <w:rPr>
                <w:b/>
                <w:bCs/>
              </w:rPr>
              <w:t>NO</w:t>
            </w:r>
          </w:p>
        </w:tc>
      </w:tr>
      <w:tr w:rsidR="001B6E41" w14:paraId="16BCA6DB" w14:textId="77777777">
        <w:tc>
          <w:tcPr>
            <w:tcW w:w="0" w:type="auto"/>
            <w:tcBorders>
              <w:top w:val="single" w:sz="4" w:space="0" w:color="BFBFBF"/>
              <w:left w:val="single" w:sz="4" w:space="0" w:color="BFBFBF"/>
              <w:bottom w:val="single" w:sz="4" w:space="0" w:color="BFBFBF"/>
              <w:right w:val="single" w:sz="4" w:space="0" w:color="BFBFBF"/>
            </w:tcBorders>
          </w:tcPr>
          <w:p w14:paraId="005F7632" w14:textId="77777777" w:rsidR="001B6E41" w:rsidRDefault="00000000">
            <w:r>
              <w:lastRenderedPageBreak/>
              <w:t>Euribor 3M</w:t>
            </w:r>
          </w:p>
        </w:tc>
        <w:tc>
          <w:tcPr>
            <w:tcW w:w="0" w:type="auto"/>
            <w:tcBorders>
              <w:top w:val="single" w:sz="4" w:space="0" w:color="BFBFBF"/>
              <w:left w:val="single" w:sz="4" w:space="0" w:color="BFBFBF"/>
              <w:bottom w:val="single" w:sz="4" w:space="0" w:color="BFBFBF"/>
              <w:right w:val="single" w:sz="4" w:space="0" w:color="BFBFBF"/>
            </w:tcBorders>
          </w:tcPr>
          <w:p w14:paraId="694611CF" w14:textId="77777777" w:rsidR="001B6E41" w:rsidRDefault="00000000">
            <w:r>
              <w:t>-1,91</w:t>
            </w:r>
          </w:p>
        </w:tc>
        <w:tc>
          <w:tcPr>
            <w:tcW w:w="0" w:type="auto"/>
            <w:tcBorders>
              <w:top w:val="single" w:sz="4" w:space="0" w:color="BFBFBF"/>
              <w:left w:val="single" w:sz="4" w:space="0" w:color="BFBFBF"/>
              <w:bottom w:val="single" w:sz="4" w:space="0" w:color="BFBFBF"/>
              <w:right w:val="single" w:sz="4" w:space="0" w:color="BFBFBF"/>
            </w:tcBorders>
          </w:tcPr>
          <w:p w14:paraId="40263480" w14:textId="77777777" w:rsidR="001B6E41" w:rsidRDefault="00000000">
            <w:r>
              <w:t>0,3255</w:t>
            </w:r>
          </w:p>
        </w:tc>
        <w:tc>
          <w:tcPr>
            <w:tcW w:w="0" w:type="auto"/>
            <w:tcBorders>
              <w:top w:val="single" w:sz="4" w:space="0" w:color="BFBFBF"/>
              <w:left w:val="single" w:sz="4" w:space="0" w:color="BFBFBF"/>
              <w:bottom w:val="single" w:sz="4" w:space="0" w:color="BFBFBF"/>
              <w:right w:val="single" w:sz="4" w:space="0" w:color="BFBFBF"/>
            </w:tcBorders>
          </w:tcPr>
          <w:p w14:paraId="14B8F5DC" w14:textId="77777777" w:rsidR="001B6E41" w:rsidRDefault="00000000">
            <w:r>
              <w:rPr>
                <w:b/>
                <w:bCs/>
              </w:rPr>
              <w:t>NO</w:t>
            </w:r>
          </w:p>
        </w:tc>
      </w:tr>
      <w:tr w:rsidR="001B6E41" w14:paraId="1E67205C" w14:textId="77777777">
        <w:tc>
          <w:tcPr>
            <w:tcW w:w="0" w:type="auto"/>
            <w:tcBorders>
              <w:top w:val="single" w:sz="4" w:space="0" w:color="BFBFBF"/>
              <w:left w:val="single" w:sz="4" w:space="0" w:color="BFBFBF"/>
              <w:bottom w:val="single" w:sz="4" w:space="0" w:color="BFBFBF"/>
              <w:right w:val="single" w:sz="4" w:space="0" w:color="BFBFBF"/>
            </w:tcBorders>
          </w:tcPr>
          <w:p w14:paraId="5E59E04C" w14:textId="77777777" w:rsidR="001B6E41" w:rsidRDefault="00000000">
            <w:r>
              <w:t>IPC YoY</w:t>
            </w:r>
          </w:p>
        </w:tc>
        <w:tc>
          <w:tcPr>
            <w:tcW w:w="0" w:type="auto"/>
            <w:tcBorders>
              <w:top w:val="single" w:sz="4" w:space="0" w:color="BFBFBF"/>
              <w:left w:val="single" w:sz="4" w:space="0" w:color="BFBFBF"/>
              <w:bottom w:val="single" w:sz="4" w:space="0" w:color="BFBFBF"/>
              <w:right w:val="single" w:sz="4" w:space="0" w:color="BFBFBF"/>
            </w:tcBorders>
          </w:tcPr>
          <w:p w14:paraId="38FE9B0D" w14:textId="77777777" w:rsidR="001B6E41" w:rsidRDefault="00000000">
            <w:r>
              <w:t>-1,72</w:t>
            </w:r>
          </w:p>
        </w:tc>
        <w:tc>
          <w:tcPr>
            <w:tcW w:w="0" w:type="auto"/>
            <w:tcBorders>
              <w:top w:val="single" w:sz="4" w:space="0" w:color="BFBFBF"/>
              <w:left w:val="single" w:sz="4" w:space="0" w:color="BFBFBF"/>
              <w:bottom w:val="single" w:sz="4" w:space="0" w:color="BFBFBF"/>
              <w:right w:val="single" w:sz="4" w:space="0" w:color="BFBFBF"/>
            </w:tcBorders>
          </w:tcPr>
          <w:p w14:paraId="1A8F1A97" w14:textId="77777777" w:rsidR="001B6E41" w:rsidRDefault="00000000">
            <w:r>
              <w:t>0,4230</w:t>
            </w:r>
          </w:p>
        </w:tc>
        <w:tc>
          <w:tcPr>
            <w:tcW w:w="0" w:type="auto"/>
            <w:tcBorders>
              <w:top w:val="single" w:sz="4" w:space="0" w:color="BFBFBF"/>
              <w:left w:val="single" w:sz="4" w:space="0" w:color="BFBFBF"/>
              <w:bottom w:val="single" w:sz="4" w:space="0" w:color="BFBFBF"/>
              <w:right w:val="single" w:sz="4" w:space="0" w:color="BFBFBF"/>
            </w:tcBorders>
          </w:tcPr>
          <w:p w14:paraId="7EFBD6A9" w14:textId="77777777" w:rsidR="001B6E41" w:rsidRDefault="00000000">
            <w:r>
              <w:rPr>
                <w:b/>
                <w:bCs/>
              </w:rPr>
              <w:t>NO</w:t>
            </w:r>
          </w:p>
        </w:tc>
      </w:tr>
      <w:tr w:rsidR="001B6E41" w14:paraId="39631838" w14:textId="77777777">
        <w:tc>
          <w:tcPr>
            <w:tcW w:w="0" w:type="auto"/>
            <w:tcBorders>
              <w:top w:val="single" w:sz="4" w:space="0" w:color="BFBFBF"/>
              <w:left w:val="single" w:sz="4" w:space="0" w:color="BFBFBF"/>
              <w:bottom w:val="single" w:sz="4" w:space="0" w:color="BFBFBF"/>
              <w:right w:val="single" w:sz="4" w:space="0" w:color="BFBFBF"/>
            </w:tcBorders>
          </w:tcPr>
          <w:p w14:paraId="755132C6" w14:textId="77777777" w:rsidR="001B6E41" w:rsidRDefault="00000000">
            <w:r>
              <w:t>PIB YoY</w:t>
            </w:r>
          </w:p>
        </w:tc>
        <w:tc>
          <w:tcPr>
            <w:tcW w:w="0" w:type="auto"/>
            <w:tcBorders>
              <w:top w:val="single" w:sz="4" w:space="0" w:color="BFBFBF"/>
              <w:left w:val="single" w:sz="4" w:space="0" w:color="BFBFBF"/>
              <w:bottom w:val="single" w:sz="4" w:space="0" w:color="BFBFBF"/>
              <w:right w:val="single" w:sz="4" w:space="0" w:color="BFBFBF"/>
            </w:tcBorders>
          </w:tcPr>
          <w:p w14:paraId="4715CF77" w14:textId="77777777" w:rsidR="001B6E41" w:rsidRDefault="00000000">
            <w:r>
              <w:t>-4,48</w:t>
            </w:r>
          </w:p>
        </w:tc>
        <w:tc>
          <w:tcPr>
            <w:tcW w:w="0" w:type="auto"/>
            <w:tcBorders>
              <w:top w:val="single" w:sz="4" w:space="0" w:color="BFBFBF"/>
              <w:left w:val="single" w:sz="4" w:space="0" w:color="BFBFBF"/>
              <w:bottom w:val="single" w:sz="4" w:space="0" w:color="BFBFBF"/>
              <w:right w:val="single" w:sz="4" w:space="0" w:color="BFBFBF"/>
            </w:tcBorders>
          </w:tcPr>
          <w:p w14:paraId="2AC4D389" w14:textId="77777777" w:rsidR="001B6E41" w:rsidRDefault="00000000">
            <w:r>
              <w:t>0,0002</w:t>
            </w:r>
          </w:p>
        </w:tc>
        <w:tc>
          <w:tcPr>
            <w:tcW w:w="0" w:type="auto"/>
            <w:tcBorders>
              <w:top w:val="single" w:sz="4" w:space="0" w:color="BFBFBF"/>
              <w:left w:val="single" w:sz="4" w:space="0" w:color="BFBFBF"/>
              <w:bottom w:val="single" w:sz="4" w:space="0" w:color="BFBFBF"/>
              <w:right w:val="single" w:sz="4" w:space="0" w:color="BFBFBF"/>
            </w:tcBorders>
          </w:tcPr>
          <w:p w14:paraId="5BF3F74C" w14:textId="77777777" w:rsidR="001B6E41" w:rsidRDefault="00000000">
            <w:r>
              <w:rPr>
                <w:b/>
                <w:bCs/>
              </w:rPr>
              <w:t>SÍ</w:t>
            </w:r>
          </w:p>
        </w:tc>
      </w:tr>
    </w:tbl>
    <w:p w14:paraId="29A4EE9E" w14:textId="77777777" w:rsidR="001B6E41" w:rsidRPr="00F315D9" w:rsidRDefault="00000000">
      <w:pPr>
        <w:pStyle w:val="Textoindependiente"/>
        <w:rPr>
          <w:lang w:val="es-ES"/>
        </w:rPr>
      </w:pPr>
      <w:r w:rsidRPr="00F315D9">
        <w:rPr>
          <w:b/>
          <w:bCs/>
          <w:lang w:val="es-ES"/>
        </w:rPr>
        <w:t>Implicaciones para la modelización:</w:t>
      </w:r>
      <w:r w:rsidRPr="00F315D9">
        <w:rPr>
          <w:lang w:val="es-ES"/>
        </w:rPr>
        <w:t xml:space="preserve"> los precios no se utilizan como </w:t>
      </w:r>
      <w:proofErr w:type="spellStart"/>
      <w:r w:rsidRPr="00F315D9">
        <w:rPr>
          <w:lang w:val="es-ES"/>
        </w:rPr>
        <w:t>features</w:t>
      </w:r>
      <w:proofErr w:type="spellEnd"/>
      <w:r w:rsidRPr="00F315D9">
        <w:rPr>
          <w:lang w:val="es-ES"/>
        </w:rPr>
        <w:t xml:space="preserve"> (justifica la transformación a log-retornos). Los log-retornos y la volatilidad sí son estacionarios, validando su uso como input y </w:t>
      </w:r>
      <w:proofErr w:type="gramStart"/>
      <w:r w:rsidRPr="00F315D9">
        <w:rPr>
          <w:lang w:val="es-ES"/>
        </w:rPr>
        <w:t>target</w:t>
      </w:r>
      <w:proofErr w:type="gramEnd"/>
      <w:r w:rsidRPr="00F315D9">
        <w:rPr>
          <w:lang w:val="es-ES"/>
        </w:rPr>
        <w:t xml:space="preserve">. Las variables macro no estacionarias (bono, </w:t>
      </w:r>
      <w:proofErr w:type="spellStart"/>
      <w:r w:rsidRPr="00F315D9">
        <w:rPr>
          <w:lang w:val="es-ES"/>
        </w:rPr>
        <w:t>euribor</w:t>
      </w:r>
      <w:proofErr w:type="spellEnd"/>
      <w:r w:rsidRPr="00F315D9">
        <w:rPr>
          <w:lang w:val="es-ES"/>
        </w:rPr>
        <w:t>, IPC) se usan con precaución: el forward-</w:t>
      </w:r>
      <w:proofErr w:type="spellStart"/>
      <w:r w:rsidRPr="00F315D9">
        <w:rPr>
          <w:lang w:val="es-ES"/>
        </w:rPr>
        <w:t>fill</w:t>
      </w:r>
      <w:proofErr w:type="spellEnd"/>
      <w:r w:rsidRPr="00F315D9">
        <w:rPr>
          <w:lang w:val="es-ES"/>
        </w:rPr>
        <w:t xml:space="preserve"> las trata como niveles constantes entre publicaciones, lo cual es coherente con su papel de “información disponible”.</w:t>
      </w:r>
    </w:p>
    <w:p w14:paraId="3762E7CF" w14:textId="77777777" w:rsidR="001B6E41" w:rsidRPr="00F315D9" w:rsidRDefault="00000000">
      <w:pPr>
        <w:pStyle w:val="Ttulo3"/>
        <w:rPr>
          <w:lang w:val="es-ES"/>
        </w:rPr>
      </w:pPr>
      <w:bookmarkStart w:id="26" w:name="X9a5da002a48523966fa6b3a30bb706c662b3ba0"/>
      <w:bookmarkEnd w:id="25"/>
      <w:r w:rsidRPr="00F315D9">
        <w:rPr>
          <w:lang w:val="es-ES"/>
        </w:rPr>
        <w:t>6.3. Distribución de retornos y test de normalidad (Jarque-</w:t>
      </w:r>
      <w:proofErr w:type="spellStart"/>
      <w:r w:rsidRPr="00F315D9">
        <w:rPr>
          <w:lang w:val="es-ES"/>
        </w:rPr>
        <w:t>Bera</w:t>
      </w:r>
      <w:proofErr w:type="spellEnd"/>
      <w:r w:rsidRPr="00F315D9">
        <w:rPr>
          <w:lang w:val="es-ES"/>
        </w:rPr>
        <w:t>)</w:t>
      </w:r>
    </w:p>
    <w:p w14:paraId="6863C3D1" w14:textId="77777777" w:rsidR="001B6E41" w:rsidRDefault="00000000">
      <w:proofErr w:type="gramStart"/>
      <w:r w:rsidRPr="00F315D9">
        <w:rPr>
          <w:lang w:val="es-ES"/>
        </w:rPr>
        <w:t>El test</w:t>
      </w:r>
      <w:proofErr w:type="gramEnd"/>
      <w:r w:rsidRPr="00F315D9">
        <w:rPr>
          <w:lang w:val="es-ES"/>
        </w:rPr>
        <w:t xml:space="preserve"> de </w:t>
      </w:r>
      <w:r w:rsidRPr="00F315D9">
        <w:rPr>
          <w:b/>
          <w:bCs/>
          <w:lang w:val="es-ES"/>
        </w:rPr>
        <w:t>Jarque-</w:t>
      </w:r>
      <w:proofErr w:type="spellStart"/>
      <w:r w:rsidRPr="00F315D9">
        <w:rPr>
          <w:b/>
          <w:bCs/>
          <w:lang w:val="es-ES"/>
        </w:rPr>
        <w:t>Bera</w:t>
      </w:r>
      <w:proofErr w:type="spellEnd"/>
      <w:r w:rsidRPr="00F315D9">
        <w:rPr>
          <w:lang w:val="es-ES"/>
        </w:rPr>
        <w:t xml:space="preserve"> evalúa la normalidad de una serie midiendo simultáneamente su asimetría y su curtosis. </w:t>
      </w:r>
      <w:r>
        <w:t xml:space="preserve">Los </w:t>
      </w:r>
      <w:proofErr w:type="spellStart"/>
      <w:r>
        <w:t>resultados</w:t>
      </w:r>
      <w:proofErr w:type="spellEnd"/>
      <w:r>
        <w:t xml:space="preserve"> son </w:t>
      </w:r>
      <w:proofErr w:type="spellStart"/>
      <w:r>
        <w:t>contundentes</w:t>
      </w:r>
      <w:proofErr w:type="spellEnd"/>
      <w:r>
        <w:t>:</w:t>
      </w:r>
    </w:p>
    <w:tbl>
      <w:tblPr>
        <w:tblW w:w="0" w:type="auto"/>
        <w:tblLook w:val="0020" w:firstRow="1" w:lastRow="0" w:firstColumn="0" w:lastColumn="0" w:noHBand="0" w:noVBand="0"/>
      </w:tblPr>
      <w:tblGrid>
        <w:gridCol w:w="1417"/>
        <w:gridCol w:w="1108"/>
        <w:gridCol w:w="938"/>
        <w:gridCol w:w="1103"/>
        <w:gridCol w:w="953"/>
      </w:tblGrid>
      <w:tr w:rsidR="001B6E41" w14:paraId="79319666" w14:textId="77777777">
        <w:trPr>
          <w:tblHeader/>
        </w:trPr>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565C1E0A" w14:textId="77777777" w:rsidR="001B6E41" w:rsidRDefault="00000000">
            <w:r>
              <w:rPr>
                <w:b/>
                <w:color w:val="FFFFFF"/>
              </w:rPr>
              <w:t>Variable</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26F93BCD" w14:textId="77777777" w:rsidR="001B6E41" w:rsidRDefault="00000000">
            <w:r>
              <w:rPr>
                <w:b/>
                <w:color w:val="FFFFFF"/>
              </w:rPr>
              <w:t>JB</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4277FCF7" w14:textId="77777777" w:rsidR="001B6E41" w:rsidRDefault="00000000">
            <w:r>
              <w:rPr>
                <w:b/>
                <w:color w:val="FFFFFF"/>
              </w:rPr>
              <w:t>p-valor</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1030733D" w14:textId="77777777" w:rsidR="001B6E41" w:rsidRDefault="00000000">
            <w:r>
              <w:rPr>
                <w:b/>
                <w:color w:val="FFFFFF"/>
              </w:rPr>
              <w:t>¿Normal?</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2DC1A708" w14:textId="77777777" w:rsidR="001B6E41" w:rsidRDefault="00000000">
            <w:r>
              <w:rPr>
                <w:b/>
                <w:color w:val="FFFFFF"/>
              </w:rPr>
              <w:t>Curtosis</w:t>
            </w:r>
          </w:p>
        </w:tc>
      </w:tr>
      <w:tr w:rsidR="001B6E41" w14:paraId="280F4CBD" w14:textId="77777777">
        <w:tc>
          <w:tcPr>
            <w:tcW w:w="0" w:type="auto"/>
            <w:tcBorders>
              <w:top w:val="single" w:sz="4" w:space="0" w:color="BFBFBF"/>
              <w:left w:val="single" w:sz="4" w:space="0" w:color="BFBFBF"/>
              <w:bottom w:val="single" w:sz="4" w:space="0" w:color="BFBFBF"/>
              <w:right w:val="single" w:sz="4" w:space="0" w:color="BFBFBF"/>
            </w:tcBorders>
          </w:tcPr>
          <w:p w14:paraId="7E63C59B" w14:textId="77777777" w:rsidR="001B6E41" w:rsidRDefault="00000000">
            <w:r>
              <w:t>log_ret</w:t>
            </w:r>
          </w:p>
        </w:tc>
        <w:tc>
          <w:tcPr>
            <w:tcW w:w="0" w:type="auto"/>
            <w:tcBorders>
              <w:top w:val="single" w:sz="4" w:space="0" w:color="BFBFBF"/>
              <w:left w:val="single" w:sz="4" w:space="0" w:color="BFBFBF"/>
              <w:bottom w:val="single" w:sz="4" w:space="0" w:color="BFBFBF"/>
              <w:right w:val="single" w:sz="4" w:space="0" w:color="BFBFBF"/>
            </w:tcBorders>
          </w:tcPr>
          <w:p w14:paraId="54A0C391" w14:textId="77777777" w:rsidR="001B6E41" w:rsidRDefault="00000000">
            <w:r>
              <w:t>1.678.375</w:t>
            </w:r>
          </w:p>
        </w:tc>
        <w:tc>
          <w:tcPr>
            <w:tcW w:w="0" w:type="auto"/>
            <w:tcBorders>
              <w:top w:val="single" w:sz="4" w:space="0" w:color="BFBFBF"/>
              <w:left w:val="single" w:sz="4" w:space="0" w:color="BFBFBF"/>
              <w:bottom w:val="single" w:sz="4" w:space="0" w:color="BFBFBF"/>
              <w:right w:val="single" w:sz="4" w:space="0" w:color="BFBFBF"/>
            </w:tcBorders>
          </w:tcPr>
          <w:p w14:paraId="367B800C" w14:textId="77777777" w:rsidR="001B6E41" w:rsidRDefault="00000000">
            <w:r>
              <w:t>&lt;0,0001</w:t>
            </w:r>
          </w:p>
        </w:tc>
        <w:tc>
          <w:tcPr>
            <w:tcW w:w="0" w:type="auto"/>
            <w:tcBorders>
              <w:top w:val="single" w:sz="4" w:space="0" w:color="BFBFBF"/>
              <w:left w:val="single" w:sz="4" w:space="0" w:color="BFBFBF"/>
              <w:bottom w:val="single" w:sz="4" w:space="0" w:color="BFBFBF"/>
              <w:right w:val="single" w:sz="4" w:space="0" w:color="BFBFBF"/>
            </w:tcBorders>
          </w:tcPr>
          <w:p w14:paraId="3AEC1531" w14:textId="77777777" w:rsidR="001B6E41" w:rsidRDefault="00000000">
            <w:r>
              <w:rPr>
                <w:b/>
                <w:bCs/>
              </w:rPr>
              <w:t>NO</w:t>
            </w:r>
          </w:p>
        </w:tc>
        <w:tc>
          <w:tcPr>
            <w:tcW w:w="0" w:type="auto"/>
            <w:tcBorders>
              <w:top w:val="single" w:sz="4" w:space="0" w:color="BFBFBF"/>
              <w:left w:val="single" w:sz="4" w:space="0" w:color="BFBFBF"/>
              <w:bottom w:val="single" w:sz="4" w:space="0" w:color="BFBFBF"/>
              <w:right w:val="single" w:sz="4" w:space="0" w:color="BFBFBF"/>
            </w:tcBorders>
          </w:tcPr>
          <w:p w14:paraId="0DF5C18F" w14:textId="77777777" w:rsidR="001B6E41" w:rsidRDefault="00000000">
            <w:r>
              <w:t>19,00</w:t>
            </w:r>
          </w:p>
        </w:tc>
      </w:tr>
      <w:tr w:rsidR="001B6E41" w14:paraId="17250E65" w14:textId="77777777">
        <w:tc>
          <w:tcPr>
            <w:tcW w:w="0" w:type="auto"/>
            <w:tcBorders>
              <w:top w:val="single" w:sz="4" w:space="0" w:color="BFBFBF"/>
              <w:left w:val="single" w:sz="4" w:space="0" w:color="BFBFBF"/>
              <w:bottom w:val="single" w:sz="4" w:space="0" w:color="BFBFBF"/>
              <w:right w:val="single" w:sz="4" w:space="0" w:color="BFBFBF"/>
            </w:tcBorders>
          </w:tcPr>
          <w:p w14:paraId="6DFFB491" w14:textId="77777777" w:rsidR="001B6E41" w:rsidRDefault="00000000">
            <w:r>
              <w:t>vol_hist_21d</w:t>
            </w:r>
          </w:p>
        </w:tc>
        <w:tc>
          <w:tcPr>
            <w:tcW w:w="0" w:type="auto"/>
            <w:tcBorders>
              <w:top w:val="single" w:sz="4" w:space="0" w:color="BFBFBF"/>
              <w:left w:val="single" w:sz="4" w:space="0" w:color="BFBFBF"/>
              <w:bottom w:val="single" w:sz="4" w:space="0" w:color="BFBFBF"/>
              <w:right w:val="single" w:sz="4" w:space="0" w:color="BFBFBF"/>
            </w:tcBorders>
          </w:tcPr>
          <w:p w14:paraId="05BF0A94" w14:textId="77777777" w:rsidR="001B6E41" w:rsidRDefault="00000000">
            <w:r>
              <w:t>25.346</w:t>
            </w:r>
          </w:p>
        </w:tc>
        <w:tc>
          <w:tcPr>
            <w:tcW w:w="0" w:type="auto"/>
            <w:tcBorders>
              <w:top w:val="single" w:sz="4" w:space="0" w:color="BFBFBF"/>
              <w:left w:val="single" w:sz="4" w:space="0" w:color="BFBFBF"/>
              <w:bottom w:val="single" w:sz="4" w:space="0" w:color="BFBFBF"/>
              <w:right w:val="single" w:sz="4" w:space="0" w:color="BFBFBF"/>
            </w:tcBorders>
          </w:tcPr>
          <w:p w14:paraId="0D057276" w14:textId="77777777" w:rsidR="001B6E41" w:rsidRDefault="00000000">
            <w:r>
              <w:t>&lt;0,0001</w:t>
            </w:r>
          </w:p>
        </w:tc>
        <w:tc>
          <w:tcPr>
            <w:tcW w:w="0" w:type="auto"/>
            <w:tcBorders>
              <w:top w:val="single" w:sz="4" w:space="0" w:color="BFBFBF"/>
              <w:left w:val="single" w:sz="4" w:space="0" w:color="BFBFBF"/>
              <w:bottom w:val="single" w:sz="4" w:space="0" w:color="BFBFBF"/>
              <w:right w:val="single" w:sz="4" w:space="0" w:color="BFBFBF"/>
            </w:tcBorders>
          </w:tcPr>
          <w:p w14:paraId="2504D02B" w14:textId="77777777" w:rsidR="001B6E41" w:rsidRDefault="00000000">
            <w:r>
              <w:rPr>
                <w:b/>
                <w:bCs/>
              </w:rPr>
              <w:t>NO</w:t>
            </w:r>
          </w:p>
        </w:tc>
        <w:tc>
          <w:tcPr>
            <w:tcW w:w="0" w:type="auto"/>
            <w:tcBorders>
              <w:top w:val="single" w:sz="4" w:space="0" w:color="BFBFBF"/>
              <w:left w:val="single" w:sz="4" w:space="0" w:color="BFBFBF"/>
              <w:bottom w:val="single" w:sz="4" w:space="0" w:color="BFBFBF"/>
              <w:right w:val="single" w:sz="4" w:space="0" w:color="BFBFBF"/>
            </w:tcBorders>
          </w:tcPr>
          <w:p w14:paraId="44B2B70C" w14:textId="77777777" w:rsidR="001B6E41" w:rsidRDefault="00000000">
            <w:r>
              <w:t>12,53</w:t>
            </w:r>
          </w:p>
        </w:tc>
      </w:tr>
      <w:tr w:rsidR="001B6E41" w14:paraId="4F934F88" w14:textId="77777777">
        <w:tc>
          <w:tcPr>
            <w:tcW w:w="0" w:type="auto"/>
            <w:tcBorders>
              <w:top w:val="single" w:sz="4" w:space="0" w:color="BFBFBF"/>
              <w:left w:val="single" w:sz="4" w:space="0" w:color="BFBFBF"/>
              <w:bottom w:val="single" w:sz="4" w:space="0" w:color="BFBFBF"/>
              <w:right w:val="single" w:sz="4" w:space="0" w:color="BFBFBF"/>
            </w:tcBorders>
          </w:tcPr>
          <w:p w14:paraId="03A5F3AA" w14:textId="77777777" w:rsidR="001B6E41" w:rsidRDefault="00000000">
            <w:r>
              <w:t>vix</w:t>
            </w:r>
          </w:p>
        </w:tc>
        <w:tc>
          <w:tcPr>
            <w:tcW w:w="0" w:type="auto"/>
            <w:tcBorders>
              <w:top w:val="single" w:sz="4" w:space="0" w:color="BFBFBF"/>
              <w:left w:val="single" w:sz="4" w:space="0" w:color="BFBFBF"/>
              <w:bottom w:val="single" w:sz="4" w:space="0" w:color="BFBFBF"/>
              <w:right w:val="single" w:sz="4" w:space="0" w:color="BFBFBF"/>
            </w:tcBorders>
          </w:tcPr>
          <w:p w14:paraId="1081725D" w14:textId="77777777" w:rsidR="001B6E41" w:rsidRDefault="00000000">
            <w:r>
              <w:t>23.312</w:t>
            </w:r>
          </w:p>
        </w:tc>
        <w:tc>
          <w:tcPr>
            <w:tcW w:w="0" w:type="auto"/>
            <w:tcBorders>
              <w:top w:val="single" w:sz="4" w:space="0" w:color="BFBFBF"/>
              <w:left w:val="single" w:sz="4" w:space="0" w:color="BFBFBF"/>
              <w:bottom w:val="single" w:sz="4" w:space="0" w:color="BFBFBF"/>
              <w:right w:val="single" w:sz="4" w:space="0" w:color="BFBFBF"/>
            </w:tcBorders>
          </w:tcPr>
          <w:p w14:paraId="510D16B3" w14:textId="77777777" w:rsidR="001B6E41" w:rsidRDefault="00000000">
            <w:r>
              <w:t>&lt;0,0001</w:t>
            </w:r>
          </w:p>
        </w:tc>
        <w:tc>
          <w:tcPr>
            <w:tcW w:w="0" w:type="auto"/>
            <w:tcBorders>
              <w:top w:val="single" w:sz="4" w:space="0" w:color="BFBFBF"/>
              <w:left w:val="single" w:sz="4" w:space="0" w:color="BFBFBF"/>
              <w:bottom w:val="single" w:sz="4" w:space="0" w:color="BFBFBF"/>
              <w:right w:val="single" w:sz="4" w:space="0" w:color="BFBFBF"/>
            </w:tcBorders>
          </w:tcPr>
          <w:p w14:paraId="7E2CC4B7" w14:textId="77777777" w:rsidR="001B6E41" w:rsidRDefault="00000000">
            <w:r>
              <w:rPr>
                <w:b/>
                <w:bCs/>
              </w:rPr>
              <w:t>NO</w:t>
            </w:r>
          </w:p>
        </w:tc>
        <w:tc>
          <w:tcPr>
            <w:tcW w:w="0" w:type="auto"/>
            <w:tcBorders>
              <w:top w:val="single" w:sz="4" w:space="0" w:color="BFBFBF"/>
              <w:left w:val="single" w:sz="4" w:space="0" w:color="BFBFBF"/>
              <w:bottom w:val="single" w:sz="4" w:space="0" w:color="BFBFBF"/>
              <w:right w:val="single" w:sz="4" w:space="0" w:color="BFBFBF"/>
            </w:tcBorders>
          </w:tcPr>
          <w:p w14:paraId="16838BB5" w14:textId="77777777" w:rsidR="001B6E41" w:rsidRDefault="00000000">
            <w:r>
              <w:t>12,31</w:t>
            </w:r>
          </w:p>
        </w:tc>
      </w:tr>
      <w:tr w:rsidR="001B6E41" w14:paraId="11C1FA73" w14:textId="77777777">
        <w:tc>
          <w:tcPr>
            <w:tcW w:w="0" w:type="auto"/>
            <w:tcBorders>
              <w:top w:val="single" w:sz="4" w:space="0" w:color="BFBFBF"/>
              <w:left w:val="single" w:sz="4" w:space="0" w:color="BFBFBF"/>
              <w:bottom w:val="single" w:sz="4" w:space="0" w:color="BFBFBF"/>
              <w:right w:val="single" w:sz="4" w:space="0" w:color="BFBFBF"/>
            </w:tcBorders>
          </w:tcPr>
          <w:p w14:paraId="615EF7C2" w14:textId="77777777" w:rsidR="001B6E41" w:rsidRDefault="00000000">
            <w:r>
              <w:t>bono_es_10y</w:t>
            </w:r>
          </w:p>
        </w:tc>
        <w:tc>
          <w:tcPr>
            <w:tcW w:w="0" w:type="auto"/>
            <w:tcBorders>
              <w:top w:val="single" w:sz="4" w:space="0" w:color="BFBFBF"/>
              <w:left w:val="single" w:sz="4" w:space="0" w:color="BFBFBF"/>
              <w:bottom w:val="single" w:sz="4" w:space="0" w:color="BFBFBF"/>
              <w:right w:val="single" w:sz="4" w:space="0" w:color="BFBFBF"/>
            </w:tcBorders>
          </w:tcPr>
          <w:p w14:paraId="1353C823" w14:textId="77777777" w:rsidR="001B6E41" w:rsidRDefault="00000000">
            <w:r>
              <w:t>199</w:t>
            </w:r>
          </w:p>
        </w:tc>
        <w:tc>
          <w:tcPr>
            <w:tcW w:w="0" w:type="auto"/>
            <w:tcBorders>
              <w:top w:val="single" w:sz="4" w:space="0" w:color="BFBFBF"/>
              <w:left w:val="single" w:sz="4" w:space="0" w:color="BFBFBF"/>
              <w:bottom w:val="single" w:sz="4" w:space="0" w:color="BFBFBF"/>
              <w:right w:val="single" w:sz="4" w:space="0" w:color="BFBFBF"/>
            </w:tcBorders>
          </w:tcPr>
          <w:p w14:paraId="1031A775" w14:textId="77777777" w:rsidR="001B6E41" w:rsidRDefault="00000000">
            <w:r>
              <w:t>&lt;0,0001</w:t>
            </w:r>
          </w:p>
        </w:tc>
        <w:tc>
          <w:tcPr>
            <w:tcW w:w="0" w:type="auto"/>
            <w:tcBorders>
              <w:top w:val="single" w:sz="4" w:space="0" w:color="BFBFBF"/>
              <w:left w:val="single" w:sz="4" w:space="0" w:color="BFBFBF"/>
              <w:bottom w:val="single" w:sz="4" w:space="0" w:color="BFBFBF"/>
              <w:right w:val="single" w:sz="4" w:space="0" w:color="BFBFBF"/>
            </w:tcBorders>
          </w:tcPr>
          <w:p w14:paraId="5BF1E495" w14:textId="77777777" w:rsidR="001B6E41" w:rsidRDefault="00000000">
            <w:r>
              <w:rPr>
                <w:b/>
                <w:bCs/>
              </w:rPr>
              <w:t>NO</w:t>
            </w:r>
          </w:p>
        </w:tc>
        <w:tc>
          <w:tcPr>
            <w:tcW w:w="0" w:type="auto"/>
            <w:tcBorders>
              <w:top w:val="single" w:sz="4" w:space="0" w:color="BFBFBF"/>
              <w:left w:val="single" w:sz="4" w:space="0" w:color="BFBFBF"/>
              <w:bottom w:val="single" w:sz="4" w:space="0" w:color="BFBFBF"/>
              <w:right w:val="single" w:sz="4" w:space="0" w:color="BFBFBF"/>
            </w:tcBorders>
          </w:tcPr>
          <w:p w14:paraId="69DB00FE" w14:textId="77777777" w:rsidR="001B6E41" w:rsidRDefault="00000000">
            <w:r>
              <w:t>2,04</w:t>
            </w:r>
          </w:p>
        </w:tc>
      </w:tr>
      <w:tr w:rsidR="001B6E41" w14:paraId="02B716C1" w14:textId="77777777">
        <w:tc>
          <w:tcPr>
            <w:tcW w:w="0" w:type="auto"/>
            <w:tcBorders>
              <w:top w:val="single" w:sz="4" w:space="0" w:color="BFBFBF"/>
              <w:left w:val="single" w:sz="4" w:space="0" w:color="BFBFBF"/>
              <w:bottom w:val="single" w:sz="4" w:space="0" w:color="BFBFBF"/>
              <w:right w:val="single" w:sz="4" w:space="0" w:color="BFBFBF"/>
            </w:tcBorders>
          </w:tcPr>
          <w:p w14:paraId="59B1D003" w14:textId="77777777" w:rsidR="001B6E41" w:rsidRDefault="00000000">
            <w:r>
              <w:t>euribor_3m</w:t>
            </w:r>
          </w:p>
        </w:tc>
        <w:tc>
          <w:tcPr>
            <w:tcW w:w="0" w:type="auto"/>
            <w:tcBorders>
              <w:top w:val="single" w:sz="4" w:space="0" w:color="BFBFBF"/>
              <w:left w:val="single" w:sz="4" w:space="0" w:color="BFBFBF"/>
              <w:bottom w:val="single" w:sz="4" w:space="0" w:color="BFBFBF"/>
              <w:right w:val="single" w:sz="4" w:space="0" w:color="BFBFBF"/>
            </w:tcBorders>
          </w:tcPr>
          <w:p w14:paraId="1585F2D0" w14:textId="77777777" w:rsidR="001B6E41" w:rsidRDefault="00000000">
            <w:r>
              <w:t>638</w:t>
            </w:r>
          </w:p>
        </w:tc>
        <w:tc>
          <w:tcPr>
            <w:tcW w:w="0" w:type="auto"/>
            <w:tcBorders>
              <w:top w:val="single" w:sz="4" w:space="0" w:color="BFBFBF"/>
              <w:left w:val="single" w:sz="4" w:space="0" w:color="BFBFBF"/>
              <w:bottom w:val="single" w:sz="4" w:space="0" w:color="BFBFBF"/>
              <w:right w:val="single" w:sz="4" w:space="0" w:color="BFBFBF"/>
            </w:tcBorders>
          </w:tcPr>
          <w:p w14:paraId="4EC0C25E" w14:textId="77777777" w:rsidR="001B6E41" w:rsidRDefault="00000000">
            <w:r>
              <w:t>&lt;0,0001</w:t>
            </w:r>
          </w:p>
        </w:tc>
        <w:tc>
          <w:tcPr>
            <w:tcW w:w="0" w:type="auto"/>
            <w:tcBorders>
              <w:top w:val="single" w:sz="4" w:space="0" w:color="BFBFBF"/>
              <w:left w:val="single" w:sz="4" w:space="0" w:color="BFBFBF"/>
              <w:bottom w:val="single" w:sz="4" w:space="0" w:color="BFBFBF"/>
              <w:right w:val="single" w:sz="4" w:space="0" w:color="BFBFBF"/>
            </w:tcBorders>
          </w:tcPr>
          <w:p w14:paraId="53ED81D0" w14:textId="77777777" w:rsidR="001B6E41" w:rsidRDefault="00000000">
            <w:r>
              <w:rPr>
                <w:b/>
                <w:bCs/>
              </w:rPr>
              <w:t>NO</w:t>
            </w:r>
          </w:p>
        </w:tc>
        <w:tc>
          <w:tcPr>
            <w:tcW w:w="0" w:type="auto"/>
            <w:tcBorders>
              <w:top w:val="single" w:sz="4" w:space="0" w:color="BFBFBF"/>
              <w:left w:val="single" w:sz="4" w:space="0" w:color="BFBFBF"/>
              <w:bottom w:val="single" w:sz="4" w:space="0" w:color="BFBFBF"/>
              <w:right w:val="single" w:sz="4" w:space="0" w:color="BFBFBF"/>
            </w:tcBorders>
          </w:tcPr>
          <w:p w14:paraId="5999F775" w14:textId="77777777" w:rsidR="001B6E41" w:rsidRDefault="00000000">
            <w:r>
              <w:t>2,25</w:t>
            </w:r>
          </w:p>
        </w:tc>
      </w:tr>
      <w:tr w:rsidR="001B6E41" w14:paraId="3BA6867F" w14:textId="77777777">
        <w:tc>
          <w:tcPr>
            <w:tcW w:w="0" w:type="auto"/>
            <w:tcBorders>
              <w:top w:val="single" w:sz="4" w:space="0" w:color="BFBFBF"/>
              <w:left w:val="single" w:sz="4" w:space="0" w:color="BFBFBF"/>
              <w:bottom w:val="single" w:sz="4" w:space="0" w:color="BFBFBF"/>
              <w:right w:val="single" w:sz="4" w:space="0" w:color="BFBFBF"/>
            </w:tcBorders>
          </w:tcPr>
          <w:p w14:paraId="44F09605" w14:textId="77777777" w:rsidR="001B6E41" w:rsidRDefault="00000000">
            <w:r>
              <w:t>brent</w:t>
            </w:r>
          </w:p>
        </w:tc>
        <w:tc>
          <w:tcPr>
            <w:tcW w:w="0" w:type="auto"/>
            <w:tcBorders>
              <w:top w:val="single" w:sz="4" w:space="0" w:color="BFBFBF"/>
              <w:left w:val="single" w:sz="4" w:space="0" w:color="BFBFBF"/>
              <w:bottom w:val="single" w:sz="4" w:space="0" w:color="BFBFBF"/>
              <w:right w:val="single" w:sz="4" w:space="0" w:color="BFBFBF"/>
            </w:tcBorders>
          </w:tcPr>
          <w:p w14:paraId="5CB82897" w14:textId="77777777" w:rsidR="001B6E41" w:rsidRDefault="00000000">
            <w:r>
              <w:t>158</w:t>
            </w:r>
          </w:p>
        </w:tc>
        <w:tc>
          <w:tcPr>
            <w:tcW w:w="0" w:type="auto"/>
            <w:tcBorders>
              <w:top w:val="single" w:sz="4" w:space="0" w:color="BFBFBF"/>
              <w:left w:val="single" w:sz="4" w:space="0" w:color="BFBFBF"/>
              <w:bottom w:val="single" w:sz="4" w:space="0" w:color="BFBFBF"/>
              <w:right w:val="single" w:sz="4" w:space="0" w:color="BFBFBF"/>
            </w:tcBorders>
          </w:tcPr>
          <w:p w14:paraId="1FFA137B" w14:textId="77777777" w:rsidR="001B6E41" w:rsidRDefault="00000000">
            <w:r>
              <w:t>&lt;0,0001</w:t>
            </w:r>
          </w:p>
        </w:tc>
        <w:tc>
          <w:tcPr>
            <w:tcW w:w="0" w:type="auto"/>
            <w:tcBorders>
              <w:top w:val="single" w:sz="4" w:space="0" w:color="BFBFBF"/>
              <w:left w:val="single" w:sz="4" w:space="0" w:color="BFBFBF"/>
              <w:bottom w:val="single" w:sz="4" w:space="0" w:color="BFBFBF"/>
              <w:right w:val="single" w:sz="4" w:space="0" w:color="BFBFBF"/>
            </w:tcBorders>
          </w:tcPr>
          <w:p w14:paraId="57CA1B5E" w14:textId="77777777" w:rsidR="001B6E41" w:rsidRDefault="00000000">
            <w:r>
              <w:rPr>
                <w:b/>
                <w:bCs/>
              </w:rPr>
              <w:t>NO</w:t>
            </w:r>
          </w:p>
        </w:tc>
        <w:tc>
          <w:tcPr>
            <w:tcW w:w="0" w:type="auto"/>
            <w:tcBorders>
              <w:top w:val="single" w:sz="4" w:space="0" w:color="BFBFBF"/>
              <w:left w:val="single" w:sz="4" w:space="0" w:color="BFBFBF"/>
              <w:bottom w:val="single" w:sz="4" w:space="0" w:color="BFBFBF"/>
              <w:right w:val="single" w:sz="4" w:space="0" w:color="BFBFBF"/>
            </w:tcBorders>
          </w:tcPr>
          <w:p w14:paraId="7F88BC23" w14:textId="77777777" w:rsidR="001B6E41" w:rsidRDefault="00000000">
            <w:r>
              <w:t>2,29</w:t>
            </w:r>
          </w:p>
        </w:tc>
      </w:tr>
    </w:tbl>
    <w:p w14:paraId="7E8292AB" w14:textId="77777777" w:rsidR="001B6E41" w:rsidRDefault="00000000">
      <w:pPr>
        <w:pStyle w:val="Textoindependiente"/>
      </w:pPr>
      <w:r w:rsidRPr="00F315D9">
        <w:rPr>
          <w:b/>
          <w:bCs/>
          <w:lang w:val="es-ES"/>
        </w:rPr>
        <w:t>Ninguna variable financiera sigue una distribución normal</w:t>
      </w:r>
      <w:r w:rsidRPr="00F315D9">
        <w:rPr>
          <w:lang w:val="es-ES"/>
        </w:rPr>
        <w:t xml:space="preserve">. El rechazo es universal y con estadísticos de magnitud enorme (1,67 millones para los log-retornos). </w:t>
      </w:r>
      <w:r>
        <w:t xml:space="preserve">Esta </w:t>
      </w:r>
      <w:proofErr w:type="spellStart"/>
      <w:r>
        <w:t>evidencia</w:t>
      </w:r>
      <w:proofErr w:type="spellEnd"/>
      <w:r>
        <w:t xml:space="preserve"> </w:t>
      </w:r>
      <w:proofErr w:type="spellStart"/>
      <w:r>
        <w:t>justifica</w:t>
      </w:r>
      <w:proofErr w:type="spellEnd"/>
      <w:r>
        <w:t xml:space="preserve"> dos decisiones de diseño:</w:t>
      </w:r>
    </w:p>
    <w:p w14:paraId="7241B6D5" w14:textId="77777777" w:rsidR="001B6E41" w:rsidRPr="00F315D9" w:rsidRDefault="00000000">
      <w:pPr>
        <w:numPr>
          <w:ilvl w:val="0"/>
          <w:numId w:val="17"/>
        </w:numPr>
        <w:rPr>
          <w:lang w:val="es-ES"/>
        </w:rPr>
      </w:pPr>
      <w:r w:rsidRPr="00F315D9">
        <w:rPr>
          <w:lang w:val="es-ES"/>
        </w:rPr>
        <w:t xml:space="preserve">Utilizar la distribución </w:t>
      </w:r>
      <w:r w:rsidRPr="00F315D9">
        <w:rPr>
          <w:b/>
          <w:bCs/>
          <w:lang w:val="es-ES"/>
        </w:rPr>
        <w:t>t-</w:t>
      </w:r>
      <w:proofErr w:type="spellStart"/>
      <w:r w:rsidRPr="00F315D9">
        <w:rPr>
          <w:b/>
          <w:bCs/>
          <w:lang w:val="es-ES"/>
        </w:rPr>
        <w:t>Student</w:t>
      </w:r>
      <w:proofErr w:type="spellEnd"/>
      <w:r w:rsidRPr="00F315D9">
        <w:rPr>
          <w:lang w:val="es-ES"/>
        </w:rPr>
        <w:t xml:space="preserve"> (en lugar de normal) para las innovaciones del modelo GARCH (</w:t>
      </w:r>
      <w:proofErr w:type="spellStart"/>
      <w:r w:rsidRPr="00F315D9">
        <w:rPr>
          <w:lang w:val="es-ES"/>
        </w:rPr>
        <w:t>Bollerslev</w:t>
      </w:r>
      <w:proofErr w:type="spellEnd"/>
      <w:r w:rsidRPr="00F315D9">
        <w:rPr>
          <w:lang w:val="es-ES"/>
        </w:rPr>
        <w:t>, 1986), capaz de modelar colas pesadas.</w:t>
      </w:r>
    </w:p>
    <w:p w14:paraId="5E100E3A" w14:textId="77777777" w:rsidR="001B6E41" w:rsidRPr="00F315D9" w:rsidRDefault="00000000">
      <w:pPr>
        <w:numPr>
          <w:ilvl w:val="0"/>
          <w:numId w:val="17"/>
        </w:numPr>
        <w:rPr>
          <w:lang w:val="es-ES"/>
        </w:rPr>
      </w:pPr>
      <w:r w:rsidRPr="00F315D9">
        <w:rPr>
          <w:lang w:val="es-ES"/>
        </w:rPr>
        <w:t>Interpretar los intervalos de confianza del modelo OLS con cautela, aunque la estimación puntual por MCO sigue siendo consistente por el teorema de Gauss-</w:t>
      </w:r>
      <w:proofErr w:type="spellStart"/>
      <w:r w:rsidRPr="00F315D9">
        <w:rPr>
          <w:lang w:val="es-ES"/>
        </w:rPr>
        <w:t>Markov</w:t>
      </w:r>
      <w:proofErr w:type="spellEnd"/>
      <w:r w:rsidRPr="00F315D9">
        <w:rPr>
          <w:lang w:val="es-ES"/>
        </w:rPr>
        <w:t xml:space="preserve"> (que no requiere normalidad).</w:t>
      </w:r>
    </w:p>
    <w:p w14:paraId="28FEA2DC" w14:textId="77777777" w:rsidR="001B6E41" w:rsidRPr="00F315D9" w:rsidRDefault="00000000">
      <w:pPr>
        <w:rPr>
          <w:lang w:val="es-ES"/>
        </w:rPr>
      </w:pPr>
      <w:r w:rsidRPr="00F315D9">
        <w:rPr>
          <w:lang w:val="es-ES"/>
        </w:rPr>
        <w:t xml:space="preserve">La </w:t>
      </w:r>
      <w:r w:rsidRPr="00F315D9">
        <w:rPr>
          <w:i/>
          <w:iCs/>
          <w:lang w:val="es-ES"/>
        </w:rPr>
        <w:t>Figura 5</w:t>
      </w:r>
      <w:r w:rsidRPr="00F315D9">
        <w:rPr>
          <w:lang w:val="es-ES"/>
        </w:rPr>
        <w:t xml:space="preserve"> ilustra la distribución de los log-retornos frente a la normal teórica, y la </w:t>
      </w:r>
      <w:r w:rsidRPr="00F315D9">
        <w:rPr>
          <w:i/>
          <w:iCs/>
          <w:lang w:val="es-ES"/>
        </w:rPr>
        <w:t>Figura 6</w:t>
      </w:r>
      <w:r w:rsidRPr="00F315D9">
        <w:rPr>
          <w:lang w:val="es-ES"/>
        </w:rPr>
        <w:t xml:space="preserve"> muestra los QQ-</w:t>
      </w:r>
      <w:proofErr w:type="spellStart"/>
      <w:r w:rsidRPr="00F315D9">
        <w:rPr>
          <w:lang w:val="es-ES"/>
        </w:rPr>
        <w:t>plots</w:t>
      </w:r>
      <w:proofErr w:type="spellEnd"/>
      <w:r w:rsidRPr="00F315D9">
        <w:rPr>
          <w:lang w:val="es-ES"/>
        </w:rPr>
        <w:t xml:space="preserve"> que confirman visualmente la desviación en las colas.</w:t>
      </w:r>
    </w:p>
    <w:p w14:paraId="4BBA98F4" w14:textId="77777777" w:rsidR="001B6E41" w:rsidRDefault="00000000">
      <w:r>
        <w:rPr>
          <w:noProof/>
        </w:rPr>
        <w:lastRenderedPageBreak/>
        <w:drawing>
          <wp:inline distT="0" distB="0" distL="0" distR="0" wp14:anchorId="4840C964" wp14:editId="787ADCF6">
            <wp:extent cx="4937760" cy="1755450"/>
            <wp:effectExtent l="0" t="0" r="0" b="0"/>
            <wp:docPr id="82" name="Picture" descr="Figura 5. Distribución de los log-retornos del panel completo (157.420 obs.) con curva normal teórica superpuesta y QQ-plot contra la distribución normal. La desviación clara en ambas colas confirma la no normalidad y las colas pesadas."/>
            <wp:cNvGraphicFramePr/>
            <a:graphic xmlns:a="http://schemas.openxmlformats.org/drawingml/2006/main">
              <a:graphicData uri="http://schemas.openxmlformats.org/drawingml/2006/picture">
                <pic:pic xmlns:pic="http://schemas.openxmlformats.org/drawingml/2006/picture">
                  <pic:nvPicPr>
                    <pic:cNvPr id="83" name="Picture" descr="figuras/04_distribucion_logreturns.png"/>
                    <pic:cNvPicPr>
                      <a:picLocks noChangeAspect="1" noChangeArrowheads="1"/>
                    </pic:cNvPicPr>
                  </pic:nvPicPr>
                  <pic:blipFill>
                    <a:blip r:embed="rId9"/>
                    <a:stretch>
                      <a:fillRect/>
                    </a:stretch>
                  </pic:blipFill>
                  <pic:spPr bwMode="auto">
                    <a:xfrm>
                      <a:off x="0" y="0"/>
                      <a:ext cx="4937760" cy="1755450"/>
                    </a:xfrm>
                    <a:prstGeom prst="rect">
                      <a:avLst/>
                    </a:prstGeom>
                    <a:noFill/>
                    <a:ln w="9525">
                      <a:noFill/>
                      <a:headEnd/>
                      <a:tailEnd/>
                    </a:ln>
                  </pic:spPr>
                </pic:pic>
              </a:graphicData>
            </a:graphic>
          </wp:inline>
        </w:drawing>
      </w:r>
    </w:p>
    <w:p w14:paraId="508AA9F9" w14:textId="77777777" w:rsidR="001B6E41" w:rsidRPr="00F315D9" w:rsidRDefault="00000000">
      <w:pPr>
        <w:rPr>
          <w:lang w:val="es-ES"/>
        </w:rPr>
      </w:pPr>
      <w:r w:rsidRPr="00F315D9">
        <w:rPr>
          <w:b/>
          <w:bCs/>
          <w:lang w:val="es-ES"/>
        </w:rPr>
        <w:t>Figura 5.</w:t>
      </w:r>
      <w:r w:rsidRPr="00F315D9">
        <w:rPr>
          <w:lang w:val="es-ES"/>
        </w:rPr>
        <w:t xml:space="preserve"> Distribución de los log-retornos del panel completo (157.420 </w:t>
      </w:r>
      <w:proofErr w:type="spellStart"/>
      <w:r w:rsidRPr="00F315D9">
        <w:rPr>
          <w:lang w:val="es-ES"/>
        </w:rPr>
        <w:t>obs</w:t>
      </w:r>
      <w:proofErr w:type="spellEnd"/>
      <w:r w:rsidRPr="00F315D9">
        <w:rPr>
          <w:lang w:val="es-ES"/>
        </w:rPr>
        <w:t>.) con curva normal teórica superpuesta y QQ-</w:t>
      </w:r>
      <w:proofErr w:type="spellStart"/>
      <w:r w:rsidRPr="00F315D9">
        <w:rPr>
          <w:lang w:val="es-ES"/>
        </w:rPr>
        <w:t>plot</w:t>
      </w:r>
      <w:proofErr w:type="spellEnd"/>
      <w:r w:rsidRPr="00F315D9">
        <w:rPr>
          <w:lang w:val="es-ES"/>
        </w:rPr>
        <w:t xml:space="preserve"> contra la distribución normal. La desviación clara en ambas colas confirma la no normalidad y las colas pesadas.</w:t>
      </w:r>
    </w:p>
    <w:p w14:paraId="72A78D6C" w14:textId="77777777" w:rsidR="001B6E41" w:rsidRDefault="00000000">
      <w:r>
        <w:rPr>
          <w:noProof/>
        </w:rPr>
        <w:drawing>
          <wp:inline distT="0" distB="0" distL="0" distR="0" wp14:anchorId="1C7BCF31" wp14:editId="54C84E03">
            <wp:extent cx="4937760" cy="3770305"/>
            <wp:effectExtent l="0" t="0" r="0" b="0"/>
            <wp:docPr id="85" name="Picture" descr="Figura 6. QQ-plots de las 6 series principales contra la distribución normal con resultados del test Jarque-Bera. Todas las series rechazan la normalidad con p-valor &lt; 0,0001."/>
            <wp:cNvGraphicFramePr/>
            <a:graphic xmlns:a="http://schemas.openxmlformats.org/drawingml/2006/main">
              <a:graphicData uri="http://schemas.openxmlformats.org/drawingml/2006/picture">
                <pic:pic xmlns:pic="http://schemas.openxmlformats.org/drawingml/2006/picture">
                  <pic:nvPicPr>
                    <pic:cNvPr id="86" name="Picture" descr="figuras/12_jarque_bera_qqplots.png"/>
                    <pic:cNvPicPr>
                      <a:picLocks noChangeAspect="1" noChangeArrowheads="1"/>
                    </pic:cNvPicPr>
                  </pic:nvPicPr>
                  <pic:blipFill>
                    <a:blip r:embed="rId10"/>
                    <a:stretch>
                      <a:fillRect/>
                    </a:stretch>
                  </pic:blipFill>
                  <pic:spPr bwMode="auto">
                    <a:xfrm>
                      <a:off x="0" y="0"/>
                      <a:ext cx="4937760" cy="3770305"/>
                    </a:xfrm>
                    <a:prstGeom prst="rect">
                      <a:avLst/>
                    </a:prstGeom>
                    <a:noFill/>
                    <a:ln w="9525">
                      <a:noFill/>
                      <a:headEnd/>
                      <a:tailEnd/>
                    </a:ln>
                  </pic:spPr>
                </pic:pic>
              </a:graphicData>
            </a:graphic>
          </wp:inline>
        </w:drawing>
      </w:r>
    </w:p>
    <w:p w14:paraId="20E94B84" w14:textId="77777777" w:rsidR="001B6E41" w:rsidRPr="00F315D9" w:rsidRDefault="00000000">
      <w:pPr>
        <w:rPr>
          <w:lang w:val="es-ES"/>
        </w:rPr>
      </w:pPr>
      <w:r w:rsidRPr="00F315D9">
        <w:rPr>
          <w:b/>
          <w:bCs/>
          <w:lang w:val="es-ES"/>
        </w:rPr>
        <w:t>Figura 6.</w:t>
      </w:r>
      <w:r w:rsidRPr="00F315D9">
        <w:rPr>
          <w:lang w:val="es-ES"/>
        </w:rPr>
        <w:t xml:space="preserve"> QQ-</w:t>
      </w:r>
      <w:proofErr w:type="spellStart"/>
      <w:r w:rsidRPr="00F315D9">
        <w:rPr>
          <w:lang w:val="es-ES"/>
        </w:rPr>
        <w:t>plots</w:t>
      </w:r>
      <w:proofErr w:type="spellEnd"/>
      <w:r w:rsidRPr="00F315D9">
        <w:rPr>
          <w:lang w:val="es-ES"/>
        </w:rPr>
        <w:t xml:space="preserve"> de las 6 series principales contra la distribución normal con resultados </w:t>
      </w:r>
      <w:proofErr w:type="gramStart"/>
      <w:r w:rsidRPr="00F315D9">
        <w:rPr>
          <w:lang w:val="es-ES"/>
        </w:rPr>
        <w:t>del test</w:t>
      </w:r>
      <w:proofErr w:type="gramEnd"/>
      <w:r w:rsidRPr="00F315D9">
        <w:rPr>
          <w:lang w:val="es-ES"/>
        </w:rPr>
        <w:t xml:space="preserve"> Jarque-</w:t>
      </w:r>
      <w:proofErr w:type="spellStart"/>
      <w:r w:rsidRPr="00F315D9">
        <w:rPr>
          <w:lang w:val="es-ES"/>
        </w:rPr>
        <w:t>Bera</w:t>
      </w:r>
      <w:proofErr w:type="spellEnd"/>
      <w:r w:rsidRPr="00F315D9">
        <w:rPr>
          <w:lang w:val="es-ES"/>
        </w:rPr>
        <w:t>. Todas las series rechazan la normalidad con p-valor &lt; 0,0001.</w:t>
      </w:r>
    </w:p>
    <w:p w14:paraId="3102D45B" w14:textId="77777777" w:rsidR="001B6E41" w:rsidRPr="00F315D9" w:rsidRDefault="00000000">
      <w:pPr>
        <w:pStyle w:val="Ttulo3"/>
        <w:rPr>
          <w:lang w:val="es-ES"/>
        </w:rPr>
      </w:pPr>
      <w:bookmarkStart w:id="27" w:name="memoria-larga-de-la-volatilidad-acfpacf"/>
      <w:bookmarkEnd w:id="26"/>
      <w:r w:rsidRPr="00F315D9">
        <w:rPr>
          <w:lang w:val="es-ES"/>
        </w:rPr>
        <w:t>6.4. Memoria larga de la volatilidad (ACF/PACF)</w:t>
      </w:r>
    </w:p>
    <w:p w14:paraId="549972E3" w14:textId="77777777" w:rsidR="001B6E41" w:rsidRPr="00F315D9" w:rsidRDefault="00000000">
      <w:pPr>
        <w:rPr>
          <w:lang w:val="es-ES"/>
        </w:rPr>
      </w:pPr>
      <w:r w:rsidRPr="00F315D9">
        <w:rPr>
          <w:lang w:val="es-ES"/>
        </w:rPr>
        <w:t xml:space="preserve">Las funciones ACF y PACF de la volatilidad media del IBEX 35 (60 retardos) revelan una </w:t>
      </w:r>
      <w:r w:rsidRPr="00F315D9">
        <w:rPr>
          <w:b/>
          <w:bCs/>
          <w:lang w:val="es-ES"/>
        </w:rPr>
        <w:t>persistencia extraordinaria</w:t>
      </w:r>
      <w:r w:rsidRPr="00F315D9">
        <w:rPr>
          <w:lang w:val="es-ES"/>
        </w:rPr>
        <w:t xml:space="preserve">: los coeficientes de la ACF son significativamente positivos en todos los </w:t>
      </w:r>
      <w:proofErr w:type="spellStart"/>
      <w:r w:rsidRPr="00F315D9">
        <w:rPr>
          <w:lang w:val="es-ES"/>
        </w:rPr>
        <w:t>lags</w:t>
      </w:r>
      <w:proofErr w:type="spellEnd"/>
      <w:r w:rsidRPr="00F315D9">
        <w:rPr>
          <w:lang w:val="es-ES"/>
        </w:rPr>
        <w:t xml:space="preserve"> hasta 60. La PACF muestra picos en los </w:t>
      </w:r>
      <w:proofErr w:type="spellStart"/>
      <w:r w:rsidRPr="00F315D9">
        <w:rPr>
          <w:lang w:val="es-ES"/>
        </w:rPr>
        <w:t>lags</w:t>
      </w:r>
      <w:proofErr w:type="spellEnd"/>
      <w:r w:rsidRPr="00F315D9">
        <w:rPr>
          <w:lang w:val="es-ES"/>
        </w:rPr>
        <w:t xml:space="preserve"> 1, 5 y 21, correspondientes a las escalas diaria, semanal y mensual.</w:t>
      </w:r>
    </w:p>
    <w:p w14:paraId="1DD9416A" w14:textId="77777777" w:rsidR="001B6E41" w:rsidRPr="00F315D9" w:rsidRDefault="00000000">
      <w:pPr>
        <w:rPr>
          <w:lang w:val="es-ES"/>
        </w:rPr>
      </w:pPr>
      <w:r w:rsidRPr="00F315D9">
        <w:rPr>
          <w:b/>
          <w:bCs/>
          <w:lang w:val="es-ES"/>
        </w:rPr>
        <w:lastRenderedPageBreak/>
        <w:t>Nota metodológica</w:t>
      </w:r>
      <w:r w:rsidRPr="00F315D9">
        <w:rPr>
          <w:lang w:val="es-ES"/>
        </w:rPr>
        <w:t xml:space="preserve">: la ventana de 21 días utilizada para calcular la volatilidad introduce una autocorrelación mecánica en los primeros 20 </w:t>
      </w:r>
      <w:proofErr w:type="spellStart"/>
      <w:r w:rsidRPr="00F315D9">
        <w:rPr>
          <w:lang w:val="es-ES"/>
        </w:rPr>
        <w:t>lags</w:t>
      </w:r>
      <w:proofErr w:type="spellEnd"/>
      <w:r w:rsidRPr="00F315D9">
        <w:rPr>
          <w:lang w:val="es-ES"/>
        </w:rPr>
        <w:t xml:space="preserve"> (observaciones sucesivas comparten datos). La persistencia genuina se observa en </w:t>
      </w:r>
      <w:proofErr w:type="spellStart"/>
      <w:r w:rsidRPr="00F315D9">
        <w:rPr>
          <w:lang w:val="es-ES"/>
        </w:rPr>
        <w:t>lags</w:t>
      </w:r>
      <w:proofErr w:type="spellEnd"/>
      <w:r w:rsidRPr="00F315D9">
        <w:rPr>
          <w:lang w:val="es-ES"/>
        </w:rPr>
        <w:t xml:space="preserve"> &gt; 21, donde la ACF sigue siendo significativa.</w:t>
      </w:r>
    </w:p>
    <w:p w14:paraId="32AF35E8" w14:textId="77777777" w:rsidR="001B6E41" w:rsidRPr="00F315D9" w:rsidRDefault="00000000">
      <w:pPr>
        <w:rPr>
          <w:lang w:val="es-ES"/>
        </w:rPr>
      </w:pPr>
      <w:r w:rsidRPr="00F315D9">
        <w:rPr>
          <w:lang w:val="es-ES"/>
        </w:rPr>
        <w:t xml:space="preserve">Esta memoria larga justifica el uso del modelo </w:t>
      </w:r>
      <w:r w:rsidRPr="00F315D9">
        <w:rPr>
          <w:b/>
          <w:bCs/>
          <w:lang w:val="es-ES"/>
        </w:rPr>
        <w:t>HAR</w:t>
      </w:r>
      <w:r w:rsidRPr="00F315D9">
        <w:rPr>
          <w:lang w:val="es-ES"/>
        </w:rPr>
        <w:t xml:space="preserve"> (</w:t>
      </w:r>
      <w:proofErr w:type="spellStart"/>
      <w:r w:rsidRPr="00F315D9">
        <w:rPr>
          <w:lang w:val="es-ES"/>
        </w:rPr>
        <w:t>Heterogeneous</w:t>
      </w:r>
      <w:proofErr w:type="spellEnd"/>
      <w:r w:rsidRPr="00F315D9">
        <w:rPr>
          <w:lang w:val="es-ES"/>
        </w:rPr>
        <w:t xml:space="preserve"> </w:t>
      </w:r>
      <w:proofErr w:type="spellStart"/>
      <w:r w:rsidRPr="00F315D9">
        <w:rPr>
          <w:lang w:val="es-ES"/>
        </w:rPr>
        <w:t>Autoregressive</w:t>
      </w:r>
      <w:proofErr w:type="spellEnd"/>
      <w:r w:rsidRPr="00F315D9">
        <w:rPr>
          <w:lang w:val="es-ES"/>
        </w:rPr>
        <w:t xml:space="preserve">, Corsi 2009), que incorpora retardos a tres escalas (1, 5 y 21 días), y del modelo </w:t>
      </w:r>
      <w:r w:rsidRPr="00F315D9">
        <w:rPr>
          <w:b/>
          <w:bCs/>
          <w:lang w:val="es-ES"/>
        </w:rPr>
        <w:t>GARCH</w:t>
      </w:r>
      <w:r w:rsidRPr="00F315D9">
        <w:rPr>
          <w:lang w:val="es-ES"/>
        </w:rPr>
        <w:t xml:space="preserve"> (</w:t>
      </w:r>
      <w:proofErr w:type="spellStart"/>
      <w:r w:rsidRPr="00F315D9">
        <w:rPr>
          <w:lang w:val="es-ES"/>
        </w:rPr>
        <w:t>Bollerslev</w:t>
      </w:r>
      <w:proofErr w:type="spellEnd"/>
      <w:r w:rsidRPr="00F315D9">
        <w:rPr>
          <w:lang w:val="es-ES"/>
        </w:rPr>
        <w:t>, 1986), que captura la persistencia autorregresiva de la varianza condicional.</w:t>
      </w:r>
    </w:p>
    <w:p w14:paraId="06B3DA2E" w14:textId="77777777" w:rsidR="001B6E41" w:rsidRDefault="00000000">
      <w:r>
        <w:rPr>
          <w:noProof/>
        </w:rPr>
        <w:drawing>
          <wp:inline distT="0" distB="0" distL="0" distR="0" wp14:anchorId="2365A04F" wp14:editId="0CC3BAAA">
            <wp:extent cx="4937760" cy="2455550"/>
            <wp:effectExtent l="0" t="0" r="0" b="0"/>
            <wp:docPr id="89" name="Picture" descr="Figura 7. Funciones ACF (arriba) y PACF (abajo) de la volatilidad media del IBEX 35, con 60 retardos. La ACF significativa en todos los lags evidencia memoria larga; la PACF muestra picos en lags 1, 5 y 21 (escalas diaria, semanal y mensual)."/>
            <wp:cNvGraphicFramePr/>
            <a:graphic xmlns:a="http://schemas.openxmlformats.org/drawingml/2006/main">
              <a:graphicData uri="http://schemas.openxmlformats.org/drawingml/2006/picture">
                <pic:pic xmlns:pic="http://schemas.openxmlformats.org/drawingml/2006/picture">
                  <pic:nvPicPr>
                    <pic:cNvPr id="90" name="Picture" descr="figuras/08_acf_pacf_volatilidad.png"/>
                    <pic:cNvPicPr>
                      <a:picLocks noChangeAspect="1" noChangeArrowheads="1"/>
                    </pic:cNvPicPr>
                  </pic:nvPicPr>
                  <pic:blipFill>
                    <a:blip r:embed="rId11"/>
                    <a:stretch>
                      <a:fillRect/>
                    </a:stretch>
                  </pic:blipFill>
                  <pic:spPr bwMode="auto">
                    <a:xfrm>
                      <a:off x="0" y="0"/>
                      <a:ext cx="4937760" cy="2455550"/>
                    </a:xfrm>
                    <a:prstGeom prst="rect">
                      <a:avLst/>
                    </a:prstGeom>
                    <a:noFill/>
                    <a:ln w="9525">
                      <a:noFill/>
                      <a:headEnd/>
                      <a:tailEnd/>
                    </a:ln>
                  </pic:spPr>
                </pic:pic>
              </a:graphicData>
            </a:graphic>
          </wp:inline>
        </w:drawing>
      </w:r>
    </w:p>
    <w:p w14:paraId="3CC5C278" w14:textId="77777777" w:rsidR="001B6E41" w:rsidRPr="00F315D9" w:rsidRDefault="00000000">
      <w:pPr>
        <w:rPr>
          <w:lang w:val="es-ES"/>
        </w:rPr>
      </w:pPr>
      <w:r w:rsidRPr="00F315D9">
        <w:rPr>
          <w:b/>
          <w:bCs/>
          <w:lang w:val="es-ES"/>
        </w:rPr>
        <w:t>Figura 7.</w:t>
      </w:r>
      <w:r w:rsidRPr="00F315D9">
        <w:rPr>
          <w:lang w:val="es-ES"/>
        </w:rPr>
        <w:t xml:space="preserve"> Funciones ACF (arriba) y PACF (abajo) de la volatilidad media del IBEX 35, con 60 retardos. La ACF significativa en todos los </w:t>
      </w:r>
      <w:proofErr w:type="spellStart"/>
      <w:r w:rsidRPr="00F315D9">
        <w:rPr>
          <w:lang w:val="es-ES"/>
        </w:rPr>
        <w:t>lags</w:t>
      </w:r>
      <w:proofErr w:type="spellEnd"/>
      <w:r w:rsidRPr="00F315D9">
        <w:rPr>
          <w:lang w:val="es-ES"/>
        </w:rPr>
        <w:t xml:space="preserve"> evidencia memoria larga; la PACF muestra picos en </w:t>
      </w:r>
      <w:proofErr w:type="spellStart"/>
      <w:r w:rsidRPr="00F315D9">
        <w:rPr>
          <w:lang w:val="es-ES"/>
        </w:rPr>
        <w:t>lags</w:t>
      </w:r>
      <w:proofErr w:type="spellEnd"/>
      <w:r w:rsidRPr="00F315D9">
        <w:rPr>
          <w:lang w:val="es-ES"/>
        </w:rPr>
        <w:t xml:space="preserve"> 1, 5 y 21 (escalas diaria, semanal y mensual).</w:t>
      </w:r>
    </w:p>
    <w:p w14:paraId="09C2526F" w14:textId="77777777" w:rsidR="001B6E41" w:rsidRPr="00F315D9" w:rsidRDefault="00000000">
      <w:pPr>
        <w:pStyle w:val="Ttulo3"/>
        <w:rPr>
          <w:lang w:val="es-ES"/>
        </w:rPr>
      </w:pPr>
      <w:bookmarkStart w:id="28" w:name="detección-y-tratamiento-de-outliers"/>
      <w:bookmarkEnd w:id="27"/>
      <w:r w:rsidRPr="00F315D9">
        <w:rPr>
          <w:lang w:val="es-ES"/>
        </w:rPr>
        <w:t xml:space="preserve">6.5. Detección y tratamiento de </w:t>
      </w:r>
      <w:proofErr w:type="spellStart"/>
      <w:r w:rsidRPr="00F315D9">
        <w:rPr>
          <w:lang w:val="es-ES"/>
        </w:rPr>
        <w:t>outliers</w:t>
      </w:r>
      <w:proofErr w:type="spellEnd"/>
    </w:p>
    <w:p w14:paraId="7EE121D2" w14:textId="77777777" w:rsidR="001B6E41" w:rsidRPr="00F315D9" w:rsidRDefault="00000000">
      <w:pPr>
        <w:rPr>
          <w:lang w:val="es-ES"/>
        </w:rPr>
      </w:pPr>
      <w:r w:rsidRPr="00F315D9">
        <w:rPr>
          <w:lang w:val="es-ES"/>
        </w:rPr>
        <w:t xml:space="preserve">Se aplican dos métodos complementarios. El </w:t>
      </w:r>
      <w:r w:rsidRPr="00F315D9">
        <w:rPr>
          <w:b/>
          <w:bCs/>
          <w:lang w:val="es-ES"/>
        </w:rPr>
        <w:t>IQR</w:t>
      </w:r>
      <w:r w:rsidRPr="00F315D9">
        <w:rPr>
          <w:lang w:val="es-ES"/>
        </w:rPr>
        <w:t xml:space="preserve"> marca como </w:t>
      </w:r>
      <w:proofErr w:type="spellStart"/>
      <w:r w:rsidRPr="00F315D9">
        <w:rPr>
          <w:lang w:val="es-ES"/>
        </w:rPr>
        <w:t>outlier</w:t>
      </w:r>
      <w:proofErr w:type="spellEnd"/>
      <w:r w:rsidRPr="00F315D9">
        <w:rPr>
          <w:lang w:val="es-ES"/>
        </w:rPr>
        <w:t xml:space="preserve"> cualquier valor fuera de </w:t>
      </w:r>
      <m:oMath>
        <m:r>
          <m:rPr>
            <m:sty m:val="p"/>
          </m:rPr>
          <w:rPr>
            <w:rFonts w:ascii="Cambria Math" w:hAnsi="Cambria Math"/>
            <w:lang w:val="es-ES"/>
          </w:rPr>
          <m:t>[</m:t>
        </m:r>
        <m:sSub>
          <m:sSubPr>
            <m:ctrlPr>
              <w:rPr>
                <w:rFonts w:ascii="Cambria Math" w:hAnsi="Cambria Math"/>
              </w:rPr>
            </m:ctrlPr>
          </m:sSubPr>
          <m:e>
            <m:r>
              <w:rPr>
                <w:rFonts w:ascii="Cambria Math" w:hAnsi="Cambria Math"/>
              </w:rPr>
              <m:t>Q</m:t>
            </m:r>
          </m:e>
          <m:sub>
            <m:r>
              <w:rPr>
                <w:rFonts w:ascii="Cambria Math" w:hAnsi="Cambria Math"/>
                <w:lang w:val="es-ES"/>
              </w:rPr>
              <m:t>1</m:t>
            </m:r>
          </m:sub>
        </m:sSub>
        <m:r>
          <m:rPr>
            <m:sty m:val="p"/>
          </m:rPr>
          <w:rPr>
            <w:rFonts w:ascii="Cambria Math" w:hAnsi="Cambria Math"/>
            <w:lang w:val="es-ES"/>
          </w:rPr>
          <m:t>-</m:t>
        </m:r>
        <m:r>
          <w:rPr>
            <w:rFonts w:ascii="Cambria Math" w:hAnsi="Cambria Math"/>
            <w:lang w:val="es-ES"/>
          </w:rPr>
          <m:t>1</m:t>
        </m:r>
        <m:r>
          <m:rPr>
            <m:sty m:val="p"/>
          </m:rPr>
          <w:rPr>
            <w:rFonts w:ascii="Cambria Math" w:hAnsi="Cambria Math"/>
            <w:lang w:val="es-ES"/>
          </w:rPr>
          <m:t>,</m:t>
        </m:r>
        <m:r>
          <w:rPr>
            <w:rFonts w:ascii="Cambria Math" w:hAnsi="Cambria Math"/>
            <w:lang w:val="es-ES"/>
          </w:rPr>
          <m:t>5</m:t>
        </m:r>
        <m:r>
          <m:rPr>
            <m:sty m:val="p"/>
          </m:rPr>
          <w:rPr>
            <w:rFonts w:ascii="Cambria Math" w:hAnsi="Cambria Math"/>
            <w:lang w:val="es-ES"/>
          </w:rPr>
          <m:t>⋅</m:t>
        </m:r>
        <m:r>
          <w:rPr>
            <w:rFonts w:ascii="Cambria Math" w:hAnsi="Cambria Math"/>
          </w:rPr>
          <m:t>IQR</m:t>
        </m:r>
        <m:r>
          <m:rPr>
            <m:sty m:val="p"/>
          </m:rPr>
          <w:rPr>
            <w:rFonts w:ascii="Cambria Math" w:hAnsi="Cambria Math"/>
            <w:lang w:val="es-ES"/>
          </w:rPr>
          <m:t>,</m:t>
        </m:r>
        <m:r>
          <w:rPr>
            <w:rFonts w:ascii="Cambria Math" w:hAnsi="Cambria Math"/>
            <w:lang w:val="es-ES"/>
          </w:rPr>
          <m:t> </m:t>
        </m:r>
        <m:sSub>
          <m:sSubPr>
            <m:ctrlPr>
              <w:rPr>
                <w:rFonts w:ascii="Cambria Math" w:hAnsi="Cambria Math"/>
              </w:rPr>
            </m:ctrlPr>
          </m:sSubPr>
          <m:e>
            <m:r>
              <w:rPr>
                <w:rFonts w:ascii="Cambria Math" w:hAnsi="Cambria Math"/>
              </w:rPr>
              <m:t>Q</m:t>
            </m:r>
          </m:e>
          <m:sub>
            <m:r>
              <w:rPr>
                <w:rFonts w:ascii="Cambria Math" w:hAnsi="Cambria Math"/>
                <w:lang w:val="es-ES"/>
              </w:rPr>
              <m:t>3</m:t>
            </m:r>
          </m:sub>
        </m:sSub>
        <m:r>
          <m:rPr>
            <m:sty m:val="p"/>
          </m:rPr>
          <w:rPr>
            <w:rFonts w:ascii="Cambria Math" w:hAnsi="Cambria Math"/>
            <w:lang w:val="es-ES"/>
          </w:rPr>
          <m:t>+</m:t>
        </m:r>
        <m:r>
          <w:rPr>
            <w:rFonts w:ascii="Cambria Math" w:hAnsi="Cambria Math"/>
            <w:lang w:val="es-ES"/>
          </w:rPr>
          <m:t>1</m:t>
        </m:r>
        <m:r>
          <m:rPr>
            <m:sty m:val="p"/>
          </m:rPr>
          <w:rPr>
            <w:rFonts w:ascii="Cambria Math" w:hAnsi="Cambria Math"/>
            <w:lang w:val="es-ES"/>
          </w:rPr>
          <m:t>,</m:t>
        </m:r>
        <m:r>
          <w:rPr>
            <w:rFonts w:ascii="Cambria Math" w:hAnsi="Cambria Math"/>
            <w:lang w:val="es-ES"/>
          </w:rPr>
          <m:t>5</m:t>
        </m:r>
        <m:r>
          <m:rPr>
            <m:sty m:val="p"/>
          </m:rPr>
          <w:rPr>
            <w:rFonts w:ascii="Cambria Math" w:hAnsi="Cambria Math"/>
            <w:lang w:val="es-ES"/>
          </w:rPr>
          <m:t>⋅</m:t>
        </m:r>
        <m:r>
          <w:rPr>
            <w:rFonts w:ascii="Cambria Math" w:hAnsi="Cambria Math"/>
          </w:rPr>
          <m:t>IQR</m:t>
        </m:r>
        <m:r>
          <m:rPr>
            <m:sty m:val="p"/>
          </m:rPr>
          <w:rPr>
            <w:rFonts w:ascii="Cambria Math" w:hAnsi="Cambria Math"/>
            <w:lang w:val="es-ES"/>
          </w:rPr>
          <m:t>]</m:t>
        </m:r>
      </m:oMath>
      <w:r w:rsidRPr="00F315D9">
        <w:rPr>
          <w:lang w:val="es-ES"/>
        </w:rPr>
        <w:t xml:space="preserve"> y es un método robusto que no asume distribución. El </w:t>
      </w:r>
      <w:r w:rsidRPr="00F315D9">
        <w:rPr>
          <w:b/>
          <w:bCs/>
          <w:lang w:val="es-ES"/>
        </w:rPr>
        <w:t>Z-score</w:t>
      </w:r>
      <w:r w:rsidRPr="00F315D9">
        <w:rPr>
          <w:lang w:val="es-ES"/>
        </w:rPr>
        <w:t xml:space="preserve"> considera </w:t>
      </w:r>
      <w:proofErr w:type="spellStart"/>
      <w:r w:rsidRPr="00F315D9">
        <w:rPr>
          <w:lang w:val="es-ES"/>
        </w:rPr>
        <w:t>outlier</w:t>
      </w:r>
      <w:proofErr w:type="spellEnd"/>
      <w:r w:rsidRPr="00F315D9">
        <w:rPr>
          <w:lang w:val="es-ES"/>
        </w:rPr>
        <w:t xml:space="preserve"> cualquier </w:t>
      </w:r>
      <m:oMath>
        <m:r>
          <m:rPr>
            <m:sty m:val="p"/>
          </m:rPr>
          <w:rPr>
            <w:rFonts w:ascii="Cambria Math" w:hAnsi="Cambria Math"/>
            <w:lang w:val="es-ES"/>
          </w:rPr>
          <m:t>|</m:t>
        </m:r>
        <m:r>
          <w:rPr>
            <w:rFonts w:ascii="Cambria Math" w:hAnsi="Cambria Math"/>
          </w:rPr>
          <m:t>z</m:t>
        </m:r>
        <m:r>
          <m:rPr>
            <m:sty m:val="p"/>
          </m:rPr>
          <w:rPr>
            <w:rFonts w:ascii="Cambria Math" w:hAnsi="Cambria Math"/>
            <w:lang w:val="es-ES"/>
          </w:rPr>
          <m:t>|&gt;</m:t>
        </m:r>
        <m:r>
          <w:rPr>
            <w:rFonts w:ascii="Cambria Math" w:hAnsi="Cambria Math"/>
            <w:lang w:val="es-ES"/>
          </w:rPr>
          <m:t>3</m:t>
        </m:r>
      </m:oMath>
      <w:r w:rsidRPr="00F315D9">
        <w:rPr>
          <w:lang w:val="es-ES"/>
        </w:rPr>
        <w:t xml:space="preserve"> y es un método paramétrico que asume normalidad. Ambos se complementan: el IQR captura asimetrías extremas, el Z-score capta magnitudes muy alejadas de la media.</w:t>
      </w:r>
    </w:p>
    <w:tbl>
      <w:tblPr>
        <w:tblW w:w="0" w:type="auto"/>
        <w:tblLook w:val="0020" w:firstRow="1" w:lastRow="0" w:firstColumn="0" w:lastColumn="0" w:noHBand="0" w:noVBand="0"/>
      </w:tblPr>
      <w:tblGrid>
        <w:gridCol w:w="1417"/>
        <w:gridCol w:w="1328"/>
        <w:gridCol w:w="763"/>
        <w:gridCol w:w="1512"/>
        <w:gridCol w:w="763"/>
      </w:tblGrid>
      <w:tr w:rsidR="001B6E41" w14:paraId="5CF7CECE" w14:textId="77777777">
        <w:trPr>
          <w:tblHeader/>
        </w:trPr>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1DDB69A8" w14:textId="77777777" w:rsidR="001B6E41" w:rsidRDefault="00000000">
            <w:r>
              <w:rPr>
                <w:b/>
                <w:color w:val="FFFFFF"/>
              </w:rPr>
              <w:t>Variable</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057108F5" w14:textId="77777777" w:rsidR="001B6E41" w:rsidRDefault="00000000">
            <w:r>
              <w:rPr>
                <w:b/>
                <w:color w:val="FFFFFF"/>
              </w:rPr>
              <w:t>Outliers IQR</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5C7157F3" w14:textId="77777777" w:rsidR="001B6E41" w:rsidRDefault="00000000">
            <w:r>
              <w:rPr>
                <w:b/>
                <w:color w:val="FFFFFF"/>
              </w:rPr>
              <w:t>%</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0347E0EB" w14:textId="77777777" w:rsidR="001B6E41" w:rsidRDefault="00000000">
            <w:r>
              <w:rPr>
                <w:b/>
                <w:color w:val="FFFFFF"/>
              </w:rPr>
              <w:t>Outliers |z|&gt;3</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778C5077" w14:textId="77777777" w:rsidR="001B6E41" w:rsidRDefault="00000000">
            <w:r>
              <w:rPr>
                <w:b/>
                <w:color w:val="FFFFFF"/>
              </w:rPr>
              <w:t>%</w:t>
            </w:r>
          </w:p>
        </w:tc>
      </w:tr>
      <w:tr w:rsidR="001B6E41" w14:paraId="71452DB7" w14:textId="77777777">
        <w:tc>
          <w:tcPr>
            <w:tcW w:w="0" w:type="auto"/>
            <w:tcBorders>
              <w:top w:val="single" w:sz="4" w:space="0" w:color="BFBFBF"/>
              <w:left w:val="single" w:sz="4" w:space="0" w:color="BFBFBF"/>
              <w:bottom w:val="single" w:sz="4" w:space="0" w:color="BFBFBF"/>
              <w:right w:val="single" w:sz="4" w:space="0" w:color="BFBFBF"/>
            </w:tcBorders>
          </w:tcPr>
          <w:p w14:paraId="29C5A30F" w14:textId="77777777" w:rsidR="001B6E41" w:rsidRDefault="00000000">
            <w:r>
              <w:t>vol_hist_21d</w:t>
            </w:r>
          </w:p>
        </w:tc>
        <w:tc>
          <w:tcPr>
            <w:tcW w:w="0" w:type="auto"/>
            <w:tcBorders>
              <w:top w:val="single" w:sz="4" w:space="0" w:color="BFBFBF"/>
              <w:left w:val="single" w:sz="4" w:space="0" w:color="BFBFBF"/>
              <w:bottom w:val="single" w:sz="4" w:space="0" w:color="BFBFBF"/>
              <w:right w:val="single" w:sz="4" w:space="0" w:color="BFBFBF"/>
            </w:tcBorders>
          </w:tcPr>
          <w:p w14:paraId="1E0D3158" w14:textId="77777777" w:rsidR="001B6E41" w:rsidRDefault="00000000">
            <w:r>
              <w:t>8.169</w:t>
            </w:r>
          </w:p>
        </w:tc>
        <w:tc>
          <w:tcPr>
            <w:tcW w:w="0" w:type="auto"/>
            <w:tcBorders>
              <w:top w:val="single" w:sz="4" w:space="0" w:color="BFBFBF"/>
              <w:left w:val="single" w:sz="4" w:space="0" w:color="BFBFBF"/>
              <w:bottom w:val="single" w:sz="4" w:space="0" w:color="BFBFBF"/>
              <w:right w:val="single" w:sz="4" w:space="0" w:color="BFBFBF"/>
            </w:tcBorders>
          </w:tcPr>
          <w:p w14:paraId="7B2ACDF7" w14:textId="77777777" w:rsidR="001B6E41" w:rsidRDefault="00000000">
            <w:r>
              <w:t>5,20%</w:t>
            </w:r>
          </w:p>
        </w:tc>
        <w:tc>
          <w:tcPr>
            <w:tcW w:w="0" w:type="auto"/>
            <w:tcBorders>
              <w:top w:val="single" w:sz="4" w:space="0" w:color="BFBFBF"/>
              <w:left w:val="single" w:sz="4" w:space="0" w:color="BFBFBF"/>
              <w:bottom w:val="single" w:sz="4" w:space="0" w:color="BFBFBF"/>
              <w:right w:val="single" w:sz="4" w:space="0" w:color="BFBFBF"/>
            </w:tcBorders>
          </w:tcPr>
          <w:p w14:paraId="342C6422" w14:textId="77777777" w:rsidR="001B6E41" w:rsidRDefault="00000000">
            <w:r>
              <w:t>2.801</w:t>
            </w:r>
          </w:p>
        </w:tc>
        <w:tc>
          <w:tcPr>
            <w:tcW w:w="0" w:type="auto"/>
            <w:tcBorders>
              <w:top w:val="single" w:sz="4" w:space="0" w:color="BFBFBF"/>
              <w:left w:val="single" w:sz="4" w:space="0" w:color="BFBFBF"/>
              <w:bottom w:val="single" w:sz="4" w:space="0" w:color="BFBFBF"/>
              <w:right w:val="single" w:sz="4" w:space="0" w:color="BFBFBF"/>
            </w:tcBorders>
          </w:tcPr>
          <w:p w14:paraId="260A394E" w14:textId="77777777" w:rsidR="001B6E41" w:rsidRDefault="00000000">
            <w:r>
              <w:t>1,78%</w:t>
            </w:r>
          </w:p>
        </w:tc>
      </w:tr>
      <w:tr w:rsidR="001B6E41" w14:paraId="2E09B706" w14:textId="77777777">
        <w:tc>
          <w:tcPr>
            <w:tcW w:w="0" w:type="auto"/>
            <w:tcBorders>
              <w:top w:val="single" w:sz="4" w:space="0" w:color="BFBFBF"/>
              <w:left w:val="single" w:sz="4" w:space="0" w:color="BFBFBF"/>
              <w:bottom w:val="single" w:sz="4" w:space="0" w:color="BFBFBF"/>
              <w:right w:val="single" w:sz="4" w:space="0" w:color="BFBFBF"/>
            </w:tcBorders>
          </w:tcPr>
          <w:p w14:paraId="05F7B128" w14:textId="77777777" w:rsidR="001B6E41" w:rsidRDefault="00000000">
            <w:r>
              <w:t>log_ret</w:t>
            </w:r>
          </w:p>
        </w:tc>
        <w:tc>
          <w:tcPr>
            <w:tcW w:w="0" w:type="auto"/>
            <w:tcBorders>
              <w:top w:val="single" w:sz="4" w:space="0" w:color="BFBFBF"/>
              <w:left w:val="single" w:sz="4" w:space="0" w:color="BFBFBF"/>
              <w:bottom w:val="single" w:sz="4" w:space="0" w:color="BFBFBF"/>
              <w:right w:val="single" w:sz="4" w:space="0" w:color="BFBFBF"/>
            </w:tcBorders>
          </w:tcPr>
          <w:p w14:paraId="0A53FFC3" w14:textId="77777777" w:rsidR="001B6E41" w:rsidRDefault="00000000">
            <w:r>
              <w:t>9.500</w:t>
            </w:r>
          </w:p>
        </w:tc>
        <w:tc>
          <w:tcPr>
            <w:tcW w:w="0" w:type="auto"/>
            <w:tcBorders>
              <w:top w:val="single" w:sz="4" w:space="0" w:color="BFBFBF"/>
              <w:left w:val="single" w:sz="4" w:space="0" w:color="BFBFBF"/>
              <w:bottom w:val="single" w:sz="4" w:space="0" w:color="BFBFBF"/>
              <w:right w:val="single" w:sz="4" w:space="0" w:color="BFBFBF"/>
            </w:tcBorders>
          </w:tcPr>
          <w:p w14:paraId="5387801B" w14:textId="77777777" w:rsidR="001B6E41" w:rsidRDefault="00000000">
            <w:r>
              <w:t>6,03%</w:t>
            </w:r>
          </w:p>
        </w:tc>
        <w:tc>
          <w:tcPr>
            <w:tcW w:w="0" w:type="auto"/>
            <w:tcBorders>
              <w:top w:val="single" w:sz="4" w:space="0" w:color="BFBFBF"/>
              <w:left w:val="single" w:sz="4" w:space="0" w:color="BFBFBF"/>
              <w:bottom w:val="single" w:sz="4" w:space="0" w:color="BFBFBF"/>
              <w:right w:val="single" w:sz="4" w:space="0" w:color="BFBFBF"/>
            </w:tcBorders>
          </w:tcPr>
          <w:p w14:paraId="104A625B" w14:textId="77777777" w:rsidR="001B6E41" w:rsidRDefault="00000000">
            <w:r>
              <w:t>2.446</w:t>
            </w:r>
          </w:p>
        </w:tc>
        <w:tc>
          <w:tcPr>
            <w:tcW w:w="0" w:type="auto"/>
            <w:tcBorders>
              <w:top w:val="single" w:sz="4" w:space="0" w:color="BFBFBF"/>
              <w:left w:val="single" w:sz="4" w:space="0" w:color="BFBFBF"/>
              <w:bottom w:val="single" w:sz="4" w:space="0" w:color="BFBFBF"/>
              <w:right w:val="single" w:sz="4" w:space="0" w:color="BFBFBF"/>
            </w:tcBorders>
          </w:tcPr>
          <w:p w14:paraId="10ABE8AC" w14:textId="77777777" w:rsidR="001B6E41" w:rsidRDefault="00000000">
            <w:r>
              <w:t>1,55%</w:t>
            </w:r>
          </w:p>
        </w:tc>
      </w:tr>
      <w:tr w:rsidR="001B6E41" w14:paraId="335742B8" w14:textId="77777777">
        <w:tc>
          <w:tcPr>
            <w:tcW w:w="0" w:type="auto"/>
            <w:tcBorders>
              <w:top w:val="single" w:sz="4" w:space="0" w:color="BFBFBF"/>
              <w:left w:val="single" w:sz="4" w:space="0" w:color="BFBFBF"/>
              <w:bottom w:val="single" w:sz="4" w:space="0" w:color="BFBFBF"/>
              <w:right w:val="single" w:sz="4" w:space="0" w:color="BFBFBF"/>
            </w:tcBorders>
          </w:tcPr>
          <w:p w14:paraId="45BF1EEC" w14:textId="77777777" w:rsidR="001B6E41" w:rsidRDefault="00000000">
            <w:r>
              <w:t>vix</w:t>
            </w:r>
          </w:p>
        </w:tc>
        <w:tc>
          <w:tcPr>
            <w:tcW w:w="0" w:type="auto"/>
            <w:tcBorders>
              <w:top w:val="single" w:sz="4" w:space="0" w:color="BFBFBF"/>
              <w:left w:val="single" w:sz="4" w:space="0" w:color="BFBFBF"/>
              <w:bottom w:val="single" w:sz="4" w:space="0" w:color="BFBFBF"/>
              <w:right w:val="single" w:sz="4" w:space="0" w:color="BFBFBF"/>
            </w:tcBorders>
          </w:tcPr>
          <w:p w14:paraId="501210FC" w14:textId="77777777" w:rsidR="001B6E41" w:rsidRDefault="00000000">
            <w:r>
              <w:t>6.774</w:t>
            </w:r>
          </w:p>
        </w:tc>
        <w:tc>
          <w:tcPr>
            <w:tcW w:w="0" w:type="auto"/>
            <w:tcBorders>
              <w:top w:val="single" w:sz="4" w:space="0" w:color="BFBFBF"/>
              <w:left w:val="single" w:sz="4" w:space="0" w:color="BFBFBF"/>
              <w:bottom w:val="single" w:sz="4" w:space="0" w:color="BFBFBF"/>
              <w:right w:val="single" w:sz="4" w:space="0" w:color="BFBFBF"/>
            </w:tcBorders>
          </w:tcPr>
          <w:p w14:paraId="602277CD" w14:textId="77777777" w:rsidR="001B6E41" w:rsidRDefault="00000000">
            <w:r>
              <w:t>4,47%</w:t>
            </w:r>
          </w:p>
        </w:tc>
        <w:tc>
          <w:tcPr>
            <w:tcW w:w="0" w:type="auto"/>
            <w:tcBorders>
              <w:top w:val="single" w:sz="4" w:space="0" w:color="BFBFBF"/>
              <w:left w:val="single" w:sz="4" w:space="0" w:color="BFBFBF"/>
              <w:bottom w:val="single" w:sz="4" w:space="0" w:color="BFBFBF"/>
              <w:right w:val="single" w:sz="4" w:space="0" w:color="BFBFBF"/>
            </w:tcBorders>
          </w:tcPr>
          <w:p w14:paraId="255ACEAA" w14:textId="77777777" w:rsidR="001B6E41" w:rsidRDefault="00000000">
            <w:r>
              <w:t>3.157</w:t>
            </w:r>
          </w:p>
        </w:tc>
        <w:tc>
          <w:tcPr>
            <w:tcW w:w="0" w:type="auto"/>
            <w:tcBorders>
              <w:top w:val="single" w:sz="4" w:space="0" w:color="BFBFBF"/>
              <w:left w:val="single" w:sz="4" w:space="0" w:color="BFBFBF"/>
              <w:bottom w:val="single" w:sz="4" w:space="0" w:color="BFBFBF"/>
              <w:right w:val="single" w:sz="4" w:space="0" w:color="BFBFBF"/>
            </w:tcBorders>
          </w:tcPr>
          <w:p w14:paraId="27B70569" w14:textId="77777777" w:rsidR="001B6E41" w:rsidRDefault="00000000">
            <w:r>
              <w:t>2,08%</w:t>
            </w:r>
          </w:p>
        </w:tc>
      </w:tr>
      <w:tr w:rsidR="001B6E41" w14:paraId="50B98C19" w14:textId="77777777">
        <w:tc>
          <w:tcPr>
            <w:tcW w:w="0" w:type="auto"/>
            <w:tcBorders>
              <w:top w:val="single" w:sz="4" w:space="0" w:color="BFBFBF"/>
              <w:left w:val="single" w:sz="4" w:space="0" w:color="BFBFBF"/>
              <w:bottom w:val="single" w:sz="4" w:space="0" w:color="BFBFBF"/>
              <w:right w:val="single" w:sz="4" w:space="0" w:color="BFBFBF"/>
            </w:tcBorders>
          </w:tcPr>
          <w:p w14:paraId="35A761D0" w14:textId="77777777" w:rsidR="001B6E41" w:rsidRDefault="00000000">
            <w:r>
              <w:t>bono_es_10y</w:t>
            </w:r>
          </w:p>
        </w:tc>
        <w:tc>
          <w:tcPr>
            <w:tcW w:w="0" w:type="auto"/>
            <w:tcBorders>
              <w:top w:val="single" w:sz="4" w:space="0" w:color="BFBFBF"/>
              <w:left w:val="single" w:sz="4" w:space="0" w:color="BFBFBF"/>
              <w:bottom w:val="single" w:sz="4" w:space="0" w:color="BFBFBF"/>
              <w:right w:val="single" w:sz="4" w:space="0" w:color="BFBFBF"/>
            </w:tcBorders>
          </w:tcPr>
          <w:p w14:paraId="716041A6" w14:textId="77777777" w:rsidR="001B6E41" w:rsidRDefault="00000000">
            <w:r>
              <w:t>0</w:t>
            </w:r>
          </w:p>
        </w:tc>
        <w:tc>
          <w:tcPr>
            <w:tcW w:w="0" w:type="auto"/>
            <w:tcBorders>
              <w:top w:val="single" w:sz="4" w:space="0" w:color="BFBFBF"/>
              <w:left w:val="single" w:sz="4" w:space="0" w:color="BFBFBF"/>
              <w:bottom w:val="single" w:sz="4" w:space="0" w:color="BFBFBF"/>
              <w:right w:val="single" w:sz="4" w:space="0" w:color="BFBFBF"/>
            </w:tcBorders>
          </w:tcPr>
          <w:p w14:paraId="14C37C63" w14:textId="77777777" w:rsidR="001B6E41" w:rsidRDefault="00000000">
            <w:r>
              <w:t>0,00%</w:t>
            </w:r>
          </w:p>
        </w:tc>
        <w:tc>
          <w:tcPr>
            <w:tcW w:w="0" w:type="auto"/>
            <w:tcBorders>
              <w:top w:val="single" w:sz="4" w:space="0" w:color="BFBFBF"/>
              <w:left w:val="single" w:sz="4" w:space="0" w:color="BFBFBF"/>
              <w:bottom w:val="single" w:sz="4" w:space="0" w:color="BFBFBF"/>
              <w:right w:val="single" w:sz="4" w:space="0" w:color="BFBFBF"/>
            </w:tcBorders>
          </w:tcPr>
          <w:p w14:paraId="2A8797D7" w14:textId="77777777" w:rsidR="001B6E41" w:rsidRDefault="00000000">
            <w:r>
              <w:t>0</w:t>
            </w:r>
          </w:p>
        </w:tc>
        <w:tc>
          <w:tcPr>
            <w:tcW w:w="0" w:type="auto"/>
            <w:tcBorders>
              <w:top w:val="single" w:sz="4" w:space="0" w:color="BFBFBF"/>
              <w:left w:val="single" w:sz="4" w:space="0" w:color="BFBFBF"/>
              <w:bottom w:val="single" w:sz="4" w:space="0" w:color="BFBFBF"/>
              <w:right w:val="single" w:sz="4" w:space="0" w:color="BFBFBF"/>
            </w:tcBorders>
          </w:tcPr>
          <w:p w14:paraId="2ED8DD96" w14:textId="77777777" w:rsidR="001B6E41" w:rsidRDefault="00000000">
            <w:r>
              <w:t>0,00%</w:t>
            </w:r>
          </w:p>
        </w:tc>
      </w:tr>
    </w:tbl>
    <w:p w14:paraId="7940754B" w14:textId="77777777" w:rsidR="001B6E41" w:rsidRPr="00F315D9" w:rsidRDefault="00000000">
      <w:pPr>
        <w:pStyle w:val="Textoindependiente"/>
        <w:rPr>
          <w:lang w:val="es-ES"/>
        </w:rPr>
      </w:pPr>
      <w:r w:rsidRPr="00F315D9">
        <w:rPr>
          <w:b/>
          <w:bCs/>
          <w:lang w:val="es-ES"/>
        </w:rPr>
        <w:t xml:space="preserve">Decisión: mantener todos los </w:t>
      </w:r>
      <w:proofErr w:type="spellStart"/>
      <w:r w:rsidRPr="00F315D9">
        <w:rPr>
          <w:b/>
          <w:bCs/>
          <w:lang w:val="es-ES"/>
        </w:rPr>
        <w:t>outliers</w:t>
      </w:r>
      <w:proofErr w:type="spellEnd"/>
      <w:r w:rsidRPr="00F315D9">
        <w:rPr>
          <w:b/>
          <w:bCs/>
          <w:lang w:val="es-ES"/>
        </w:rPr>
        <w:t>.</w:t>
      </w:r>
      <w:r w:rsidRPr="00F315D9">
        <w:rPr>
          <w:lang w:val="es-ES"/>
        </w:rPr>
        <w:t xml:space="preserve"> Los valores extremos de volatilidad y retornos corresponden a períodos de crisis financiera real (2008, 2010, 2020, 2022) y constituyen </w:t>
      </w:r>
      <w:r w:rsidRPr="00F315D9">
        <w:rPr>
          <w:b/>
          <w:bCs/>
          <w:lang w:val="es-ES"/>
        </w:rPr>
        <w:t>señal económica</w:t>
      </w:r>
      <w:r w:rsidRPr="00F315D9">
        <w:rPr>
          <w:lang w:val="es-ES"/>
        </w:rPr>
        <w:t>, no errores de medición. Eliminarlos supondría descartar precisamente los episodios que el modelo debe aprender a capturar. Además, el modelo GARCH con distribución t-</w:t>
      </w:r>
      <w:proofErr w:type="spellStart"/>
      <w:r w:rsidRPr="00F315D9">
        <w:rPr>
          <w:lang w:val="es-ES"/>
        </w:rPr>
        <w:t>Student</w:t>
      </w:r>
      <w:proofErr w:type="spellEnd"/>
      <w:r w:rsidRPr="00F315D9">
        <w:rPr>
          <w:lang w:val="es-ES"/>
        </w:rPr>
        <w:t xml:space="preserve"> es robusto a valores extremos por diseño.</w:t>
      </w:r>
    </w:p>
    <w:p w14:paraId="38E0B2C3" w14:textId="77777777" w:rsidR="001B6E41" w:rsidRDefault="00000000">
      <w:r>
        <w:rPr>
          <w:noProof/>
        </w:rPr>
        <w:lastRenderedPageBreak/>
        <w:drawing>
          <wp:inline distT="0" distB="0" distL="0" distR="0" wp14:anchorId="4BDCB591" wp14:editId="6D2E6326">
            <wp:extent cx="4937760" cy="1538033"/>
            <wp:effectExtent l="0" t="0" r="0" b="0"/>
            <wp:docPr id="93" name="Picture" descr="Figura 8. Detección de outliers mediante IQR y Z-score sobre vol_hist_21d, log_ret y vix. Los métodos son complementarios: IQR es robusto a la distribución, Z-score es paramétrico."/>
            <wp:cNvGraphicFramePr/>
            <a:graphic xmlns:a="http://schemas.openxmlformats.org/drawingml/2006/main">
              <a:graphicData uri="http://schemas.openxmlformats.org/drawingml/2006/picture">
                <pic:pic xmlns:pic="http://schemas.openxmlformats.org/drawingml/2006/picture">
                  <pic:nvPicPr>
                    <pic:cNvPr id="94" name="Picture" descr="figuras/11_outliers_iqr_zscore.png"/>
                    <pic:cNvPicPr>
                      <a:picLocks noChangeAspect="1" noChangeArrowheads="1"/>
                    </pic:cNvPicPr>
                  </pic:nvPicPr>
                  <pic:blipFill>
                    <a:blip r:embed="rId12"/>
                    <a:stretch>
                      <a:fillRect/>
                    </a:stretch>
                  </pic:blipFill>
                  <pic:spPr bwMode="auto">
                    <a:xfrm>
                      <a:off x="0" y="0"/>
                      <a:ext cx="4937760" cy="1538033"/>
                    </a:xfrm>
                    <a:prstGeom prst="rect">
                      <a:avLst/>
                    </a:prstGeom>
                    <a:noFill/>
                    <a:ln w="9525">
                      <a:noFill/>
                      <a:headEnd/>
                      <a:tailEnd/>
                    </a:ln>
                  </pic:spPr>
                </pic:pic>
              </a:graphicData>
            </a:graphic>
          </wp:inline>
        </w:drawing>
      </w:r>
    </w:p>
    <w:p w14:paraId="1F36A7B4" w14:textId="77777777" w:rsidR="001B6E41" w:rsidRPr="00F315D9" w:rsidRDefault="00000000">
      <w:pPr>
        <w:rPr>
          <w:lang w:val="es-ES"/>
        </w:rPr>
      </w:pPr>
      <w:r w:rsidRPr="00F315D9">
        <w:rPr>
          <w:b/>
          <w:bCs/>
          <w:lang w:val="es-ES"/>
        </w:rPr>
        <w:t>Figura 8.</w:t>
      </w:r>
      <w:r w:rsidRPr="00F315D9">
        <w:rPr>
          <w:lang w:val="es-ES"/>
        </w:rPr>
        <w:t xml:space="preserve"> Detección de </w:t>
      </w:r>
      <w:proofErr w:type="spellStart"/>
      <w:r w:rsidRPr="00F315D9">
        <w:rPr>
          <w:lang w:val="es-ES"/>
        </w:rPr>
        <w:t>outliers</w:t>
      </w:r>
      <w:proofErr w:type="spellEnd"/>
      <w:r w:rsidRPr="00F315D9">
        <w:rPr>
          <w:lang w:val="es-ES"/>
        </w:rPr>
        <w:t xml:space="preserve"> mediante IQR y Z-score sobre vol_hist_21d, </w:t>
      </w:r>
      <w:proofErr w:type="spellStart"/>
      <w:r w:rsidRPr="00F315D9">
        <w:rPr>
          <w:lang w:val="es-ES"/>
        </w:rPr>
        <w:t>log_ret</w:t>
      </w:r>
      <w:proofErr w:type="spellEnd"/>
      <w:r w:rsidRPr="00F315D9">
        <w:rPr>
          <w:lang w:val="es-ES"/>
        </w:rPr>
        <w:t xml:space="preserve"> y </w:t>
      </w:r>
      <w:proofErr w:type="spellStart"/>
      <w:r w:rsidRPr="00F315D9">
        <w:rPr>
          <w:lang w:val="es-ES"/>
        </w:rPr>
        <w:t>vix</w:t>
      </w:r>
      <w:proofErr w:type="spellEnd"/>
      <w:r w:rsidRPr="00F315D9">
        <w:rPr>
          <w:lang w:val="es-ES"/>
        </w:rPr>
        <w:t>. Los métodos son complementarios: IQR es robusto a la distribución, Z-score es paramétrico.</w:t>
      </w:r>
    </w:p>
    <w:p w14:paraId="0ECC5519" w14:textId="77777777" w:rsidR="001B6E41" w:rsidRPr="00F315D9" w:rsidRDefault="00000000">
      <w:pPr>
        <w:pStyle w:val="Ttulo3"/>
        <w:rPr>
          <w:lang w:val="es-ES"/>
        </w:rPr>
      </w:pPr>
      <w:bookmarkStart w:id="29" w:name="X6e55cefa5094f8e2c1fff9081bb193ce1c24ac3"/>
      <w:bookmarkEnd w:id="28"/>
      <w:r w:rsidRPr="00F315D9">
        <w:rPr>
          <w:lang w:val="es-ES"/>
        </w:rPr>
        <w:t>6.6. Volatilidad por empresa y sector — Test de Kruskal-Wallis</w:t>
      </w:r>
    </w:p>
    <w:p w14:paraId="4FE9561B" w14:textId="77777777" w:rsidR="001B6E41" w:rsidRPr="00F315D9" w:rsidRDefault="00000000">
      <w:pPr>
        <w:rPr>
          <w:lang w:val="es-ES"/>
        </w:rPr>
      </w:pPr>
      <w:r w:rsidRPr="00F315D9">
        <w:rPr>
          <w:lang w:val="es-ES"/>
        </w:rPr>
        <w:t xml:space="preserve">El análisis descriptivo de la volatilidad a nivel de empresa y sector evidencia una notable heterogeneidad: Real Estate y </w:t>
      </w:r>
      <w:proofErr w:type="spellStart"/>
      <w:r w:rsidRPr="00F315D9">
        <w:rPr>
          <w:lang w:val="es-ES"/>
        </w:rPr>
        <w:t>Materials</w:t>
      </w:r>
      <w:proofErr w:type="spellEnd"/>
      <w:r w:rsidRPr="00F315D9">
        <w:rPr>
          <w:lang w:val="es-ES"/>
        </w:rPr>
        <w:t xml:space="preserve"> concentran los valores más altos, mientras que </w:t>
      </w:r>
      <w:proofErr w:type="spellStart"/>
      <w:r w:rsidRPr="00F315D9">
        <w:rPr>
          <w:lang w:val="es-ES"/>
        </w:rPr>
        <w:t>Communication</w:t>
      </w:r>
      <w:proofErr w:type="spellEnd"/>
      <w:r w:rsidRPr="00F315D9">
        <w:rPr>
          <w:lang w:val="es-ES"/>
        </w:rPr>
        <w:t xml:space="preserve"> </w:t>
      </w:r>
      <w:proofErr w:type="spellStart"/>
      <w:r w:rsidRPr="00F315D9">
        <w:rPr>
          <w:lang w:val="es-ES"/>
        </w:rPr>
        <w:t>Services</w:t>
      </w:r>
      <w:proofErr w:type="spellEnd"/>
      <w:r w:rsidRPr="00F315D9">
        <w:rPr>
          <w:lang w:val="es-ES"/>
        </w:rPr>
        <w:t xml:space="preserve"> y </w:t>
      </w:r>
      <w:proofErr w:type="spellStart"/>
      <w:r w:rsidRPr="00F315D9">
        <w:rPr>
          <w:lang w:val="es-ES"/>
        </w:rPr>
        <w:t>Consumer</w:t>
      </w:r>
      <w:proofErr w:type="spellEnd"/>
      <w:r w:rsidRPr="00F315D9">
        <w:rPr>
          <w:lang w:val="es-ES"/>
        </w:rPr>
        <w:t xml:space="preserve"> </w:t>
      </w:r>
      <w:proofErr w:type="spellStart"/>
      <w:r w:rsidRPr="00F315D9">
        <w:rPr>
          <w:lang w:val="es-ES"/>
        </w:rPr>
        <w:t>Discretionary</w:t>
      </w:r>
      <w:proofErr w:type="spellEnd"/>
      <w:r w:rsidRPr="00F315D9">
        <w:rPr>
          <w:lang w:val="es-ES"/>
        </w:rPr>
        <w:t xml:space="preserve"> muestran los perfiles más estables.</w:t>
      </w:r>
    </w:p>
    <w:p w14:paraId="45992239" w14:textId="77777777" w:rsidR="001B6E41" w:rsidRDefault="00000000">
      <w:r>
        <w:rPr>
          <w:noProof/>
        </w:rPr>
        <w:drawing>
          <wp:inline distT="0" distB="0" distL="0" distR="0" wp14:anchorId="279EA317" wp14:editId="0BE36D9E">
            <wp:extent cx="4937760" cy="2458495"/>
            <wp:effectExtent l="0" t="0" r="0" b="0"/>
            <wp:docPr id="97" name="Picture" descr="Figura 9. Volatilidad por empresa (boxplot horizontal) y por sector GICS (barras). Real Estate y Materials son los sectores más volátiles; Communication Services el más estable."/>
            <wp:cNvGraphicFramePr/>
            <a:graphic xmlns:a="http://schemas.openxmlformats.org/drawingml/2006/main">
              <a:graphicData uri="http://schemas.openxmlformats.org/drawingml/2006/picture">
                <pic:pic xmlns:pic="http://schemas.openxmlformats.org/drawingml/2006/picture">
                  <pic:nvPicPr>
                    <pic:cNvPr id="98" name="Picture" descr="figuras/06_volatilidad_empresa_sector.png"/>
                    <pic:cNvPicPr>
                      <a:picLocks noChangeAspect="1" noChangeArrowheads="1"/>
                    </pic:cNvPicPr>
                  </pic:nvPicPr>
                  <pic:blipFill>
                    <a:blip r:embed="rId13"/>
                    <a:stretch>
                      <a:fillRect/>
                    </a:stretch>
                  </pic:blipFill>
                  <pic:spPr bwMode="auto">
                    <a:xfrm>
                      <a:off x="0" y="0"/>
                      <a:ext cx="4937760" cy="2458495"/>
                    </a:xfrm>
                    <a:prstGeom prst="rect">
                      <a:avLst/>
                    </a:prstGeom>
                    <a:noFill/>
                    <a:ln w="9525">
                      <a:noFill/>
                      <a:headEnd/>
                      <a:tailEnd/>
                    </a:ln>
                  </pic:spPr>
                </pic:pic>
              </a:graphicData>
            </a:graphic>
          </wp:inline>
        </w:drawing>
      </w:r>
    </w:p>
    <w:p w14:paraId="1EC2CB70" w14:textId="77777777" w:rsidR="001B6E41" w:rsidRPr="00F315D9" w:rsidRDefault="00000000">
      <w:pPr>
        <w:rPr>
          <w:lang w:val="es-ES"/>
        </w:rPr>
      </w:pPr>
      <w:r w:rsidRPr="00F315D9">
        <w:rPr>
          <w:b/>
          <w:bCs/>
          <w:lang w:val="es-ES"/>
        </w:rPr>
        <w:t>Figura 9.</w:t>
      </w:r>
      <w:r w:rsidRPr="00F315D9">
        <w:rPr>
          <w:lang w:val="es-ES"/>
        </w:rPr>
        <w:t xml:space="preserve"> Volatilidad por empresa (</w:t>
      </w:r>
      <w:proofErr w:type="spellStart"/>
      <w:r w:rsidRPr="00F315D9">
        <w:rPr>
          <w:lang w:val="es-ES"/>
        </w:rPr>
        <w:t>boxplot</w:t>
      </w:r>
      <w:proofErr w:type="spellEnd"/>
      <w:r w:rsidRPr="00F315D9">
        <w:rPr>
          <w:lang w:val="es-ES"/>
        </w:rPr>
        <w:t xml:space="preserve"> horizontal) y por sector GICS (barras). Real Estate y </w:t>
      </w:r>
      <w:proofErr w:type="spellStart"/>
      <w:r w:rsidRPr="00F315D9">
        <w:rPr>
          <w:lang w:val="es-ES"/>
        </w:rPr>
        <w:t>Materials</w:t>
      </w:r>
      <w:proofErr w:type="spellEnd"/>
      <w:r w:rsidRPr="00F315D9">
        <w:rPr>
          <w:lang w:val="es-ES"/>
        </w:rPr>
        <w:t xml:space="preserve"> son los sectores más volátiles; </w:t>
      </w:r>
      <w:proofErr w:type="spellStart"/>
      <w:r w:rsidRPr="00F315D9">
        <w:rPr>
          <w:lang w:val="es-ES"/>
        </w:rPr>
        <w:t>Communication</w:t>
      </w:r>
      <w:proofErr w:type="spellEnd"/>
      <w:r w:rsidRPr="00F315D9">
        <w:rPr>
          <w:lang w:val="es-ES"/>
        </w:rPr>
        <w:t xml:space="preserve"> </w:t>
      </w:r>
      <w:proofErr w:type="spellStart"/>
      <w:r w:rsidRPr="00F315D9">
        <w:rPr>
          <w:lang w:val="es-ES"/>
        </w:rPr>
        <w:t>Services</w:t>
      </w:r>
      <w:proofErr w:type="spellEnd"/>
      <w:r w:rsidRPr="00F315D9">
        <w:rPr>
          <w:lang w:val="es-ES"/>
        </w:rPr>
        <w:t xml:space="preserve"> el más estable.</w:t>
      </w:r>
    </w:p>
    <w:p w14:paraId="32033C4A" w14:textId="77777777" w:rsidR="001B6E41" w:rsidRPr="00F315D9" w:rsidRDefault="00000000">
      <w:pPr>
        <w:pStyle w:val="Textoindependiente"/>
        <w:rPr>
          <w:lang w:val="es-ES"/>
        </w:rPr>
      </w:pPr>
      <w:r w:rsidRPr="00F315D9">
        <w:rPr>
          <w:lang w:val="es-ES"/>
        </w:rPr>
        <w:t>Dado que la distribución de la volatilidad no es normal (Jarque-</w:t>
      </w:r>
      <w:proofErr w:type="spellStart"/>
      <w:r w:rsidRPr="00F315D9">
        <w:rPr>
          <w:lang w:val="es-ES"/>
        </w:rPr>
        <w:t>Bera</w:t>
      </w:r>
      <w:proofErr w:type="spellEnd"/>
      <w:r w:rsidRPr="00F315D9">
        <w:rPr>
          <w:lang w:val="es-ES"/>
        </w:rPr>
        <w:t xml:space="preserve">), se utiliza </w:t>
      </w:r>
      <w:proofErr w:type="gramStart"/>
      <w:r w:rsidRPr="00F315D9">
        <w:rPr>
          <w:lang w:val="es-ES"/>
        </w:rPr>
        <w:t>el test</w:t>
      </w:r>
      <w:proofErr w:type="gramEnd"/>
      <w:r w:rsidRPr="00F315D9">
        <w:rPr>
          <w:lang w:val="es-ES"/>
        </w:rPr>
        <w:t xml:space="preserve"> no paramétrico de </w:t>
      </w:r>
      <w:r w:rsidRPr="00F315D9">
        <w:rPr>
          <w:b/>
          <w:bCs/>
          <w:lang w:val="es-ES"/>
        </w:rPr>
        <w:t>Kruskal-Wallis</w:t>
      </w:r>
      <w:r w:rsidRPr="00F315D9">
        <w:rPr>
          <w:lang w:val="es-ES"/>
        </w:rPr>
        <w:t xml:space="preserve"> para evaluar si existen diferencias significativas entre los 11 sectores GICS:</w:t>
      </w:r>
    </w:p>
    <w:p w14:paraId="412CA9FD" w14:textId="77777777" w:rsidR="001B6E41" w:rsidRDefault="00000000">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7.259</m:t>
          </m:r>
          <m:r>
            <m:rPr>
              <m:sty m:val="p"/>
            </m:rPr>
            <w:rPr>
              <w:rFonts w:ascii="Cambria Math" w:hAnsi="Cambria Math"/>
            </w:rPr>
            <m:t>,</m:t>
          </m:r>
          <m:r>
            <w:rPr>
              <w:rFonts w:ascii="Cambria Math" w:hAnsi="Cambria Math"/>
            </w:rPr>
            <m:t>89 </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9823735" w14:textId="77777777" w:rsidR="001B6E41" w:rsidRPr="00F315D9" w:rsidRDefault="00000000">
      <w:pPr>
        <w:rPr>
          <w:lang w:val="es-ES"/>
        </w:rPr>
      </w:pPr>
      <w:r w:rsidRPr="00F315D9">
        <w:rPr>
          <w:lang w:val="es-ES"/>
        </w:rPr>
        <w:t xml:space="preserve">Se rechaza la hipótesis nula de igualdad de distribuciones. El análisis post-hoc con </w:t>
      </w:r>
      <w:r w:rsidRPr="00F315D9">
        <w:rPr>
          <w:b/>
          <w:bCs/>
          <w:lang w:val="es-ES"/>
        </w:rPr>
        <w:t>Mann-Whitney U</w:t>
      </w:r>
      <w:r w:rsidRPr="00F315D9">
        <w:rPr>
          <w:lang w:val="es-ES"/>
        </w:rPr>
        <w:t xml:space="preserve"> y corrección de </w:t>
      </w:r>
      <w:r w:rsidRPr="00F315D9">
        <w:rPr>
          <w:b/>
          <w:bCs/>
          <w:lang w:val="es-ES"/>
        </w:rPr>
        <w:t>Bonferroni</w:t>
      </w:r>
      <w:r w:rsidRPr="00F315D9">
        <w:rPr>
          <w:lang w:val="es-ES"/>
        </w:rPr>
        <w:t xml:space="preserve"> (</w:t>
      </w:r>
      <m:oMath>
        <m:r>
          <w:rPr>
            <w:rFonts w:ascii="Cambria Math" w:hAnsi="Cambria Math"/>
          </w:rPr>
          <m:t>α</m:t>
        </m:r>
        <m:r>
          <m:rPr>
            <m:sty m:val="p"/>
          </m:rPr>
          <w:rPr>
            <w:rFonts w:ascii="Cambria Math" w:hAnsi="Cambria Math"/>
            <w:lang w:val="es-ES"/>
          </w:rPr>
          <m:t>=</m:t>
        </m:r>
        <m:r>
          <w:rPr>
            <w:rFonts w:ascii="Cambria Math" w:hAnsi="Cambria Math"/>
            <w:lang w:val="es-ES"/>
          </w:rPr>
          <m:t>0</m:t>
        </m:r>
        <m:r>
          <m:rPr>
            <m:sty m:val="p"/>
          </m:rPr>
          <w:rPr>
            <w:rFonts w:ascii="Cambria Math" w:hAnsi="Cambria Math"/>
            <w:lang w:val="es-ES"/>
          </w:rPr>
          <m:t>,</m:t>
        </m:r>
        <m:r>
          <w:rPr>
            <w:rFonts w:ascii="Cambria Math" w:hAnsi="Cambria Math"/>
            <w:lang w:val="es-ES"/>
          </w:rPr>
          <m:t>0009</m:t>
        </m:r>
      </m:oMath>
      <w:r w:rsidRPr="00F315D9">
        <w:rPr>
          <w:lang w:val="es-ES"/>
        </w:rPr>
        <w:t xml:space="preserve"> para 55 comparaciones por pares) identifica </w:t>
      </w:r>
      <w:r w:rsidRPr="00F315D9">
        <w:rPr>
          <w:b/>
          <w:bCs/>
          <w:lang w:val="es-ES"/>
        </w:rPr>
        <w:t>47 de 55 pares</w:t>
      </w:r>
      <w:r w:rsidRPr="00F315D9">
        <w:rPr>
          <w:lang w:val="es-ES"/>
        </w:rPr>
        <w:t xml:space="preserve"> de sectores con diferencias estadísticamente significativas. Los sectores más volátiles son </w:t>
      </w:r>
      <w:r w:rsidRPr="00F315D9">
        <w:rPr>
          <w:b/>
          <w:bCs/>
          <w:lang w:val="es-ES"/>
        </w:rPr>
        <w:t>Real Estate (35,4%)</w:t>
      </w:r>
      <w:r w:rsidRPr="00F315D9">
        <w:rPr>
          <w:lang w:val="es-ES"/>
        </w:rPr>
        <w:t xml:space="preserve">, </w:t>
      </w:r>
      <w:proofErr w:type="spellStart"/>
      <w:r w:rsidRPr="00F315D9">
        <w:rPr>
          <w:b/>
          <w:bCs/>
          <w:lang w:val="es-ES"/>
        </w:rPr>
        <w:t>Materials</w:t>
      </w:r>
      <w:proofErr w:type="spellEnd"/>
      <w:r w:rsidRPr="00F315D9">
        <w:rPr>
          <w:b/>
          <w:bCs/>
          <w:lang w:val="es-ES"/>
        </w:rPr>
        <w:t xml:space="preserve"> (34,2%)</w:t>
      </w:r>
      <w:r w:rsidRPr="00F315D9">
        <w:rPr>
          <w:lang w:val="es-ES"/>
        </w:rPr>
        <w:t xml:space="preserve"> y </w:t>
      </w:r>
      <w:proofErr w:type="spellStart"/>
      <w:r w:rsidRPr="00F315D9">
        <w:rPr>
          <w:b/>
          <w:bCs/>
          <w:lang w:val="es-ES"/>
        </w:rPr>
        <w:t>Financials</w:t>
      </w:r>
      <w:proofErr w:type="spellEnd"/>
      <w:r w:rsidRPr="00F315D9">
        <w:rPr>
          <w:b/>
          <w:bCs/>
          <w:lang w:val="es-ES"/>
        </w:rPr>
        <w:t xml:space="preserve"> (30,7%)</w:t>
      </w:r>
      <w:r w:rsidRPr="00F315D9">
        <w:rPr>
          <w:lang w:val="es-ES"/>
        </w:rPr>
        <w:t xml:space="preserve">, mientras que los menos volátiles son </w:t>
      </w:r>
      <w:proofErr w:type="spellStart"/>
      <w:r w:rsidRPr="00F315D9">
        <w:rPr>
          <w:b/>
          <w:bCs/>
          <w:lang w:val="es-ES"/>
        </w:rPr>
        <w:t>Communication</w:t>
      </w:r>
      <w:proofErr w:type="spellEnd"/>
      <w:r w:rsidRPr="00F315D9">
        <w:rPr>
          <w:b/>
          <w:bCs/>
          <w:lang w:val="es-ES"/>
        </w:rPr>
        <w:t xml:space="preserve"> </w:t>
      </w:r>
      <w:proofErr w:type="spellStart"/>
      <w:r w:rsidRPr="00F315D9">
        <w:rPr>
          <w:b/>
          <w:bCs/>
          <w:lang w:val="es-ES"/>
        </w:rPr>
        <w:t>Services</w:t>
      </w:r>
      <w:proofErr w:type="spellEnd"/>
      <w:r w:rsidRPr="00F315D9">
        <w:rPr>
          <w:b/>
          <w:bCs/>
          <w:lang w:val="es-ES"/>
        </w:rPr>
        <w:t xml:space="preserve"> (23,5%)</w:t>
      </w:r>
      <w:r w:rsidRPr="00F315D9">
        <w:rPr>
          <w:lang w:val="es-ES"/>
        </w:rPr>
        <w:t xml:space="preserve"> y </w:t>
      </w:r>
      <w:proofErr w:type="spellStart"/>
      <w:r w:rsidRPr="00F315D9">
        <w:rPr>
          <w:b/>
          <w:bCs/>
          <w:lang w:val="es-ES"/>
        </w:rPr>
        <w:t>Consumer</w:t>
      </w:r>
      <w:proofErr w:type="spellEnd"/>
      <w:r w:rsidRPr="00F315D9">
        <w:rPr>
          <w:b/>
          <w:bCs/>
          <w:lang w:val="es-ES"/>
        </w:rPr>
        <w:t xml:space="preserve"> </w:t>
      </w:r>
      <w:proofErr w:type="spellStart"/>
      <w:r w:rsidRPr="00F315D9">
        <w:rPr>
          <w:b/>
          <w:bCs/>
          <w:lang w:val="es-ES"/>
        </w:rPr>
        <w:t>Discretionary</w:t>
      </w:r>
      <w:proofErr w:type="spellEnd"/>
      <w:r w:rsidRPr="00F315D9">
        <w:rPr>
          <w:b/>
          <w:bCs/>
          <w:lang w:val="es-ES"/>
        </w:rPr>
        <w:t xml:space="preserve"> (24,9%)</w:t>
      </w:r>
      <w:r w:rsidRPr="00F315D9">
        <w:rPr>
          <w:lang w:val="es-ES"/>
        </w:rPr>
        <w:t xml:space="preserve">. Este </w:t>
      </w:r>
      <w:r w:rsidRPr="00F315D9">
        <w:rPr>
          <w:lang w:val="es-ES"/>
        </w:rPr>
        <w:lastRenderedPageBreak/>
        <w:t>resultado confirma que la pertenencia sectorial es una variable relevante que explica diferencias sistemáticas de volatilidad.</w:t>
      </w:r>
    </w:p>
    <w:p w14:paraId="438CE676" w14:textId="77777777" w:rsidR="001B6E41" w:rsidRDefault="00000000">
      <w:r>
        <w:rPr>
          <w:noProof/>
        </w:rPr>
        <w:drawing>
          <wp:inline distT="0" distB="0" distL="0" distR="0" wp14:anchorId="2EF10C15" wp14:editId="7069589E">
            <wp:extent cx="4937760" cy="2108089"/>
            <wp:effectExtent l="0" t="0" r="0" b="0"/>
            <wp:docPr id="100" name="Picture" descr="Figura 10. Boxplot de volatilidad por sector GICS con resultado del test Kruskal-Wallis. Las diferencias entre sectores son estadísticamente significativas (H = 7.259,89, p &lt; 0,0001)."/>
            <wp:cNvGraphicFramePr/>
            <a:graphic xmlns:a="http://schemas.openxmlformats.org/drawingml/2006/main">
              <a:graphicData uri="http://schemas.openxmlformats.org/drawingml/2006/picture">
                <pic:pic xmlns:pic="http://schemas.openxmlformats.org/drawingml/2006/picture">
                  <pic:nvPicPr>
                    <pic:cNvPr id="101" name="Picture" descr="figuras/14_kruskal_wallis_sectores.png"/>
                    <pic:cNvPicPr>
                      <a:picLocks noChangeAspect="1" noChangeArrowheads="1"/>
                    </pic:cNvPicPr>
                  </pic:nvPicPr>
                  <pic:blipFill>
                    <a:blip r:embed="rId14"/>
                    <a:stretch>
                      <a:fillRect/>
                    </a:stretch>
                  </pic:blipFill>
                  <pic:spPr bwMode="auto">
                    <a:xfrm>
                      <a:off x="0" y="0"/>
                      <a:ext cx="4937760" cy="2108089"/>
                    </a:xfrm>
                    <a:prstGeom prst="rect">
                      <a:avLst/>
                    </a:prstGeom>
                    <a:noFill/>
                    <a:ln w="9525">
                      <a:noFill/>
                      <a:headEnd/>
                      <a:tailEnd/>
                    </a:ln>
                  </pic:spPr>
                </pic:pic>
              </a:graphicData>
            </a:graphic>
          </wp:inline>
        </w:drawing>
      </w:r>
    </w:p>
    <w:p w14:paraId="0F722086" w14:textId="77777777" w:rsidR="001B6E41" w:rsidRPr="00F315D9" w:rsidRDefault="00000000">
      <w:pPr>
        <w:rPr>
          <w:lang w:val="es-ES"/>
        </w:rPr>
      </w:pPr>
      <w:r w:rsidRPr="00F315D9">
        <w:rPr>
          <w:b/>
          <w:bCs/>
          <w:lang w:val="es-ES"/>
        </w:rPr>
        <w:t>Figura 10.</w:t>
      </w:r>
      <w:r w:rsidRPr="00F315D9">
        <w:rPr>
          <w:lang w:val="es-ES"/>
        </w:rPr>
        <w:t xml:space="preserve"> </w:t>
      </w:r>
      <w:proofErr w:type="spellStart"/>
      <w:r w:rsidRPr="00F315D9">
        <w:rPr>
          <w:lang w:val="es-ES"/>
        </w:rPr>
        <w:t>Boxplot</w:t>
      </w:r>
      <w:proofErr w:type="spellEnd"/>
      <w:r w:rsidRPr="00F315D9">
        <w:rPr>
          <w:lang w:val="es-ES"/>
        </w:rPr>
        <w:t xml:space="preserve"> de volatilidad por sector GICS con resultado </w:t>
      </w:r>
      <w:proofErr w:type="gramStart"/>
      <w:r w:rsidRPr="00F315D9">
        <w:rPr>
          <w:lang w:val="es-ES"/>
        </w:rPr>
        <w:t>del test</w:t>
      </w:r>
      <w:proofErr w:type="gramEnd"/>
      <w:r w:rsidRPr="00F315D9">
        <w:rPr>
          <w:lang w:val="es-ES"/>
        </w:rPr>
        <w:t xml:space="preserve"> Kruskal-Wallis. Las diferencias entre sectores son estadísticamente significativas (H = 7.259,89, p &lt; 0,0001).</w:t>
      </w:r>
    </w:p>
    <w:p w14:paraId="28567E7C" w14:textId="77777777" w:rsidR="001B6E41" w:rsidRPr="00F315D9" w:rsidRDefault="00000000">
      <w:pPr>
        <w:pStyle w:val="Ttulo3"/>
        <w:rPr>
          <w:lang w:val="es-ES"/>
        </w:rPr>
      </w:pPr>
      <w:bookmarkStart w:id="30" w:name="X25e4794c201c439458c895baba0d5ec44c51e0f"/>
      <w:bookmarkEnd w:id="29"/>
      <w:r w:rsidRPr="00F315D9">
        <w:rPr>
          <w:lang w:val="es-ES"/>
        </w:rPr>
        <w:t xml:space="preserve">6.7. Relación con las variables macro: correlaciones y </w:t>
      </w:r>
      <w:proofErr w:type="spellStart"/>
      <w:r w:rsidRPr="00F315D9">
        <w:rPr>
          <w:lang w:val="es-ES"/>
        </w:rPr>
        <w:t>cross</w:t>
      </w:r>
      <w:proofErr w:type="spellEnd"/>
      <w:r w:rsidRPr="00F315D9">
        <w:rPr>
          <w:lang w:val="es-ES"/>
        </w:rPr>
        <w:t>-correlación</w:t>
      </w:r>
    </w:p>
    <w:p w14:paraId="193F31AB" w14:textId="77777777" w:rsidR="001B6E41" w:rsidRPr="00F315D9" w:rsidRDefault="00000000">
      <w:pPr>
        <w:rPr>
          <w:lang w:val="es-ES"/>
        </w:rPr>
      </w:pPr>
      <w:r w:rsidRPr="00F315D9">
        <w:rPr>
          <w:lang w:val="es-ES"/>
        </w:rPr>
        <w:t>El punto de partida del análisis de relaciones es la evolución temporal de las propias variables macro, que permite identificar los regímenes económicos relevantes del período de estudio.</w:t>
      </w:r>
    </w:p>
    <w:p w14:paraId="28611FB3" w14:textId="77777777" w:rsidR="001B6E41" w:rsidRDefault="00000000">
      <w:r>
        <w:rPr>
          <w:noProof/>
        </w:rPr>
        <w:lastRenderedPageBreak/>
        <w:drawing>
          <wp:inline distT="0" distB="0" distL="0" distR="0" wp14:anchorId="1479A12F" wp14:editId="19293E40">
            <wp:extent cx="5212080" cy="5157417"/>
            <wp:effectExtent l="0" t="0" r="0" b="0"/>
            <wp:docPr id="104" name="Picture" descr="Figura 11. Evolución de las 8 variables macroeconómicas más relevantes del estudio (2005–2025): VIX, Bono ES 10Y, Spread ES-DE, Euribor 3M, Tipo BCE DFR, IPC YoY, PIB YoY y Brent. Permite identificar los regímenes macroeconómicos del período: tipos bajos (2012–2021), crisis de inflación (2021–2023) y normalización monetaria (2022–presente)."/>
            <wp:cNvGraphicFramePr/>
            <a:graphic xmlns:a="http://schemas.openxmlformats.org/drawingml/2006/main">
              <a:graphicData uri="http://schemas.openxmlformats.org/drawingml/2006/picture">
                <pic:pic xmlns:pic="http://schemas.openxmlformats.org/drawingml/2006/picture">
                  <pic:nvPicPr>
                    <pic:cNvPr id="105" name="Picture" descr="figuras/07_macro_evolucion.png"/>
                    <pic:cNvPicPr>
                      <a:picLocks noChangeAspect="1" noChangeArrowheads="1"/>
                    </pic:cNvPicPr>
                  </pic:nvPicPr>
                  <pic:blipFill>
                    <a:blip r:embed="rId15"/>
                    <a:stretch>
                      <a:fillRect/>
                    </a:stretch>
                  </pic:blipFill>
                  <pic:spPr bwMode="auto">
                    <a:xfrm>
                      <a:off x="0" y="0"/>
                      <a:ext cx="5212080" cy="5157417"/>
                    </a:xfrm>
                    <a:prstGeom prst="rect">
                      <a:avLst/>
                    </a:prstGeom>
                    <a:noFill/>
                    <a:ln w="9525">
                      <a:noFill/>
                      <a:headEnd/>
                      <a:tailEnd/>
                    </a:ln>
                  </pic:spPr>
                </pic:pic>
              </a:graphicData>
            </a:graphic>
          </wp:inline>
        </w:drawing>
      </w:r>
    </w:p>
    <w:p w14:paraId="3109E0CF" w14:textId="77777777" w:rsidR="001B6E41" w:rsidRPr="00F315D9" w:rsidRDefault="00000000">
      <w:pPr>
        <w:rPr>
          <w:lang w:val="es-ES"/>
        </w:rPr>
      </w:pPr>
      <w:r w:rsidRPr="00F315D9">
        <w:rPr>
          <w:b/>
          <w:bCs/>
          <w:lang w:val="es-ES"/>
        </w:rPr>
        <w:t>Figura 11.</w:t>
      </w:r>
      <w:r w:rsidRPr="00F315D9">
        <w:rPr>
          <w:lang w:val="es-ES"/>
        </w:rPr>
        <w:t xml:space="preserve"> Evolución de las 8 variables macroeconómicas más relevantes del estudio (2005–2025): VIX, Bono ES 10Y, Spread ES-DE, Euribor 3M, Tipo BCE DFR, IPC </w:t>
      </w:r>
      <w:proofErr w:type="spellStart"/>
      <w:r w:rsidRPr="00F315D9">
        <w:rPr>
          <w:lang w:val="es-ES"/>
        </w:rPr>
        <w:t>YoY</w:t>
      </w:r>
      <w:proofErr w:type="spellEnd"/>
      <w:r w:rsidRPr="00F315D9">
        <w:rPr>
          <w:lang w:val="es-ES"/>
        </w:rPr>
        <w:t xml:space="preserve">, PIB </w:t>
      </w:r>
      <w:proofErr w:type="spellStart"/>
      <w:r w:rsidRPr="00F315D9">
        <w:rPr>
          <w:lang w:val="es-ES"/>
        </w:rPr>
        <w:t>YoY</w:t>
      </w:r>
      <w:proofErr w:type="spellEnd"/>
      <w:r w:rsidRPr="00F315D9">
        <w:rPr>
          <w:lang w:val="es-ES"/>
        </w:rPr>
        <w:t xml:space="preserve"> y Brent. Permite identificar los regímenes macroeconómicos del período: tipos bajos (2012–2021), crisis de inflación (2021–2023) y normalización monetaria (2022–presente).</w:t>
      </w:r>
    </w:p>
    <w:p w14:paraId="63022350" w14:textId="77777777" w:rsidR="001B6E41" w:rsidRPr="00F315D9" w:rsidRDefault="00000000">
      <w:pPr>
        <w:pStyle w:val="Textoindependiente"/>
        <w:rPr>
          <w:lang w:val="es-ES"/>
        </w:rPr>
      </w:pPr>
      <w:r w:rsidRPr="00F315D9">
        <w:rPr>
          <w:lang w:val="es-ES"/>
        </w:rPr>
        <w:t>Las correlaciones de Pearson entre cada variable macro y la volatilidad media del IBEX 35 revelan una jerarquía clara de drivers:</w:t>
      </w:r>
    </w:p>
    <w:p w14:paraId="6411A427" w14:textId="77777777" w:rsidR="001B6E41" w:rsidRPr="00F315D9" w:rsidRDefault="00000000">
      <w:pPr>
        <w:pStyle w:val="Textoindependiente"/>
        <w:rPr>
          <w:lang w:val="es-ES"/>
        </w:rPr>
      </w:pPr>
      <w:r w:rsidRPr="00F315D9">
        <w:rPr>
          <w:b/>
          <w:bCs/>
          <w:lang w:val="es-ES"/>
        </w:rPr>
        <w:t>Correlaciones positivas más fuertes</w:t>
      </w:r>
      <w:r w:rsidRPr="00F315D9">
        <w:rPr>
          <w:lang w:val="es-ES"/>
        </w:rPr>
        <w:t xml:space="preserve"> (riesgo): VIBEX (+0,824), VIX (+0,754), VSTOXX (+0,728), Bono ES 10Y (+0,208), tasa de paro (+0,178).</w:t>
      </w:r>
    </w:p>
    <w:p w14:paraId="13D3622F" w14:textId="77777777" w:rsidR="001B6E41" w:rsidRPr="00F315D9" w:rsidRDefault="00000000">
      <w:pPr>
        <w:pStyle w:val="Textoindependiente"/>
        <w:rPr>
          <w:lang w:val="es-ES"/>
        </w:rPr>
      </w:pPr>
      <w:r w:rsidRPr="00F315D9">
        <w:rPr>
          <w:b/>
          <w:bCs/>
          <w:lang w:val="es-ES"/>
        </w:rPr>
        <w:t>Correlaciones negativas más fuertes</w:t>
      </w:r>
      <w:r w:rsidRPr="00F315D9">
        <w:rPr>
          <w:lang w:val="es-ES"/>
        </w:rPr>
        <w:t xml:space="preserve"> (actividad real): IPI </w:t>
      </w:r>
      <w:proofErr w:type="spellStart"/>
      <w:r w:rsidRPr="00F315D9">
        <w:rPr>
          <w:lang w:val="es-ES"/>
        </w:rPr>
        <w:t>YoY</w:t>
      </w:r>
      <w:proofErr w:type="spellEnd"/>
      <w:r w:rsidRPr="00F315D9">
        <w:rPr>
          <w:lang w:val="es-ES"/>
        </w:rPr>
        <w:t xml:space="preserve"> (−0,442), PIB </w:t>
      </w:r>
      <w:proofErr w:type="spellStart"/>
      <w:r w:rsidRPr="00F315D9">
        <w:rPr>
          <w:lang w:val="es-ES"/>
        </w:rPr>
        <w:t>YoY</w:t>
      </w:r>
      <w:proofErr w:type="spellEnd"/>
      <w:r w:rsidRPr="00F315D9">
        <w:rPr>
          <w:lang w:val="es-ES"/>
        </w:rPr>
        <w:t xml:space="preserve"> (−0,429).</w:t>
      </w:r>
    </w:p>
    <w:p w14:paraId="2F6A5BC6" w14:textId="77777777" w:rsidR="001B6E41" w:rsidRPr="00F315D9" w:rsidRDefault="00000000">
      <w:pPr>
        <w:pStyle w:val="Textoindependiente"/>
        <w:rPr>
          <w:lang w:val="es-ES"/>
        </w:rPr>
      </w:pPr>
      <w:r w:rsidRPr="00F315D9">
        <w:rPr>
          <w:lang w:val="es-ES"/>
        </w:rPr>
        <w:t xml:space="preserve">Estas correlaciones confirman la intuición económica: los indicadores de riesgo se asocian positivamente con la volatilidad, mientras que los indicadores de actividad real se asocian negativamente. El </w:t>
      </w:r>
      <w:proofErr w:type="spellStart"/>
      <w:r w:rsidRPr="00F315D9">
        <w:rPr>
          <w:lang w:val="es-ES"/>
        </w:rPr>
        <w:t>heatmap</w:t>
      </w:r>
      <w:proofErr w:type="spellEnd"/>
      <w:r w:rsidRPr="00F315D9">
        <w:rPr>
          <w:lang w:val="es-ES"/>
        </w:rPr>
        <w:t xml:space="preserve"> triangular entre las propias variables macro revela </w:t>
      </w:r>
      <w:r w:rsidRPr="00F315D9">
        <w:rPr>
          <w:lang w:val="es-ES"/>
        </w:rPr>
        <w:lastRenderedPageBreak/>
        <w:t>multicolinealidades importantes que se deben tener en cuenta en la modelización (VIX-VSTOXX: +0,93; euribor_3m-euribor_6m: +0,99).</w:t>
      </w:r>
    </w:p>
    <w:p w14:paraId="1E4F8556" w14:textId="77777777" w:rsidR="001B6E41" w:rsidRDefault="00000000">
      <w:r>
        <w:rPr>
          <w:noProof/>
        </w:rPr>
        <w:drawing>
          <wp:inline distT="0" distB="0" distL="0" distR="0" wp14:anchorId="5E45DD3D" wp14:editId="39454BA5">
            <wp:extent cx="5212080" cy="2357250"/>
            <wp:effectExtent l="0" t="0" r="0" b="0"/>
            <wp:docPr id="107" name="Picture" descr="Figura 12. Correlaciones entre variables macroeconómicas y la volatilidad media del IBEX 35. Panel izquierdo: ranking de correlaciones de Pearson de cada variable con la volatilidad. Panel derecho: heatmap triangular de correlaciones cruzadas entre variables macro, evidenciando multicolinealidades relevantes (VIX-VSTOXX, Euribor 3M-6M)."/>
            <wp:cNvGraphicFramePr/>
            <a:graphic xmlns:a="http://schemas.openxmlformats.org/drawingml/2006/main">
              <a:graphicData uri="http://schemas.openxmlformats.org/drawingml/2006/picture">
                <pic:pic xmlns:pic="http://schemas.openxmlformats.org/drawingml/2006/picture">
                  <pic:nvPicPr>
                    <pic:cNvPr id="108" name="Picture" descr="figuras/09_correlaciones_macro_vol.png"/>
                    <pic:cNvPicPr>
                      <a:picLocks noChangeAspect="1" noChangeArrowheads="1"/>
                    </pic:cNvPicPr>
                  </pic:nvPicPr>
                  <pic:blipFill>
                    <a:blip r:embed="rId16"/>
                    <a:stretch>
                      <a:fillRect/>
                    </a:stretch>
                  </pic:blipFill>
                  <pic:spPr bwMode="auto">
                    <a:xfrm>
                      <a:off x="0" y="0"/>
                      <a:ext cx="5212080" cy="2357250"/>
                    </a:xfrm>
                    <a:prstGeom prst="rect">
                      <a:avLst/>
                    </a:prstGeom>
                    <a:noFill/>
                    <a:ln w="9525">
                      <a:noFill/>
                      <a:headEnd/>
                      <a:tailEnd/>
                    </a:ln>
                  </pic:spPr>
                </pic:pic>
              </a:graphicData>
            </a:graphic>
          </wp:inline>
        </w:drawing>
      </w:r>
    </w:p>
    <w:p w14:paraId="6BBAF5E1" w14:textId="77777777" w:rsidR="001B6E41" w:rsidRPr="00F315D9" w:rsidRDefault="00000000">
      <w:pPr>
        <w:rPr>
          <w:lang w:val="es-ES"/>
        </w:rPr>
      </w:pPr>
      <w:r w:rsidRPr="00F315D9">
        <w:rPr>
          <w:b/>
          <w:bCs/>
          <w:lang w:val="es-ES"/>
        </w:rPr>
        <w:t>Figura 12.</w:t>
      </w:r>
      <w:r w:rsidRPr="00F315D9">
        <w:rPr>
          <w:lang w:val="es-ES"/>
        </w:rPr>
        <w:t xml:space="preserve"> Correlaciones entre variables macroeconómicas y la volatilidad media del IBEX 35. Panel izquierdo: ranking de correlaciones de Pearson de cada variable con la volatilidad. Panel derecho: </w:t>
      </w:r>
      <w:proofErr w:type="spellStart"/>
      <w:r w:rsidRPr="00F315D9">
        <w:rPr>
          <w:lang w:val="es-ES"/>
        </w:rPr>
        <w:t>heatmap</w:t>
      </w:r>
      <w:proofErr w:type="spellEnd"/>
      <w:r w:rsidRPr="00F315D9">
        <w:rPr>
          <w:lang w:val="es-ES"/>
        </w:rPr>
        <w:t xml:space="preserve"> triangular de correlaciones cruzadas entre variables macro, evidenciando multicolinealidades relevantes (VIX-VSTOXX, Euribor 3M-6M).</w:t>
      </w:r>
    </w:p>
    <w:p w14:paraId="7E779712" w14:textId="77777777" w:rsidR="001B6E41" w:rsidRPr="00F315D9" w:rsidRDefault="00000000">
      <w:pPr>
        <w:pStyle w:val="Textoindependiente"/>
        <w:rPr>
          <w:lang w:val="es-ES"/>
        </w:rPr>
      </w:pPr>
      <w:r w:rsidRPr="00F315D9">
        <w:rPr>
          <w:lang w:val="es-ES"/>
        </w:rPr>
        <w:t>La comparación directa de la volatilidad del IBEX con las dos variables macro más representativas (VIX como indicador de riesgo global y Euribor 3M como condición monetaria) ilustra visualmente estas relaciones y los cambios de régimen observados entre 2008 y 2023.</w:t>
      </w:r>
    </w:p>
    <w:p w14:paraId="4CEB81C1" w14:textId="77777777" w:rsidR="001B6E41" w:rsidRDefault="00000000">
      <w:r>
        <w:rPr>
          <w:noProof/>
        </w:rPr>
        <w:drawing>
          <wp:inline distT="0" distB="0" distL="0" distR="0" wp14:anchorId="3273D4A8" wp14:editId="20B1F119">
            <wp:extent cx="4937760" cy="2722231"/>
            <wp:effectExtent l="0" t="0" r="0" b="0"/>
            <wp:docPr id="110" name="Picture" descr="Figura 13. Volatilidad IBEX 35 frente a VIX (arriba) y frente a Euribor 3M (abajo). El panel superior muestra la sincronización casi perfecta del VIX con la volatilidad doméstica en períodos de crisis; el inferior, el cambio de régimen de tipos del BCE entre 2008 y 2023."/>
            <wp:cNvGraphicFramePr/>
            <a:graphic xmlns:a="http://schemas.openxmlformats.org/drawingml/2006/main">
              <a:graphicData uri="http://schemas.openxmlformats.org/drawingml/2006/picture">
                <pic:pic xmlns:pic="http://schemas.openxmlformats.org/drawingml/2006/picture">
                  <pic:nvPicPr>
                    <pic:cNvPr id="111" name="Picture" descr="figuras/10_volatilidad_vix_euribor.png"/>
                    <pic:cNvPicPr>
                      <a:picLocks noChangeAspect="1" noChangeArrowheads="1"/>
                    </pic:cNvPicPr>
                  </pic:nvPicPr>
                  <pic:blipFill>
                    <a:blip r:embed="rId17"/>
                    <a:stretch>
                      <a:fillRect/>
                    </a:stretch>
                  </pic:blipFill>
                  <pic:spPr bwMode="auto">
                    <a:xfrm>
                      <a:off x="0" y="0"/>
                      <a:ext cx="4937760" cy="2722231"/>
                    </a:xfrm>
                    <a:prstGeom prst="rect">
                      <a:avLst/>
                    </a:prstGeom>
                    <a:noFill/>
                    <a:ln w="9525">
                      <a:noFill/>
                      <a:headEnd/>
                      <a:tailEnd/>
                    </a:ln>
                  </pic:spPr>
                </pic:pic>
              </a:graphicData>
            </a:graphic>
          </wp:inline>
        </w:drawing>
      </w:r>
    </w:p>
    <w:p w14:paraId="01DD9877" w14:textId="77777777" w:rsidR="001B6E41" w:rsidRPr="00F315D9" w:rsidRDefault="00000000">
      <w:pPr>
        <w:rPr>
          <w:lang w:val="es-ES"/>
        </w:rPr>
      </w:pPr>
      <w:r w:rsidRPr="00F315D9">
        <w:rPr>
          <w:b/>
          <w:bCs/>
          <w:lang w:val="es-ES"/>
        </w:rPr>
        <w:t>Figura 13.</w:t>
      </w:r>
      <w:r w:rsidRPr="00F315D9">
        <w:rPr>
          <w:lang w:val="es-ES"/>
        </w:rPr>
        <w:t xml:space="preserve"> Volatilidad IBEX 35 frente a VIX (arriba) y frente a Euribor 3M (abajo). El panel superior muestra la sincronización casi perfecta del VIX con la volatilidad doméstica en períodos de crisis; el inferior, el cambio de régimen de tipos del BCE entre 2008 y 2023.</w:t>
      </w:r>
    </w:p>
    <w:p w14:paraId="2D2ECE6B" w14:textId="77777777" w:rsidR="001B6E41" w:rsidRDefault="00000000">
      <w:pPr>
        <w:pStyle w:val="Textoindependiente"/>
      </w:pPr>
      <w:r w:rsidRPr="00F315D9">
        <w:rPr>
          <w:lang w:val="es-ES"/>
        </w:rPr>
        <w:lastRenderedPageBreak/>
        <w:t xml:space="preserve">El análisis de </w:t>
      </w:r>
      <w:proofErr w:type="spellStart"/>
      <w:r w:rsidRPr="00F315D9">
        <w:rPr>
          <w:b/>
          <w:bCs/>
          <w:lang w:val="es-ES"/>
        </w:rPr>
        <w:t>cross</w:t>
      </w:r>
      <w:proofErr w:type="spellEnd"/>
      <w:r w:rsidRPr="00F315D9">
        <w:rPr>
          <w:b/>
          <w:bCs/>
          <w:lang w:val="es-ES"/>
        </w:rPr>
        <w:t>-correlación</w:t>
      </w:r>
      <w:r w:rsidRPr="00F315D9">
        <w:rPr>
          <w:lang w:val="es-ES"/>
        </w:rPr>
        <w:t xml:space="preserve"> (CCF) con retardos de 0 a 60 días permite evaluar si alguna variable macro </w:t>
      </w:r>
      <w:r w:rsidRPr="00F315D9">
        <w:rPr>
          <w:b/>
          <w:bCs/>
          <w:lang w:val="es-ES"/>
        </w:rPr>
        <w:t>lidera</w:t>
      </w:r>
      <w:r w:rsidRPr="00F315D9">
        <w:rPr>
          <w:lang w:val="es-ES"/>
        </w:rPr>
        <w:t xml:space="preserve"> la volatilidad. </w:t>
      </w:r>
      <w:r>
        <w:t xml:space="preserve">La </w:t>
      </w:r>
      <w:proofErr w:type="spellStart"/>
      <w:r>
        <w:t>banda</w:t>
      </w:r>
      <w:proofErr w:type="spellEnd"/>
      <w:r>
        <w:t xml:space="preserve"> de confianza al 95% es ±0,0269 (</w:t>
      </w:r>
      <m:oMath>
        <m:r>
          <w:rPr>
            <w:rFonts w:ascii="Cambria Math" w:hAnsi="Cambria Math"/>
          </w:rPr>
          <m:t>1</m:t>
        </m:r>
        <m:r>
          <m:rPr>
            <m:sty m:val="p"/>
          </m:rPr>
          <w:rPr>
            <w:rFonts w:ascii="Cambria Math" w:hAnsi="Cambria Math"/>
          </w:rPr>
          <m:t>,</m:t>
        </m:r>
        <m:r>
          <w:rPr>
            <w:rFonts w:ascii="Cambria Math" w:hAnsi="Cambria Math"/>
          </w:rPr>
          <m:t>96</m:t>
        </m:r>
        <m:r>
          <m:rPr>
            <m:sty m:val="p"/>
          </m:rPr>
          <w:rPr>
            <w:rFonts w:ascii="Cambria Math" w:hAnsi="Cambria Math"/>
          </w:rPr>
          <m:t>/</m:t>
        </m:r>
        <m:rad>
          <m:radPr>
            <m:degHide m:val="1"/>
            <m:ctrlPr>
              <w:rPr>
                <w:rFonts w:ascii="Cambria Math" w:hAnsi="Cambria Math"/>
              </w:rPr>
            </m:ctrlPr>
          </m:radPr>
          <m:deg/>
          <m:e>
            <m:r>
              <w:rPr>
                <w:rFonts w:ascii="Cambria Math" w:hAnsi="Cambria Math"/>
              </w:rPr>
              <m:t>5</m:t>
            </m:r>
            <m:r>
              <m:rPr>
                <m:sty m:val="p"/>
              </m:rPr>
              <w:rPr>
                <w:rFonts w:ascii="Cambria Math" w:hAnsi="Cambria Math"/>
              </w:rPr>
              <m:t>.</m:t>
            </m:r>
            <m:r>
              <w:rPr>
                <w:rFonts w:ascii="Cambria Math" w:hAnsi="Cambria Math"/>
              </w:rPr>
              <m:t>323</m:t>
            </m:r>
          </m:e>
        </m:rad>
      </m:oMath>
      <w:r>
        <w:t>):</w:t>
      </w:r>
    </w:p>
    <w:tbl>
      <w:tblPr>
        <w:tblW w:w="0" w:type="auto"/>
        <w:tblLook w:val="0020" w:firstRow="1" w:lastRow="0" w:firstColumn="0" w:lastColumn="0" w:noHBand="0" w:noVBand="0"/>
      </w:tblPr>
      <w:tblGrid>
        <w:gridCol w:w="1409"/>
        <w:gridCol w:w="1330"/>
        <w:gridCol w:w="1236"/>
        <w:gridCol w:w="2454"/>
      </w:tblGrid>
      <w:tr w:rsidR="001B6E41" w14:paraId="1B16948A" w14:textId="77777777">
        <w:trPr>
          <w:tblHeader/>
        </w:trPr>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77B1B9C2" w14:textId="77777777" w:rsidR="001B6E41" w:rsidRDefault="00000000">
            <w:r>
              <w:rPr>
                <w:b/>
                <w:color w:val="FFFFFF"/>
              </w:rPr>
              <w:t>Variable</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783044FA" w14:textId="77777777" w:rsidR="001B6E41" w:rsidRDefault="00000000">
            <w:r>
              <w:rPr>
                <w:b/>
                <w:color w:val="FFFFFF"/>
              </w:rPr>
              <w:t>CCF máxima</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6ED3349C" w14:textId="77777777" w:rsidR="001B6E41" w:rsidRDefault="00000000">
            <w:r>
              <w:rPr>
                <w:b/>
                <w:color w:val="FFFFFF"/>
              </w:rPr>
              <w:t>Lag óptimo</w:t>
            </w:r>
          </w:p>
        </w:tc>
        <w:tc>
          <w:tcPr>
            <w:tcW w:w="0" w:type="auto"/>
            <w:tcBorders>
              <w:top w:val="single" w:sz="4" w:space="0" w:color="404040"/>
              <w:left w:val="single" w:sz="4" w:space="0" w:color="404040"/>
              <w:bottom w:val="single" w:sz="4" w:space="0" w:color="404040"/>
              <w:right w:val="single" w:sz="4" w:space="0" w:color="404040"/>
            </w:tcBorders>
            <w:shd w:val="clear" w:color="auto" w:fill="404040"/>
          </w:tcPr>
          <w:p w14:paraId="37964660" w14:textId="77777777" w:rsidR="001B6E41" w:rsidRDefault="00000000">
            <w:r>
              <w:rPr>
                <w:b/>
                <w:color w:val="FFFFFF"/>
              </w:rPr>
              <w:t>Interpretación</w:t>
            </w:r>
          </w:p>
        </w:tc>
      </w:tr>
      <w:tr w:rsidR="001B6E41" w14:paraId="5FDB081D" w14:textId="77777777">
        <w:tc>
          <w:tcPr>
            <w:tcW w:w="0" w:type="auto"/>
            <w:tcBorders>
              <w:top w:val="single" w:sz="4" w:space="0" w:color="BFBFBF"/>
              <w:left w:val="single" w:sz="4" w:space="0" w:color="BFBFBF"/>
              <w:bottom w:val="single" w:sz="4" w:space="0" w:color="BFBFBF"/>
              <w:right w:val="single" w:sz="4" w:space="0" w:color="BFBFBF"/>
            </w:tcBorders>
          </w:tcPr>
          <w:p w14:paraId="4C4D266F" w14:textId="77777777" w:rsidR="001B6E41" w:rsidRDefault="00000000">
            <w:r>
              <w:t>VIX</w:t>
            </w:r>
          </w:p>
        </w:tc>
        <w:tc>
          <w:tcPr>
            <w:tcW w:w="0" w:type="auto"/>
            <w:tcBorders>
              <w:top w:val="single" w:sz="4" w:space="0" w:color="BFBFBF"/>
              <w:left w:val="single" w:sz="4" w:space="0" w:color="BFBFBF"/>
              <w:bottom w:val="single" w:sz="4" w:space="0" w:color="BFBFBF"/>
              <w:right w:val="single" w:sz="4" w:space="0" w:color="BFBFBF"/>
            </w:tcBorders>
          </w:tcPr>
          <w:p w14:paraId="46C841EC" w14:textId="77777777" w:rsidR="001B6E41" w:rsidRDefault="00000000">
            <w:r>
              <w:t>+0,754</w:t>
            </w:r>
          </w:p>
        </w:tc>
        <w:tc>
          <w:tcPr>
            <w:tcW w:w="0" w:type="auto"/>
            <w:tcBorders>
              <w:top w:val="single" w:sz="4" w:space="0" w:color="BFBFBF"/>
              <w:left w:val="single" w:sz="4" w:space="0" w:color="BFBFBF"/>
              <w:bottom w:val="single" w:sz="4" w:space="0" w:color="BFBFBF"/>
              <w:right w:val="single" w:sz="4" w:space="0" w:color="BFBFBF"/>
            </w:tcBorders>
          </w:tcPr>
          <w:p w14:paraId="0B95CD29" w14:textId="77777777" w:rsidR="001B6E41" w:rsidRDefault="00000000">
            <w:r>
              <w:t>0</w:t>
            </w:r>
          </w:p>
        </w:tc>
        <w:tc>
          <w:tcPr>
            <w:tcW w:w="0" w:type="auto"/>
            <w:tcBorders>
              <w:top w:val="single" w:sz="4" w:space="0" w:color="BFBFBF"/>
              <w:left w:val="single" w:sz="4" w:space="0" w:color="BFBFBF"/>
              <w:bottom w:val="single" w:sz="4" w:space="0" w:color="BFBFBF"/>
              <w:right w:val="single" w:sz="4" w:space="0" w:color="BFBFBF"/>
            </w:tcBorders>
          </w:tcPr>
          <w:p w14:paraId="0CEC49E2" w14:textId="77777777" w:rsidR="001B6E41" w:rsidRDefault="00000000">
            <w:r>
              <w:t>Relación contemporánea</w:t>
            </w:r>
          </w:p>
        </w:tc>
      </w:tr>
      <w:tr w:rsidR="001B6E41" w14:paraId="5746FB06" w14:textId="77777777">
        <w:tc>
          <w:tcPr>
            <w:tcW w:w="0" w:type="auto"/>
            <w:tcBorders>
              <w:top w:val="single" w:sz="4" w:space="0" w:color="BFBFBF"/>
              <w:left w:val="single" w:sz="4" w:space="0" w:color="BFBFBF"/>
              <w:bottom w:val="single" w:sz="4" w:space="0" w:color="BFBFBF"/>
              <w:right w:val="single" w:sz="4" w:space="0" w:color="BFBFBF"/>
            </w:tcBorders>
          </w:tcPr>
          <w:p w14:paraId="70D33665" w14:textId="77777777" w:rsidR="001B6E41" w:rsidRDefault="00000000">
            <w:r>
              <w:t>Bono ES 10Y</w:t>
            </w:r>
          </w:p>
        </w:tc>
        <w:tc>
          <w:tcPr>
            <w:tcW w:w="0" w:type="auto"/>
            <w:tcBorders>
              <w:top w:val="single" w:sz="4" w:space="0" w:color="BFBFBF"/>
              <w:left w:val="single" w:sz="4" w:space="0" w:color="BFBFBF"/>
              <w:bottom w:val="single" w:sz="4" w:space="0" w:color="BFBFBF"/>
              <w:right w:val="single" w:sz="4" w:space="0" w:color="BFBFBF"/>
            </w:tcBorders>
          </w:tcPr>
          <w:p w14:paraId="71DAB62D" w14:textId="77777777" w:rsidR="001B6E41" w:rsidRDefault="00000000">
            <w:r>
              <w:t>+0,208</w:t>
            </w:r>
          </w:p>
        </w:tc>
        <w:tc>
          <w:tcPr>
            <w:tcW w:w="0" w:type="auto"/>
            <w:tcBorders>
              <w:top w:val="single" w:sz="4" w:space="0" w:color="BFBFBF"/>
              <w:left w:val="single" w:sz="4" w:space="0" w:color="BFBFBF"/>
              <w:bottom w:val="single" w:sz="4" w:space="0" w:color="BFBFBF"/>
              <w:right w:val="single" w:sz="4" w:space="0" w:color="BFBFBF"/>
            </w:tcBorders>
          </w:tcPr>
          <w:p w14:paraId="6E8BD55B" w14:textId="77777777" w:rsidR="001B6E41" w:rsidRDefault="00000000">
            <w:r>
              <w:t>0</w:t>
            </w:r>
          </w:p>
        </w:tc>
        <w:tc>
          <w:tcPr>
            <w:tcW w:w="0" w:type="auto"/>
            <w:tcBorders>
              <w:top w:val="single" w:sz="4" w:space="0" w:color="BFBFBF"/>
              <w:left w:val="single" w:sz="4" w:space="0" w:color="BFBFBF"/>
              <w:bottom w:val="single" w:sz="4" w:space="0" w:color="BFBFBF"/>
              <w:right w:val="single" w:sz="4" w:space="0" w:color="BFBFBF"/>
            </w:tcBorders>
          </w:tcPr>
          <w:p w14:paraId="0584EB63" w14:textId="77777777" w:rsidR="001B6E41" w:rsidRDefault="00000000">
            <w:r>
              <w:t>Relación contemporánea</w:t>
            </w:r>
          </w:p>
        </w:tc>
      </w:tr>
      <w:tr w:rsidR="001B6E41" w14:paraId="0D92F26C" w14:textId="77777777">
        <w:tc>
          <w:tcPr>
            <w:tcW w:w="0" w:type="auto"/>
            <w:tcBorders>
              <w:top w:val="single" w:sz="4" w:space="0" w:color="BFBFBF"/>
              <w:left w:val="single" w:sz="4" w:space="0" w:color="BFBFBF"/>
              <w:bottom w:val="single" w:sz="4" w:space="0" w:color="BFBFBF"/>
              <w:right w:val="single" w:sz="4" w:space="0" w:color="BFBFBF"/>
            </w:tcBorders>
          </w:tcPr>
          <w:p w14:paraId="5918E8A6" w14:textId="77777777" w:rsidR="001B6E41" w:rsidRDefault="00000000">
            <w:r>
              <w:t>Spread ES-DE</w:t>
            </w:r>
          </w:p>
        </w:tc>
        <w:tc>
          <w:tcPr>
            <w:tcW w:w="0" w:type="auto"/>
            <w:tcBorders>
              <w:top w:val="single" w:sz="4" w:space="0" w:color="BFBFBF"/>
              <w:left w:val="single" w:sz="4" w:space="0" w:color="BFBFBF"/>
              <w:bottom w:val="single" w:sz="4" w:space="0" w:color="BFBFBF"/>
              <w:right w:val="single" w:sz="4" w:space="0" w:color="BFBFBF"/>
            </w:tcBorders>
          </w:tcPr>
          <w:p w14:paraId="2BA20F7C" w14:textId="77777777" w:rsidR="001B6E41" w:rsidRDefault="00000000">
            <w:r>
              <w:t>−0,119</w:t>
            </w:r>
          </w:p>
        </w:tc>
        <w:tc>
          <w:tcPr>
            <w:tcW w:w="0" w:type="auto"/>
            <w:tcBorders>
              <w:top w:val="single" w:sz="4" w:space="0" w:color="BFBFBF"/>
              <w:left w:val="single" w:sz="4" w:space="0" w:color="BFBFBF"/>
              <w:bottom w:val="single" w:sz="4" w:space="0" w:color="BFBFBF"/>
              <w:right w:val="single" w:sz="4" w:space="0" w:color="BFBFBF"/>
            </w:tcBorders>
          </w:tcPr>
          <w:p w14:paraId="0338C019" w14:textId="77777777" w:rsidR="001B6E41" w:rsidRDefault="00000000">
            <w:r>
              <w:t>59</w:t>
            </w:r>
          </w:p>
        </w:tc>
        <w:tc>
          <w:tcPr>
            <w:tcW w:w="0" w:type="auto"/>
            <w:tcBorders>
              <w:top w:val="single" w:sz="4" w:space="0" w:color="BFBFBF"/>
              <w:left w:val="single" w:sz="4" w:space="0" w:color="BFBFBF"/>
              <w:bottom w:val="single" w:sz="4" w:space="0" w:color="BFBFBF"/>
              <w:right w:val="single" w:sz="4" w:space="0" w:color="BFBFBF"/>
            </w:tcBorders>
          </w:tcPr>
          <w:p w14:paraId="332E2D77" w14:textId="77777777" w:rsidR="001B6E41" w:rsidRDefault="00000000">
            <w:r>
              <w:t>Adelanta la volatilidad</w:t>
            </w:r>
          </w:p>
        </w:tc>
      </w:tr>
      <w:tr w:rsidR="001B6E41" w14:paraId="2E146411" w14:textId="77777777">
        <w:tc>
          <w:tcPr>
            <w:tcW w:w="0" w:type="auto"/>
            <w:tcBorders>
              <w:top w:val="single" w:sz="4" w:space="0" w:color="BFBFBF"/>
              <w:left w:val="single" w:sz="4" w:space="0" w:color="BFBFBF"/>
              <w:bottom w:val="single" w:sz="4" w:space="0" w:color="BFBFBF"/>
              <w:right w:val="single" w:sz="4" w:space="0" w:color="BFBFBF"/>
            </w:tcBorders>
          </w:tcPr>
          <w:p w14:paraId="596AC896" w14:textId="77777777" w:rsidR="001B6E41" w:rsidRDefault="00000000">
            <w:r>
              <w:t>Brent</w:t>
            </w:r>
          </w:p>
        </w:tc>
        <w:tc>
          <w:tcPr>
            <w:tcW w:w="0" w:type="auto"/>
            <w:tcBorders>
              <w:top w:val="single" w:sz="4" w:space="0" w:color="BFBFBF"/>
              <w:left w:val="single" w:sz="4" w:space="0" w:color="BFBFBF"/>
              <w:bottom w:val="single" w:sz="4" w:space="0" w:color="BFBFBF"/>
              <w:right w:val="single" w:sz="4" w:space="0" w:color="BFBFBF"/>
            </w:tcBorders>
          </w:tcPr>
          <w:p w14:paraId="709E1AE6" w14:textId="77777777" w:rsidR="001B6E41" w:rsidRDefault="00000000">
            <w:r>
              <w:t>−0,056</w:t>
            </w:r>
          </w:p>
        </w:tc>
        <w:tc>
          <w:tcPr>
            <w:tcW w:w="0" w:type="auto"/>
            <w:tcBorders>
              <w:top w:val="single" w:sz="4" w:space="0" w:color="BFBFBF"/>
              <w:left w:val="single" w:sz="4" w:space="0" w:color="BFBFBF"/>
              <w:bottom w:val="single" w:sz="4" w:space="0" w:color="BFBFBF"/>
              <w:right w:val="single" w:sz="4" w:space="0" w:color="BFBFBF"/>
            </w:tcBorders>
          </w:tcPr>
          <w:p w14:paraId="7C7AE5C8" w14:textId="77777777" w:rsidR="001B6E41" w:rsidRDefault="00000000">
            <w:r>
              <w:t>19</w:t>
            </w:r>
          </w:p>
        </w:tc>
        <w:tc>
          <w:tcPr>
            <w:tcW w:w="0" w:type="auto"/>
            <w:tcBorders>
              <w:top w:val="single" w:sz="4" w:space="0" w:color="BFBFBF"/>
              <w:left w:val="single" w:sz="4" w:space="0" w:color="BFBFBF"/>
              <w:bottom w:val="single" w:sz="4" w:space="0" w:color="BFBFBF"/>
              <w:right w:val="single" w:sz="4" w:space="0" w:color="BFBFBF"/>
            </w:tcBorders>
          </w:tcPr>
          <w:p w14:paraId="11CE3001" w14:textId="77777777" w:rsidR="001B6E41" w:rsidRDefault="00000000">
            <w:r>
              <w:t>Efecto retardado</w:t>
            </w:r>
          </w:p>
        </w:tc>
      </w:tr>
      <w:tr w:rsidR="001B6E41" w14:paraId="2F4FAE4E" w14:textId="77777777">
        <w:tc>
          <w:tcPr>
            <w:tcW w:w="0" w:type="auto"/>
            <w:tcBorders>
              <w:top w:val="single" w:sz="4" w:space="0" w:color="BFBFBF"/>
              <w:left w:val="single" w:sz="4" w:space="0" w:color="BFBFBF"/>
              <w:bottom w:val="single" w:sz="4" w:space="0" w:color="BFBFBF"/>
              <w:right w:val="single" w:sz="4" w:space="0" w:color="BFBFBF"/>
            </w:tcBorders>
          </w:tcPr>
          <w:p w14:paraId="5F4FA183" w14:textId="77777777" w:rsidR="001B6E41" w:rsidRDefault="00000000">
            <w:r>
              <w:t>Euribor 3M</w:t>
            </w:r>
          </w:p>
        </w:tc>
        <w:tc>
          <w:tcPr>
            <w:tcW w:w="0" w:type="auto"/>
            <w:tcBorders>
              <w:top w:val="single" w:sz="4" w:space="0" w:color="BFBFBF"/>
              <w:left w:val="single" w:sz="4" w:space="0" w:color="BFBFBF"/>
              <w:bottom w:val="single" w:sz="4" w:space="0" w:color="BFBFBF"/>
              <w:right w:val="single" w:sz="4" w:space="0" w:color="BFBFBF"/>
            </w:tcBorders>
          </w:tcPr>
          <w:p w14:paraId="0CF4076B" w14:textId="77777777" w:rsidR="001B6E41" w:rsidRDefault="00000000">
            <w:r>
              <w:t>−0,048</w:t>
            </w:r>
          </w:p>
        </w:tc>
        <w:tc>
          <w:tcPr>
            <w:tcW w:w="0" w:type="auto"/>
            <w:tcBorders>
              <w:top w:val="single" w:sz="4" w:space="0" w:color="BFBFBF"/>
              <w:left w:val="single" w:sz="4" w:space="0" w:color="BFBFBF"/>
              <w:bottom w:val="single" w:sz="4" w:space="0" w:color="BFBFBF"/>
              <w:right w:val="single" w:sz="4" w:space="0" w:color="BFBFBF"/>
            </w:tcBorders>
          </w:tcPr>
          <w:p w14:paraId="08CD4BC5" w14:textId="77777777" w:rsidR="001B6E41" w:rsidRDefault="00000000">
            <w:r>
              <w:t>59</w:t>
            </w:r>
          </w:p>
        </w:tc>
        <w:tc>
          <w:tcPr>
            <w:tcW w:w="0" w:type="auto"/>
            <w:tcBorders>
              <w:top w:val="single" w:sz="4" w:space="0" w:color="BFBFBF"/>
              <w:left w:val="single" w:sz="4" w:space="0" w:color="BFBFBF"/>
              <w:bottom w:val="single" w:sz="4" w:space="0" w:color="BFBFBF"/>
              <w:right w:val="single" w:sz="4" w:space="0" w:color="BFBFBF"/>
            </w:tcBorders>
          </w:tcPr>
          <w:p w14:paraId="46E08B60" w14:textId="77777777" w:rsidR="001B6E41" w:rsidRDefault="00000000">
            <w:r>
              <w:t>Efecto retardado</w:t>
            </w:r>
          </w:p>
        </w:tc>
      </w:tr>
      <w:tr w:rsidR="001B6E41" w14:paraId="25E8592C" w14:textId="77777777">
        <w:tc>
          <w:tcPr>
            <w:tcW w:w="0" w:type="auto"/>
            <w:tcBorders>
              <w:top w:val="single" w:sz="4" w:space="0" w:color="BFBFBF"/>
              <w:left w:val="single" w:sz="4" w:space="0" w:color="BFBFBF"/>
              <w:bottom w:val="single" w:sz="4" w:space="0" w:color="BFBFBF"/>
              <w:right w:val="single" w:sz="4" w:space="0" w:color="BFBFBF"/>
            </w:tcBorders>
          </w:tcPr>
          <w:p w14:paraId="1EDEA44E" w14:textId="77777777" w:rsidR="001B6E41" w:rsidRDefault="00000000">
            <w:r>
              <w:t>IPC YoY</w:t>
            </w:r>
          </w:p>
        </w:tc>
        <w:tc>
          <w:tcPr>
            <w:tcW w:w="0" w:type="auto"/>
            <w:tcBorders>
              <w:top w:val="single" w:sz="4" w:space="0" w:color="BFBFBF"/>
              <w:left w:val="single" w:sz="4" w:space="0" w:color="BFBFBF"/>
              <w:bottom w:val="single" w:sz="4" w:space="0" w:color="BFBFBF"/>
              <w:right w:val="single" w:sz="4" w:space="0" w:color="BFBFBF"/>
            </w:tcBorders>
          </w:tcPr>
          <w:p w14:paraId="5E520021" w14:textId="77777777" w:rsidR="001B6E41" w:rsidRDefault="00000000">
            <w:r>
              <w:t>−0,036</w:t>
            </w:r>
          </w:p>
        </w:tc>
        <w:tc>
          <w:tcPr>
            <w:tcW w:w="0" w:type="auto"/>
            <w:tcBorders>
              <w:top w:val="single" w:sz="4" w:space="0" w:color="BFBFBF"/>
              <w:left w:val="single" w:sz="4" w:space="0" w:color="BFBFBF"/>
              <w:bottom w:val="single" w:sz="4" w:space="0" w:color="BFBFBF"/>
              <w:right w:val="single" w:sz="4" w:space="0" w:color="BFBFBF"/>
            </w:tcBorders>
          </w:tcPr>
          <w:p w14:paraId="0ADBC9E2" w14:textId="77777777" w:rsidR="001B6E41" w:rsidRDefault="00000000">
            <w:r>
              <w:t>14</w:t>
            </w:r>
          </w:p>
        </w:tc>
        <w:tc>
          <w:tcPr>
            <w:tcW w:w="0" w:type="auto"/>
            <w:tcBorders>
              <w:top w:val="single" w:sz="4" w:space="0" w:color="BFBFBF"/>
              <w:left w:val="single" w:sz="4" w:space="0" w:color="BFBFBF"/>
              <w:bottom w:val="single" w:sz="4" w:space="0" w:color="BFBFBF"/>
              <w:right w:val="single" w:sz="4" w:space="0" w:color="BFBFBF"/>
            </w:tcBorders>
          </w:tcPr>
          <w:p w14:paraId="2CDC990D" w14:textId="77777777" w:rsidR="001B6E41" w:rsidRDefault="00000000">
            <w:r>
              <w:t>Efecto retardado</w:t>
            </w:r>
          </w:p>
        </w:tc>
      </w:tr>
    </w:tbl>
    <w:p w14:paraId="5DB1B178" w14:textId="77777777" w:rsidR="001B6E41" w:rsidRPr="00F315D9" w:rsidRDefault="00000000">
      <w:pPr>
        <w:pStyle w:val="Textoindependiente"/>
        <w:rPr>
          <w:lang w:val="es-ES"/>
        </w:rPr>
      </w:pPr>
      <w:r w:rsidRPr="00F315D9">
        <w:rPr>
          <w:lang w:val="es-ES"/>
        </w:rPr>
        <w:t xml:space="preserve">El VIX y el bono español presentan su máxima correlación en </w:t>
      </w:r>
      <w:proofErr w:type="spellStart"/>
      <w:r w:rsidRPr="00F315D9">
        <w:rPr>
          <w:lang w:val="es-ES"/>
        </w:rPr>
        <w:t>lag</w:t>
      </w:r>
      <w:proofErr w:type="spellEnd"/>
      <w:r w:rsidRPr="00F315D9">
        <w:rPr>
          <w:lang w:val="es-ES"/>
        </w:rPr>
        <w:t xml:space="preserve"> 0 (contemporánea), mientras que el spread, el </w:t>
      </w:r>
      <w:proofErr w:type="spellStart"/>
      <w:r w:rsidRPr="00F315D9">
        <w:rPr>
          <w:lang w:val="es-ES"/>
        </w:rPr>
        <w:t>euribor</w:t>
      </w:r>
      <w:proofErr w:type="spellEnd"/>
      <w:r w:rsidRPr="00F315D9">
        <w:rPr>
          <w:lang w:val="es-ES"/>
        </w:rPr>
        <w:t xml:space="preserve"> y el brent presentan correlaciones máximas en </w:t>
      </w:r>
      <w:proofErr w:type="spellStart"/>
      <w:r w:rsidRPr="00F315D9">
        <w:rPr>
          <w:lang w:val="es-ES"/>
        </w:rPr>
        <w:t>lags</w:t>
      </w:r>
      <w:proofErr w:type="spellEnd"/>
      <w:r w:rsidRPr="00F315D9">
        <w:rPr>
          <w:lang w:val="es-ES"/>
        </w:rPr>
        <w:t xml:space="preserve"> positivos, sugiriendo que estos indicadores podrían </w:t>
      </w:r>
      <w:r w:rsidRPr="00F315D9">
        <w:rPr>
          <w:b/>
          <w:bCs/>
          <w:lang w:val="es-ES"/>
        </w:rPr>
        <w:t>liderar</w:t>
      </w:r>
      <w:r w:rsidRPr="00F315D9">
        <w:rPr>
          <w:lang w:val="es-ES"/>
        </w:rPr>
        <w:t xml:space="preserve"> la volatilidad del IBEX con varios días o semanas de antelación. Este hallazgo abre la puerta a un </w:t>
      </w:r>
      <w:proofErr w:type="spellStart"/>
      <w:r w:rsidRPr="00F315D9">
        <w:rPr>
          <w:lang w:val="es-ES"/>
        </w:rPr>
        <w:t>Event</w:t>
      </w:r>
      <w:proofErr w:type="spellEnd"/>
      <w:r w:rsidRPr="00F315D9">
        <w:rPr>
          <w:lang w:val="es-ES"/>
        </w:rPr>
        <w:t xml:space="preserve"> </w:t>
      </w:r>
      <w:proofErr w:type="spellStart"/>
      <w:r w:rsidRPr="00F315D9">
        <w:rPr>
          <w:lang w:val="es-ES"/>
        </w:rPr>
        <w:t>Study</w:t>
      </w:r>
      <w:proofErr w:type="spellEnd"/>
      <w:r w:rsidRPr="00F315D9">
        <w:rPr>
          <w:lang w:val="es-ES"/>
        </w:rPr>
        <w:t xml:space="preserve"> en la fase de Análisis del Dato.</w:t>
      </w:r>
    </w:p>
    <w:p w14:paraId="04F22330" w14:textId="77777777" w:rsidR="001B6E41" w:rsidRDefault="00000000">
      <w:r>
        <w:rPr>
          <w:noProof/>
        </w:rPr>
        <w:drawing>
          <wp:inline distT="0" distB="0" distL="0" distR="0" wp14:anchorId="657B0B2B" wp14:editId="3C686E93">
            <wp:extent cx="4937760" cy="2449460"/>
            <wp:effectExtent l="0" t="0" r="0" b="0"/>
            <wp:docPr id="113" name="Picture" descr="Figura 14. Cross-correlogramas de 6 variables macro clave con la volatilidad IBEX (lags 0 a 60). VIX y bono español tienen máxima correlación en lag 0; spread, euribor y brent presentan correlaciones máximas en lags positivos."/>
            <wp:cNvGraphicFramePr/>
            <a:graphic xmlns:a="http://schemas.openxmlformats.org/drawingml/2006/main">
              <a:graphicData uri="http://schemas.openxmlformats.org/drawingml/2006/picture">
                <pic:pic xmlns:pic="http://schemas.openxmlformats.org/drawingml/2006/picture">
                  <pic:nvPicPr>
                    <pic:cNvPr id="114" name="Picture" descr="figuras/13_ccf_macro_volatilidad.png"/>
                    <pic:cNvPicPr>
                      <a:picLocks noChangeAspect="1" noChangeArrowheads="1"/>
                    </pic:cNvPicPr>
                  </pic:nvPicPr>
                  <pic:blipFill>
                    <a:blip r:embed="rId18"/>
                    <a:stretch>
                      <a:fillRect/>
                    </a:stretch>
                  </pic:blipFill>
                  <pic:spPr bwMode="auto">
                    <a:xfrm>
                      <a:off x="0" y="0"/>
                      <a:ext cx="4937760" cy="2449460"/>
                    </a:xfrm>
                    <a:prstGeom prst="rect">
                      <a:avLst/>
                    </a:prstGeom>
                    <a:noFill/>
                    <a:ln w="9525">
                      <a:noFill/>
                      <a:headEnd/>
                      <a:tailEnd/>
                    </a:ln>
                  </pic:spPr>
                </pic:pic>
              </a:graphicData>
            </a:graphic>
          </wp:inline>
        </w:drawing>
      </w:r>
    </w:p>
    <w:p w14:paraId="583C8CB4" w14:textId="77777777" w:rsidR="001B6E41" w:rsidRPr="00F315D9" w:rsidRDefault="00000000">
      <w:pPr>
        <w:rPr>
          <w:lang w:val="es-ES"/>
        </w:rPr>
      </w:pPr>
      <w:r w:rsidRPr="00F315D9">
        <w:rPr>
          <w:b/>
          <w:bCs/>
          <w:lang w:val="es-ES"/>
        </w:rPr>
        <w:t>Figura 14.</w:t>
      </w:r>
      <w:r w:rsidRPr="00F315D9">
        <w:rPr>
          <w:lang w:val="es-ES"/>
        </w:rPr>
        <w:t xml:space="preserve"> Cross-</w:t>
      </w:r>
      <w:proofErr w:type="spellStart"/>
      <w:r w:rsidRPr="00F315D9">
        <w:rPr>
          <w:lang w:val="es-ES"/>
        </w:rPr>
        <w:t>correlogramas</w:t>
      </w:r>
      <w:proofErr w:type="spellEnd"/>
      <w:r w:rsidRPr="00F315D9">
        <w:rPr>
          <w:lang w:val="es-ES"/>
        </w:rPr>
        <w:t xml:space="preserve"> de 6 variables macro clave con la volatilidad IBEX (</w:t>
      </w:r>
      <w:proofErr w:type="spellStart"/>
      <w:r w:rsidRPr="00F315D9">
        <w:rPr>
          <w:lang w:val="es-ES"/>
        </w:rPr>
        <w:t>lags</w:t>
      </w:r>
      <w:proofErr w:type="spellEnd"/>
      <w:r w:rsidRPr="00F315D9">
        <w:rPr>
          <w:lang w:val="es-ES"/>
        </w:rPr>
        <w:t xml:space="preserve"> 0 a 60). VIX y bono español tienen máxima correlación en </w:t>
      </w:r>
      <w:proofErr w:type="spellStart"/>
      <w:r w:rsidRPr="00F315D9">
        <w:rPr>
          <w:lang w:val="es-ES"/>
        </w:rPr>
        <w:t>lag</w:t>
      </w:r>
      <w:proofErr w:type="spellEnd"/>
      <w:r w:rsidRPr="00F315D9">
        <w:rPr>
          <w:lang w:val="es-ES"/>
        </w:rPr>
        <w:t xml:space="preserve"> 0; spread, </w:t>
      </w:r>
      <w:proofErr w:type="spellStart"/>
      <w:r w:rsidRPr="00F315D9">
        <w:rPr>
          <w:lang w:val="es-ES"/>
        </w:rPr>
        <w:t>euribor</w:t>
      </w:r>
      <w:proofErr w:type="spellEnd"/>
      <w:r w:rsidRPr="00F315D9">
        <w:rPr>
          <w:lang w:val="es-ES"/>
        </w:rPr>
        <w:t xml:space="preserve"> y brent presentan correlaciones máximas en </w:t>
      </w:r>
      <w:proofErr w:type="spellStart"/>
      <w:r w:rsidRPr="00F315D9">
        <w:rPr>
          <w:lang w:val="es-ES"/>
        </w:rPr>
        <w:t>lags</w:t>
      </w:r>
      <w:proofErr w:type="spellEnd"/>
      <w:r w:rsidRPr="00F315D9">
        <w:rPr>
          <w:lang w:val="es-ES"/>
        </w:rPr>
        <w:t xml:space="preserve"> positivos.</w:t>
      </w:r>
    </w:p>
    <w:p w14:paraId="25EEABEF" w14:textId="77777777" w:rsidR="001B6E41" w:rsidRPr="00F315D9" w:rsidRDefault="00000000">
      <w:pPr>
        <w:pStyle w:val="Ttulo3"/>
        <w:rPr>
          <w:lang w:val="es-ES"/>
        </w:rPr>
      </w:pPr>
      <w:bookmarkStart w:id="31" w:name="split-temporal-traintest"/>
      <w:bookmarkEnd w:id="30"/>
      <w:r w:rsidRPr="00F315D9">
        <w:rPr>
          <w:lang w:val="es-ES"/>
        </w:rPr>
        <w:t xml:space="preserve">6.8. Split temporal </w:t>
      </w:r>
      <w:proofErr w:type="spellStart"/>
      <w:r w:rsidRPr="00F315D9">
        <w:rPr>
          <w:lang w:val="es-ES"/>
        </w:rPr>
        <w:t>train</w:t>
      </w:r>
      <w:proofErr w:type="spellEnd"/>
      <w:r w:rsidRPr="00F315D9">
        <w:rPr>
          <w:lang w:val="es-ES"/>
        </w:rPr>
        <w:t>/test</w:t>
      </w:r>
    </w:p>
    <w:p w14:paraId="5046C1CC" w14:textId="77777777" w:rsidR="001B6E41" w:rsidRPr="00F315D9" w:rsidRDefault="00000000">
      <w:pPr>
        <w:rPr>
          <w:lang w:val="es-ES"/>
        </w:rPr>
      </w:pPr>
      <w:r w:rsidRPr="00F315D9">
        <w:rPr>
          <w:lang w:val="es-ES"/>
        </w:rPr>
        <w:t xml:space="preserve">Para la fase de modelización se adopta un </w:t>
      </w:r>
      <w:proofErr w:type="spellStart"/>
      <w:r w:rsidRPr="00F315D9">
        <w:rPr>
          <w:b/>
          <w:bCs/>
          <w:lang w:val="es-ES"/>
        </w:rPr>
        <w:t>split</w:t>
      </w:r>
      <w:proofErr w:type="spellEnd"/>
      <w:r w:rsidRPr="00F315D9">
        <w:rPr>
          <w:b/>
          <w:bCs/>
          <w:lang w:val="es-ES"/>
        </w:rPr>
        <w:t xml:space="preserve"> fijo por fecha</w:t>
      </w:r>
      <w:r w:rsidRPr="00F315D9">
        <w:rPr>
          <w:lang w:val="es-ES"/>
        </w:rPr>
        <w:t xml:space="preserve"> (no aleatorio), respetando la estructura temporal de los datos. Las observaciones más recientes conforman el conjunto </w:t>
      </w:r>
      <w:proofErr w:type="gramStart"/>
      <w:r w:rsidRPr="00F315D9">
        <w:rPr>
          <w:lang w:val="es-ES"/>
        </w:rPr>
        <w:t>de test</w:t>
      </w:r>
      <w:proofErr w:type="gramEnd"/>
      <w:r w:rsidRPr="00F315D9">
        <w:rPr>
          <w:lang w:val="es-ES"/>
        </w:rPr>
        <w:t xml:space="preserve">, simulando una predicción fuera de muestra. Esta decisión evita el </w:t>
      </w:r>
      <w:r w:rsidRPr="00F315D9">
        <w:rPr>
          <w:i/>
          <w:iCs/>
          <w:lang w:val="es-ES"/>
        </w:rPr>
        <w:t xml:space="preserve">data </w:t>
      </w:r>
      <w:proofErr w:type="spellStart"/>
      <w:r w:rsidRPr="00F315D9">
        <w:rPr>
          <w:i/>
          <w:iCs/>
          <w:lang w:val="es-ES"/>
        </w:rPr>
        <w:t>leakage</w:t>
      </w:r>
      <w:proofErr w:type="spellEnd"/>
      <w:r w:rsidRPr="00F315D9">
        <w:rPr>
          <w:lang w:val="es-ES"/>
        </w:rPr>
        <w:t xml:space="preserve"> que se produciría si observaciones futuras aparecieran en el conjunto de entrenamiento.</w:t>
      </w:r>
    </w:p>
    <w:p w14:paraId="45857E02" w14:textId="77777777" w:rsidR="001B6E41" w:rsidRDefault="00000000">
      <w:r>
        <w:rPr>
          <w:noProof/>
        </w:rPr>
        <w:lastRenderedPageBreak/>
        <w:drawing>
          <wp:inline distT="0" distB="0" distL="0" distR="0" wp14:anchorId="0D66E435" wp14:editId="3F4D80D3">
            <wp:extent cx="4937760" cy="2290656"/>
            <wp:effectExtent l="0" t="0" r="0" b="0"/>
            <wp:docPr id="117" name="Picture" descr="Figura 15. Visualización del split temporal train/test adoptado para la modelización. El conjunto de test corresponde a las observaciones más recientes, simulando una predicción fuera de muestra y evitando data leakage."/>
            <wp:cNvGraphicFramePr/>
            <a:graphic xmlns:a="http://schemas.openxmlformats.org/drawingml/2006/main">
              <a:graphicData uri="http://schemas.openxmlformats.org/drawingml/2006/picture">
                <pic:pic xmlns:pic="http://schemas.openxmlformats.org/drawingml/2006/picture">
                  <pic:nvPicPr>
                    <pic:cNvPr id="118" name="Picture" descr="figuras/15_split_temporal.png"/>
                    <pic:cNvPicPr>
                      <a:picLocks noChangeAspect="1" noChangeArrowheads="1"/>
                    </pic:cNvPicPr>
                  </pic:nvPicPr>
                  <pic:blipFill>
                    <a:blip r:embed="rId19"/>
                    <a:stretch>
                      <a:fillRect/>
                    </a:stretch>
                  </pic:blipFill>
                  <pic:spPr bwMode="auto">
                    <a:xfrm>
                      <a:off x="0" y="0"/>
                      <a:ext cx="4937760" cy="2290656"/>
                    </a:xfrm>
                    <a:prstGeom prst="rect">
                      <a:avLst/>
                    </a:prstGeom>
                    <a:noFill/>
                    <a:ln w="9525">
                      <a:noFill/>
                      <a:headEnd/>
                      <a:tailEnd/>
                    </a:ln>
                  </pic:spPr>
                </pic:pic>
              </a:graphicData>
            </a:graphic>
          </wp:inline>
        </w:drawing>
      </w:r>
    </w:p>
    <w:p w14:paraId="2D3FF6D5" w14:textId="77777777" w:rsidR="001B6E41" w:rsidRPr="00F315D9" w:rsidRDefault="00000000">
      <w:pPr>
        <w:rPr>
          <w:lang w:val="es-ES"/>
        </w:rPr>
      </w:pPr>
      <w:r w:rsidRPr="00F315D9">
        <w:rPr>
          <w:b/>
          <w:bCs/>
          <w:lang w:val="es-ES"/>
        </w:rPr>
        <w:t>Figura 15.</w:t>
      </w:r>
      <w:r w:rsidRPr="00F315D9">
        <w:rPr>
          <w:lang w:val="es-ES"/>
        </w:rPr>
        <w:t xml:space="preserve"> Visualización del </w:t>
      </w:r>
      <w:proofErr w:type="spellStart"/>
      <w:r w:rsidRPr="00F315D9">
        <w:rPr>
          <w:lang w:val="es-ES"/>
        </w:rPr>
        <w:t>split</w:t>
      </w:r>
      <w:proofErr w:type="spellEnd"/>
      <w:r w:rsidRPr="00F315D9">
        <w:rPr>
          <w:lang w:val="es-ES"/>
        </w:rPr>
        <w:t xml:space="preserve"> temporal </w:t>
      </w:r>
      <w:proofErr w:type="spellStart"/>
      <w:r w:rsidRPr="00F315D9">
        <w:rPr>
          <w:lang w:val="es-ES"/>
        </w:rPr>
        <w:t>train</w:t>
      </w:r>
      <w:proofErr w:type="spellEnd"/>
      <w:r w:rsidRPr="00F315D9">
        <w:rPr>
          <w:lang w:val="es-ES"/>
        </w:rPr>
        <w:t xml:space="preserve">/test adoptado para la modelización. El conjunto </w:t>
      </w:r>
      <w:proofErr w:type="gramStart"/>
      <w:r w:rsidRPr="00F315D9">
        <w:rPr>
          <w:lang w:val="es-ES"/>
        </w:rPr>
        <w:t>de test</w:t>
      </w:r>
      <w:proofErr w:type="gramEnd"/>
      <w:r w:rsidRPr="00F315D9">
        <w:rPr>
          <w:lang w:val="es-ES"/>
        </w:rPr>
        <w:t xml:space="preserve"> corresponde a las observaciones más recientes, simulando una predicción fuera de muestra y evitando </w:t>
      </w:r>
      <w:r w:rsidRPr="00F315D9">
        <w:rPr>
          <w:i/>
          <w:iCs/>
          <w:lang w:val="es-ES"/>
        </w:rPr>
        <w:t xml:space="preserve">data </w:t>
      </w:r>
      <w:proofErr w:type="spellStart"/>
      <w:r w:rsidRPr="00F315D9">
        <w:rPr>
          <w:i/>
          <w:iCs/>
          <w:lang w:val="es-ES"/>
        </w:rPr>
        <w:t>leakage</w:t>
      </w:r>
      <w:proofErr w:type="spellEnd"/>
      <w:r w:rsidRPr="00F315D9">
        <w:rPr>
          <w:lang w:val="es-ES"/>
        </w:rPr>
        <w:t>.</w:t>
      </w:r>
    </w:p>
    <w:p w14:paraId="09ED16A2" w14:textId="77777777" w:rsidR="001B6E41" w:rsidRPr="00F315D9" w:rsidRDefault="00000000">
      <w:pPr>
        <w:pStyle w:val="Ttulo2"/>
        <w:rPr>
          <w:lang w:val="es-ES"/>
        </w:rPr>
      </w:pPr>
      <w:bookmarkStart w:id="32" w:name="decisiones-finales-y-conclusión"/>
      <w:bookmarkEnd w:id="23"/>
      <w:bookmarkEnd w:id="31"/>
      <w:r w:rsidRPr="00F315D9">
        <w:rPr>
          <w:lang w:val="es-ES"/>
        </w:rPr>
        <w:t>7. Decisiones finales y conclusión</w:t>
      </w:r>
    </w:p>
    <w:p w14:paraId="678A02BE" w14:textId="77777777" w:rsidR="001B6E41" w:rsidRPr="00F315D9" w:rsidRDefault="00000000">
      <w:pPr>
        <w:rPr>
          <w:lang w:val="es-ES"/>
        </w:rPr>
      </w:pPr>
      <w:r w:rsidRPr="00F315D9">
        <w:rPr>
          <w:lang w:val="es-ES"/>
        </w:rPr>
        <w:t>El EDA culmina con una tabla de decisión que consolida los hallazgos y determina qué variables pasan a la fase de modelización:</w:t>
      </w:r>
    </w:p>
    <w:tbl>
      <w:tblPr>
        <w:tblW w:w="5000" w:type="pct"/>
        <w:tblLayout w:type="fixed"/>
        <w:tblLook w:val="0020" w:firstRow="1" w:lastRow="0" w:firstColumn="0" w:lastColumn="0" w:noHBand="0" w:noVBand="0"/>
      </w:tblPr>
      <w:tblGrid>
        <w:gridCol w:w="2952"/>
        <w:gridCol w:w="2952"/>
        <w:gridCol w:w="2952"/>
      </w:tblGrid>
      <w:tr w:rsidR="001B6E41" w14:paraId="58B6C791" w14:textId="77777777">
        <w:trPr>
          <w:tblHeader/>
        </w:trPr>
        <w:tc>
          <w:tcPr>
            <w:tcW w:w="2640" w:type="dxa"/>
            <w:tcBorders>
              <w:top w:val="single" w:sz="4" w:space="0" w:color="404040"/>
              <w:left w:val="single" w:sz="4" w:space="0" w:color="404040"/>
              <w:bottom w:val="single" w:sz="4" w:space="0" w:color="404040"/>
              <w:right w:val="single" w:sz="4" w:space="0" w:color="404040"/>
            </w:tcBorders>
            <w:shd w:val="clear" w:color="auto" w:fill="404040"/>
          </w:tcPr>
          <w:p w14:paraId="34980E36" w14:textId="77777777" w:rsidR="001B6E41" w:rsidRDefault="00000000">
            <w:proofErr w:type="spellStart"/>
            <w:r>
              <w:rPr>
                <w:b/>
                <w:color w:val="FFFFFF"/>
              </w:rPr>
              <w:t>Decisión</w:t>
            </w:r>
            <w:proofErr w:type="spellEnd"/>
          </w:p>
        </w:tc>
        <w:tc>
          <w:tcPr>
            <w:tcW w:w="2640" w:type="dxa"/>
            <w:tcBorders>
              <w:top w:val="single" w:sz="4" w:space="0" w:color="404040"/>
              <w:left w:val="single" w:sz="4" w:space="0" w:color="404040"/>
              <w:bottom w:val="single" w:sz="4" w:space="0" w:color="404040"/>
              <w:right w:val="single" w:sz="4" w:space="0" w:color="404040"/>
            </w:tcBorders>
            <w:shd w:val="clear" w:color="auto" w:fill="404040"/>
          </w:tcPr>
          <w:p w14:paraId="486609A1" w14:textId="77777777" w:rsidR="001B6E41" w:rsidRDefault="00000000">
            <w:r>
              <w:rPr>
                <w:b/>
                <w:color w:val="FFFFFF"/>
              </w:rPr>
              <w:t>Variables</w:t>
            </w:r>
          </w:p>
        </w:tc>
        <w:tc>
          <w:tcPr>
            <w:tcW w:w="2640" w:type="dxa"/>
            <w:tcBorders>
              <w:top w:val="single" w:sz="4" w:space="0" w:color="404040"/>
              <w:left w:val="single" w:sz="4" w:space="0" w:color="404040"/>
              <w:bottom w:val="single" w:sz="4" w:space="0" w:color="404040"/>
              <w:right w:val="single" w:sz="4" w:space="0" w:color="404040"/>
            </w:tcBorders>
            <w:shd w:val="clear" w:color="auto" w:fill="404040"/>
          </w:tcPr>
          <w:p w14:paraId="0D8C416E" w14:textId="77777777" w:rsidR="001B6E41" w:rsidRDefault="00000000">
            <w:r>
              <w:rPr>
                <w:b/>
                <w:color w:val="FFFFFF"/>
              </w:rPr>
              <w:t>Justificación</w:t>
            </w:r>
          </w:p>
        </w:tc>
      </w:tr>
      <w:tr w:rsidR="001B6E41" w:rsidRPr="00F315D9" w14:paraId="30FB9727" w14:textId="77777777">
        <w:tc>
          <w:tcPr>
            <w:tcW w:w="2640" w:type="dxa"/>
            <w:tcBorders>
              <w:top w:val="single" w:sz="4" w:space="0" w:color="BFBFBF"/>
              <w:left w:val="single" w:sz="4" w:space="0" w:color="BFBFBF"/>
              <w:bottom w:val="single" w:sz="4" w:space="0" w:color="BFBFBF"/>
              <w:right w:val="single" w:sz="4" w:space="0" w:color="BFBFBF"/>
            </w:tcBorders>
          </w:tcPr>
          <w:p w14:paraId="7712DEC3" w14:textId="77777777" w:rsidR="001B6E41" w:rsidRDefault="00000000">
            <w:r>
              <w:rPr>
                <w:b/>
                <w:bCs/>
              </w:rPr>
              <w:t>MANTENER</w:t>
            </w:r>
          </w:p>
        </w:tc>
        <w:tc>
          <w:tcPr>
            <w:tcW w:w="2640" w:type="dxa"/>
            <w:tcBorders>
              <w:top w:val="single" w:sz="4" w:space="0" w:color="BFBFBF"/>
              <w:left w:val="single" w:sz="4" w:space="0" w:color="BFBFBF"/>
              <w:bottom w:val="single" w:sz="4" w:space="0" w:color="BFBFBF"/>
              <w:right w:val="single" w:sz="4" w:space="0" w:color="BFBFBF"/>
            </w:tcBorders>
          </w:tcPr>
          <w:p w14:paraId="29F8DDEB" w14:textId="77777777" w:rsidR="001B6E41" w:rsidRPr="00F315D9" w:rsidRDefault="00000000">
            <w:pPr>
              <w:rPr>
                <w:lang w:val="es-ES"/>
              </w:rPr>
            </w:pPr>
            <w:r w:rsidRPr="00F315D9">
              <w:rPr>
                <w:lang w:val="es-ES"/>
              </w:rPr>
              <w:t>vol_hist_21d (</w:t>
            </w:r>
            <w:proofErr w:type="gramStart"/>
            <w:r w:rsidRPr="00F315D9">
              <w:rPr>
                <w:lang w:val="es-ES"/>
              </w:rPr>
              <w:t>target</w:t>
            </w:r>
            <w:proofErr w:type="gramEnd"/>
            <w:r w:rsidRPr="00F315D9">
              <w:rPr>
                <w:lang w:val="es-ES"/>
              </w:rPr>
              <w:t xml:space="preserve">), </w:t>
            </w:r>
            <w:proofErr w:type="spellStart"/>
            <w:r w:rsidRPr="00F315D9">
              <w:rPr>
                <w:lang w:val="es-ES"/>
              </w:rPr>
              <w:t>log_ret</w:t>
            </w:r>
            <w:proofErr w:type="spellEnd"/>
            <w:r w:rsidRPr="00F315D9">
              <w:rPr>
                <w:lang w:val="es-ES"/>
              </w:rPr>
              <w:t xml:space="preserve">, </w:t>
            </w:r>
            <w:proofErr w:type="spellStart"/>
            <w:r w:rsidRPr="00F315D9">
              <w:rPr>
                <w:lang w:val="es-ES"/>
              </w:rPr>
              <w:t>vix</w:t>
            </w:r>
            <w:proofErr w:type="spellEnd"/>
            <w:r w:rsidRPr="00F315D9">
              <w:rPr>
                <w:lang w:val="es-ES"/>
              </w:rPr>
              <w:t xml:space="preserve">, </w:t>
            </w:r>
            <w:proofErr w:type="spellStart"/>
            <w:r w:rsidRPr="00F315D9">
              <w:rPr>
                <w:lang w:val="es-ES"/>
              </w:rPr>
              <w:t>vibex</w:t>
            </w:r>
            <w:proofErr w:type="spellEnd"/>
            <w:r w:rsidRPr="00F315D9">
              <w:rPr>
                <w:lang w:val="es-ES"/>
              </w:rPr>
              <w:t xml:space="preserve">, </w:t>
            </w:r>
            <w:proofErr w:type="spellStart"/>
            <w:r w:rsidRPr="00F315D9">
              <w:rPr>
                <w:lang w:val="es-ES"/>
              </w:rPr>
              <w:t>vstoxx</w:t>
            </w:r>
            <w:proofErr w:type="spellEnd"/>
            <w:r w:rsidRPr="00F315D9">
              <w:rPr>
                <w:lang w:val="es-ES"/>
              </w:rPr>
              <w:t xml:space="preserve">, bono_es_10y, bono_de_10y, </w:t>
            </w:r>
            <w:proofErr w:type="spellStart"/>
            <w:r w:rsidRPr="00F315D9">
              <w:rPr>
                <w:lang w:val="es-ES"/>
              </w:rPr>
              <w:t>spread_es_de</w:t>
            </w:r>
            <w:proofErr w:type="spellEnd"/>
            <w:r w:rsidRPr="00F315D9">
              <w:rPr>
                <w:lang w:val="es-ES"/>
              </w:rPr>
              <w:t xml:space="preserve">, </w:t>
            </w:r>
            <w:proofErr w:type="spellStart"/>
            <w:r w:rsidRPr="00F315D9">
              <w:rPr>
                <w:lang w:val="es-ES"/>
              </w:rPr>
              <w:t>eur_usd</w:t>
            </w:r>
            <w:proofErr w:type="spellEnd"/>
            <w:r w:rsidRPr="00F315D9">
              <w:rPr>
                <w:lang w:val="es-ES"/>
              </w:rPr>
              <w:t xml:space="preserve">, euribor_3m, euribor_6m, </w:t>
            </w:r>
            <w:proofErr w:type="spellStart"/>
            <w:r w:rsidRPr="00F315D9">
              <w:rPr>
                <w:lang w:val="es-ES"/>
              </w:rPr>
              <w:t>tipo_dfr</w:t>
            </w:r>
            <w:proofErr w:type="spellEnd"/>
            <w:r w:rsidRPr="00F315D9">
              <w:rPr>
                <w:lang w:val="es-ES"/>
              </w:rPr>
              <w:t xml:space="preserve">, </w:t>
            </w:r>
            <w:proofErr w:type="spellStart"/>
            <w:r w:rsidRPr="00F315D9">
              <w:rPr>
                <w:lang w:val="es-ES"/>
              </w:rPr>
              <w:t>ipc_yoy</w:t>
            </w:r>
            <w:proofErr w:type="spellEnd"/>
            <w:r w:rsidRPr="00F315D9">
              <w:rPr>
                <w:lang w:val="es-ES"/>
              </w:rPr>
              <w:t xml:space="preserve">, </w:t>
            </w:r>
            <w:proofErr w:type="spellStart"/>
            <w:r w:rsidRPr="00F315D9">
              <w:rPr>
                <w:lang w:val="es-ES"/>
              </w:rPr>
              <w:t>ipc_sub_mom</w:t>
            </w:r>
            <w:proofErr w:type="spellEnd"/>
            <w:r w:rsidRPr="00F315D9">
              <w:rPr>
                <w:lang w:val="es-ES"/>
              </w:rPr>
              <w:t xml:space="preserve">, </w:t>
            </w:r>
            <w:proofErr w:type="spellStart"/>
            <w:r w:rsidRPr="00F315D9">
              <w:rPr>
                <w:lang w:val="es-ES"/>
              </w:rPr>
              <w:t>pib_yoy</w:t>
            </w:r>
            <w:proofErr w:type="spellEnd"/>
            <w:r w:rsidRPr="00F315D9">
              <w:rPr>
                <w:lang w:val="es-ES"/>
              </w:rPr>
              <w:t xml:space="preserve">, </w:t>
            </w:r>
            <w:proofErr w:type="spellStart"/>
            <w:r w:rsidRPr="00F315D9">
              <w:rPr>
                <w:lang w:val="es-ES"/>
              </w:rPr>
              <w:t>tasa_paro</w:t>
            </w:r>
            <w:proofErr w:type="spellEnd"/>
            <w:r w:rsidRPr="00F315D9">
              <w:rPr>
                <w:lang w:val="es-ES"/>
              </w:rPr>
              <w:t xml:space="preserve">, </w:t>
            </w:r>
            <w:proofErr w:type="spellStart"/>
            <w:r w:rsidRPr="00F315D9">
              <w:rPr>
                <w:lang w:val="es-ES"/>
              </w:rPr>
              <w:t>ipi_yoy</w:t>
            </w:r>
            <w:proofErr w:type="spellEnd"/>
            <w:r w:rsidRPr="00F315D9">
              <w:rPr>
                <w:lang w:val="es-ES"/>
              </w:rPr>
              <w:t xml:space="preserve">, brent, </w:t>
            </w:r>
            <w:proofErr w:type="spellStart"/>
            <w:r w:rsidRPr="00F315D9">
              <w:rPr>
                <w:lang w:val="es-ES"/>
              </w:rPr>
              <w:t>gas_ttf</w:t>
            </w:r>
            <w:proofErr w:type="spellEnd"/>
          </w:p>
        </w:tc>
        <w:tc>
          <w:tcPr>
            <w:tcW w:w="2640" w:type="dxa"/>
            <w:tcBorders>
              <w:top w:val="single" w:sz="4" w:space="0" w:color="BFBFBF"/>
              <w:left w:val="single" w:sz="4" w:space="0" w:color="BFBFBF"/>
              <w:bottom w:val="single" w:sz="4" w:space="0" w:color="BFBFBF"/>
              <w:right w:val="single" w:sz="4" w:space="0" w:color="BFBFBF"/>
            </w:tcBorders>
          </w:tcPr>
          <w:p w14:paraId="4B665C9C" w14:textId="77777777" w:rsidR="001B6E41" w:rsidRPr="00F315D9" w:rsidRDefault="00000000">
            <w:pPr>
              <w:rPr>
                <w:lang w:val="es-ES"/>
              </w:rPr>
            </w:pPr>
            <w:r w:rsidRPr="00F315D9">
              <w:rPr>
                <w:lang w:val="es-ES"/>
              </w:rPr>
              <w:t>Cobertura suficiente, relevancia económica y correlación significativa con la volatilidad</w:t>
            </w:r>
          </w:p>
        </w:tc>
      </w:tr>
      <w:tr w:rsidR="001B6E41" w:rsidRPr="00F315D9" w14:paraId="68D97E00" w14:textId="77777777">
        <w:tc>
          <w:tcPr>
            <w:tcW w:w="2640" w:type="dxa"/>
            <w:tcBorders>
              <w:top w:val="single" w:sz="4" w:space="0" w:color="BFBFBF"/>
              <w:left w:val="single" w:sz="4" w:space="0" w:color="BFBFBF"/>
              <w:bottom w:val="single" w:sz="4" w:space="0" w:color="BFBFBF"/>
              <w:right w:val="single" w:sz="4" w:space="0" w:color="BFBFBF"/>
            </w:tcBorders>
          </w:tcPr>
          <w:p w14:paraId="3EE27BC6" w14:textId="77777777" w:rsidR="001B6E41" w:rsidRDefault="00000000">
            <w:r>
              <w:rPr>
                <w:b/>
                <w:bCs/>
              </w:rPr>
              <w:t>REDUNDANTE</w:t>
            </w:r>
          </w:p>
        </w:tc>
        <w:tc>
          <w:tcPr>
            <w:tcW w:w="2640" w:type="dxa"/>
            <w:tcBorders>
              <w:top w:val="single" w:sz="4" w:space="0" w:color="BFBFBF"/>
              <w:left w:val="single" w:sz="4" w:space="0" w:color="BFBFBF"/>
              <w:bottom w:val="single" w:sz="4" w:space="0" w:color="BFBFBF"/>
              <w:right w:val="single" w:sz="4" w:space="0" w:color="BFBFBF"/>
            </w:tcBorders>
          </w:tcPr>
          <w:p w14:paraId="11B33526" w14:textId="77777777" w:rsidR="001B6E41" w:rsidRDefault="00000000">
            <w:r>
              <w:t>tipo_mlf, tipo_mro</w:t>
            </w:r>
          </w:p>
        </w:tc>
        <w:tc>
          <w:tcPr>
            <w:tcW w:w="2640" w:type="dxa"/>
            <w:tcBorders>
              <w:top w:val="single" w:sz="4" w:space="0" w:color="BFBFBF"/>
              <w:left w:val="single" w:sz="4" w:space="0" w:color="BFBFBF"/>
              <w:bottom w:val="single" w:sz="4" w:space="0" w:color="BFBFBF"/>
              <w:right w:val="single" w:sz="4" w:space="0" w:color="BFBFBF"/>
            </w:tcBorders>
          </w:tcPr>
          <w:p w14:paraId="230A9A98" w14:textId="77777777" w:rsidR="001B6E41" w:rsidRPr="00F315D9" w:rsidRDefault="00000000">
            <w:pPr>
              <w:rPr>
                <w:lang w:val="es-ES"/>
              </w:rPr>
            </w:pPr>
            <w:r w:rsidRPr="00F315D9">
              <w:rPr>
                <w:lang w:val="es-ES"/>
              </w:rPr>
              <w:t xml:space="preserve">Colinealidad perfecta con </w:t>
            </w:r>
            <w:proofErr w:type="spellStart"/>
            <w:r w:rsidRPr="00F315D9">
              <w:rPr>
                <w:lang w:val="es-ES"/>
              </w:rPr>
              <w:t>tipo_dfr</w:t>
            </w:r>
            <w:proofErr w:type="spellEnd"/>
            <w:r w:rsidRPr="00F315D9">
              <w:rPr>
                <w:lang w:val="es-ES"/>
              </w:rPr>
              <w:t>: el BCE anuncia los tres tipos simultáneamente, por lo que incluirlos los tres introduce multicolinealidad exacta sin aportar información adicional</w:t>
            </w:r>
          </w:p>
        </w:tc>
      </w:tr>
      <w:tr w:rsidR="001B6E41" w:rsidRPr="00F315D9" w14:paraId="4EF40041" w14:textId="77777777">
        <w:tc>
          <w:tcPr>
            <w:tcW w:w="2640" w:type="dxa"/>
            <w:tcBorders>
              <w:top w:val="single" w:sz="4" w:space="0" w:color="BFBFBF"/>
              <w:left w:val="single" w:sz="4" w:space="0" w:color="BFBFBF"/>
              <w:bottom w:val="single" w:sz="4" w:space="0" w:color="BFBFBF"/>
              <w:right w:val="single" w:sz="4" w:space="0" w:color="BFBFBF"/>
            </w:tcBorders>
          </w:tcPr>
          <w:p w14:paraId="7AC3BC75" w14:textId="77777777" w:rsidR="001B6E41" w:rsidRDefault="00000000">
            <w:r>
              <w:rPr>
                <w:b/>
                <w:bCs/>
              </w:rPr>
              <w:t>USO LIMITADO</w:t>
            </w:r>
          </w:p>
        </w:tc>
        <w:tc>
          <w:tcPr>
            <w:tcW w:w="2640" w:type="dxa"/>
            <w:tcBorders>
              <w:top w:val="single" w:sz="4" w:space="0" w:color="BFBFBF"/>
              <w:left w:val="single" w:sz="4" w:space="0" w:color="BFBFBF"/>
              <w:bottom w:val="single" w:sz="4" w:space="0" w:color="BFBFBF"/>
              <w:right w:val="single" w:sz="4" w:space="0" w:color="BFBFBF"/>
            </w:tcBorders>
          </w:tcPr>
          <w:p w14:paraId="4221DB60" w14:textId="77777777" w:rsidR="001B6E41" w:rsidRDefault="00000000">
            <w:r>
              <w:t>pmi</w:t>
            </w:r>
          </w:p>
        </w:tc>
        <w:tc>
          <w:tcPr>
            <w:tcW w:w="2640" w:type="dxa"/>
            <w:tcBorders>
              <w:top w:val="single" w:sz="4" w:space="0" w:color="BFBFBF"/>
              <w:left w:val="single" w:sz="4" w:space="0" w:color="BFBFBF"/>
              <w:bottom w:val="single" w:sz="4" w:space="0" w:color="BFBFBF"/>
              <w:right w:val="single" w:sz="4" w:space="0" w:color="BFBFBF"/>
            </w:tcBorders>
          </w:tcPr>
          <w:p w14:paraId="27E9C9EB" w14:textId="77777777" w:rsidR="001B6E41" w:rsidRPr="00F315D9" w:rsidRDefault="00000000">
            <w:pPr>
              <w:rPr>
                <w:lang w:val="es-ES"/>
              </w:rPr>
            </w:pPr>
            <w:r w:rsidRPr="00F315D9">
              <w:rPr>
                <w:lang w:val="es-ES"/>
              </w:rPr>
              <w:t xml:space="preserve">Solo cobertura desde 2023 (16,8% del período total). Insuficiente para usarse como predictor en modelos que </w:t>
            </w:r>
            <w:r w:rsidRPr="00F315D9">
              <w:rPr>
                <w:lang w:val="es-ES"/>
              </w:rPr>
              <w:lastRenderedPageBreak/>
              <w:t>cubren 20 años</w:t>
            </w:r>
          </w:p>
        </w:tc>
      </w:tr>
    </w:tbl>
    <w:p w14:paraId="01BAAD30" w14:textId="77777777" w:rsidR="001B6E41" w:rsidRPr="00F315D9" w:rsidRDefault="00000000">
      <w:pPr>
        <w:pStyle w:val="Textoindependiente"/>
        <w:rPr>
          <w:lang w:val="es-ES"/>
        </w:rPr>
      </w:pPr>
      <w:r w:rsidRPr="00F315D9">
        <w:rPr>
          <w:b/>
          <w:bCs/>
          <w:lang w:val="es-ES"/>
        </w:rPr>
        <w:lastRenderedPageBreak/>
        <w:t>Resumen del capítulo.</w:t>
      </w:r>
      <w:r w:rsidRPr="00F315D9">
        <w:rPr>
          <w:lang w:val="es-ES"/>
        </w:rPr>
        <w:t xml:space="preserve"> A partir de </w:t>
      </w:r>
      <w:r w:rsidRPr="00F315D9">
        <w:rPr>
          <w:b/>
          <w:bCs/>
          <w:lang w:val="es-ES"/>
        </w:rPr>
        <w:t>7 fuentes heterogéneas</w:t>
      </w:r>
      <w:r w:rsidRPr="00F315D9">
        <w:rPr>
          <w:lang w:val="es-ES"/>
        </w:rPr>
        <w:t xml:space="preserve"> se ha construido un </w:t>
      </w:r>
      <w:proofErr w:type="spellStart"/>
      <w:r w:rsidRPr="00F315D9">
        <w:rPr>
          <w:lang w:val="es-ES"/>
        </w:rPr>
        <w:t>dataset</w:t>
      </w:r>
      <w:proofErr w:type="spellEnd"/>
      <w:r w:rsidRPr="00F315D9">
        <w:rPr>
          <w:lang w:val="es-ES"/>
        </w:rPr>
        <w:t xml:space="preserve"> maestro consolidado de </w:t>
      </w:r>
      <w:r w:rsidRPr="00F315D9">
        <w:rPr>
          <w:b/>
          <w:bCs/>
          <w:lang w:val="es-ES"/>
        </w:rPr>
        <w:t>157.455 filas × 31 columnas</w:t>
      </w:r>
      <w:r w:rsidRPr="00F315D9">
        <w:rPr>
          <w:lang w:val="es-ES"/>
        </w:rPr>
        <w:t xml:space="preserve"> que integra los precios diarios de las 35 empresas del IBEX 35 con 21 variables macroeconómicas, sobre un calendario bursátil común de 5.323 días (2005–2025). El proceso ha incluido la detección automática de cabeceras Reuters, </w:t>
      </w:r>
      <w:proofErr w:type="spellStart"/>
      <w:r w:rsidRPr="00F315D9">
        <w:rPr>
          <w:lang w:val="es-ES"/>
        </w:rPr>
        <w:t>parsing</w:t>
      </w:r>
      <w:proofErr w:type="spellEnd"/>
      <w:r w:rsidRPr="00F315D9">
        <w:rPr>
          <w:lang w:val="es-ES"/>
        </w:rPr>
        <w:t xml:space="preserve"> especializado por formato (</w:t>
      </w:r>
      <w:proofErr w:type="spellStart"/>
      <w:r w:rsidRPr="00F315D9">
        <w:rPr>
          <w:lang w:val="es-ES"/>
        </w:rPr>
        <w:t>Investing</w:t>
      </w:r>
      <w:proofErr w:type="spellEnd"/>
      <w:r w:rsidRPr="00F315D9">
        <w:rPr>
          <w:lang w:val="es-ES"/>
        </w:rPr>
        <w:t>, INE, BCE), interpolación lineal de 8 nulos puntuales en precios, alineación temporal mediante forward-</w:t>
      </w:r>
      <w:proofErr w:type="spellStart"/>
      <w:r w:rsidRPr="00F315D9">
        <w:rPr>
          <w:lang w:val="es-ES"/>
        </w:rPr>
        <w:t>fill</w:t>
      </w:r>
      <w:proofErr w:type="spellEnd"/>
      <w:r w:rsidRPr="00F315D9">
        <w:rPr>
          <w:lang w:val="es-ES"/>
        </w:rPr>
        <w:t xml:space="preserve"> + </w:t>
      </w:r>
      <w:proofErr w:type="spellStart"/>
      <w:r w:rsidRPr="00F315D9">
        <w:rPr>
          <w:lang w:val="es-ES"/>
        </w:rPr>
        <w:t>merge_asof</w:t>
      </w:r>
      <w:proofErr w:type="spellEnd"/>
      <w:r w:rsidRPr="00F315D9">
        <w:rPr>
          <w:lang w:val="es-ES"/>
        </w:rPr>
        <w:t xml:space="preserve"> para evitar </w:t>
      </w:r>
      <w:r w:rsidRPr="00F315D9">
        <w:rPr>
          <w:i/>
          <w:iCs/>
          <w:lang w:val="es-ES"/>
        </w:rPr>
        <w:t xml:space="preserve">data </w:t>
      </w:r>
      <w:proofErr w:type="spellStart"/>
      <w:r w:rsidRPr="00F315D9">
        <w:rPr>
          <w:i/>
          <w:iCs/>
          <w:lang w:val="es-ES"/>
        </w:rPr>
        <w:t>leakage</w:t>
      </w:r>
      <w:proofErr w:type="spellEnd"/>
      <w:r w:rsidRPr="00F315D9">
        <w:rPr>
          <w:lang w:val="es-ES"/>
        </w:rPr>
        <w:t>, y un EDA exhaustivo que ha validado las propiedades estadísticas necesarias para la modelización (estacionariedad de retornos y volatilidad, no normalidad, memoria larga y heterogeneidad sectorial).</w:t>
      </w:r>
    </w:p>
    <w:p w14:paraId="7192A94E" w14:textId="77777777" w:rsidR="001B6E41" w:rsidRPr="00F315D9" w:rsidRDefault="00000000">
      <w:pPr>
        <w:pStyle w:val="Textoindependiente"/>
        <w:rPr>
          <w:lang w:val="es-ES"/>
        </w:rPr>
      </w:pPr>
      <w:r w:rsidRPr="00F315D9">
        <w:rPr>
          <w:lang w:val="es-ES"/>
        </w:rPr>
        <w:t xml:space="preserve">La variable objetivo del siguiente capítulo será </w:t>
      </w:r>
      <w:r w:rsidRPr="00F315D9">
        <w:rPr>
          <w:b/>
          <w:bCs/>
          <w:lang w:val="es-ES"/>
        </w:rPr>
        <w:t>vol_hist_21d</w:t>
      </w:r>
      <w:r w:rsidRPr="00F315D9">
        <w:rPr>
          <w:lang w:val="es-ES"/>
        </w:rPr>
        <w:t xml:space="preserve">, modelizada con cuatro aproximaciones progresivas: un modelo Simple de referencia, un OLS con estructura HAR (Corsi, 2009) extendido con macro, un </w:t>
      </w:r>
      <w:proofErr w:type="gramStart"/>
      <w:r w:rsidRPr="00F315D9">
        <w:rPr>
          <w:lang w:val="es-ES"/>
        </w:rPr>
        <w:t>GARCH(</w:t>
      </w:r>
      <w:proofErr w:type="gramEnd"/>
      <w:r w:rsidRPr="00F315D9">
        <w:rPr>
          <w:lang w:val="es-ES"/>
        </w:rPr>
        <w:t>1,1) con innovaciones t-</w:t>
      </w:r>
      <w:proofErr w:type="spellStart"/>
      <w:r w:rsidRPr="00F315D9">
        <w:rPr>
          <w:lang w:val="es-ES"/>
        </w:rPr>
        <w:t>Student</w:t>
      </w:r>
      <w:proofErr w:type="spellEnd"/>
      <w:r w:rsidRPr="00F315D9">
        <w:rPr>
          <w:lang w:val="es-ES"/>
        </w:rPr>
        <w:t xml:space="preserve"> (</w:t>
      </w:r>
      <w:proofErr w:type="spellStart"/>
      <w:r w:rsidRPr="00F315D9">
        <w:rPr>
          <w:lang w:val="es-ES"/>
        </w:rPr>
        <w:t>Bollerslev</w:t>
      </w:r>
      <w:proofErr w:type="spellEnd"/>
      <w:r w:rsidRPr="00F315D9">
        <w:rPr>
          <w:lang w:val="es-ES"/>
        </w:rPr>
        <w:t xml:space="preserve">, 1986) y un </w:t>
      </w:r>
      <w:proofErr w:type="spellStart"/>
      <w:r w:rsidRPr="00F315D9">
        <w:rPr>
          <w:lang w:val="es-ES"/>
        </w:rPr>
        <w:t>XGBoost</w:t>
      </w:r>
      <w:proofErr w:type="spellEnd"/>
      <w:r w:rsidRPr="00F315D9">
        <w:rPr>
          <w:lang w:val="es-ES"/>
        </w:rPr>
        <w:t xml:space="preserve"> no lineal. Las decisiones tomadas en este capítulo (transformaciones, exclusión de variables redundantes, </w:t>
      </w:r>
      <w:proofErr w:type="spellStart"/>
      <w:r w:rsidRPr="00F315D9">
        <w:rPr>
          <w:lang w:val="es-ES"/>
        </w:rPr>
        <w:t>split</w:t>
      </w:r>
      <w:proofErr w:type="spellEnd"/>
      <w:r w:rsidRPr="00F315D9">
        <w:rPr>
          <w:lang w:val="es-ES"/>
        </w:rPr>
        <w:t xml:space="preserve"> temporal, justificación de </w:t>
      </w:r>
      <w:proofErr w:type="spellStart"/>
      <w:r w:rsidRPr="00F315D9">
        <w:rPr>
          <w:lang w:val="es-ES"/>
        </w:rPr>
        <w:t>outliers</w:t>
      </w:r>
      <w:proofErr w:type="spellEnd"/>
      <w:r w:rsidRPr="00F315D9">
        <w:rPr>
          <w:lang w:val="es-ES"/>
        </w:rPr>
        <w:t>) condicionan directamente las elecciones metodológicas de la fase de Análisis del Dato.</w:t>
      </w:r>
    </w:p>
    <w:p w14:paraId="22760F40" w14:textId="77777777" w:rsidR="001B6E41" w:rsidRPr="00F315D9" w:rsidRDefault="00000000">
      <w:pPr>
        <w:pStyle w:val="Ttulo2"/>
        <w:rPr>
          <w:lang w:val="es-ES"/>
        </w:rPr>
      </w:pPr>
      <w:bookmarkStart w:id="33" w:name="base-de-datos-final"/>
      <w:bookmarkEnd w:id="32"/>
      <w:r w:rsidRPr="00F315D9">
        <w:rPr>
          <w:lang w:val="es-ES"/>
        </w:rPr>
        <w:t>8. Base de datos final</w:t>
      </w:r>
    </w:p>
    <w:p w14:paraId="2633C2AC" w14:textId="77777777" w:rsidR="001B6E41" w:rsidRPr="00F315D9" w:rsidRDefault="00000000">
      <w:pPr>
        <w:rPr>
          <w:lang w:val="es-ES"/>
        </w:rPr>
      </w:pPr>
      <w:r w:rsidRPr="00F315D9">
        <w:rPr>
          <w:lang w:val="es-ES"/>
        </w:rPr>
        <w:t>El resultado del proceso completo de ingeniería del dato es una base de datos SQLite (</w:t>
      </w:r>
      <w:proofErr w:type="spellStart"/>
      <w:r w:rsidRPr="00F315D9">
        <w:rPr>
          <w:lang w:val="es-ES"/>
        </w:rPr>
        <w:t>tfg.db</w:t>
      </w:r>
      <w:proofErr w:type="spellEnd"/>
      <w:r w:rsidRPr="00F315D9">
        <w:rPr>
          <w:lang w:val="es-ES"/>
        </w:rPr>
        <w:t xml:space="preserve">) con </w:t>
      </w:r>
      <w:r w:rsidRPr="00F315D9">
        <w:rPr>
          <w:b/>
          <w:bCs/>
          <w:lang w:val="es-ES"/>
        </w:rPr>
        <w:t>8 tablas</w:t>
      </w:r>
      <w:r w:rsidRPr="00F315D9">
        <w:rPr>
          <w:lang w:val="es-ES"/>
        </w:rPr>
        <w:t xml:space="preserve"> y más de </w:t>
      </w:r>
      <w:r w:rsidRPr="00F315D9">
        <w:rPr>
          <w:b/>
          <w:bCs/>
          <w:lang w:val="es-ES"/>
        </w:rPr>
        <w:t>325.000 registros</w:t>
      </w:r>
      <w:r w:rsidRPr="00F315D9">
        <w:rPr>
          <w:lang w:val="es-ES"/>
        </w:rPr>
        <w:t>:</w:t>
      </w:r>
    </w:p>
    <w:tbl>
      <w:tblPr>
        <w:tblW w:w="5000" w:type="pct"/>
        <w:tblLayout w:type="fixed"/>
        <w:tblLook w:val="0020" w:firstRow="1" w:lastRow="0" w:firstColumn="0" w:lastColumn="0" w:noHBand="0" w:noVBand="0"/>
      </w:tblPr>
      <w:tblGrid>
        <w:gridCol w:w="2214"/>
        <w:gridCol w:w="2214"/>
        <w:gridCol w:w="2214"/>
        <w:gridCol w:w="2214"/>
      </w:tblGrid>
      <w:tr w:rsidR="001B6E41" w14:paraId="1360721A" w14:textId="77777777">
        <w:trPr>
          <w:tblHeader/>
        </w:trPr>
        <w:tc>
          <w:tcPr>
            <w:tcW w:w="1980" w:type="dxa"/>
            <w:tcBorders>
              <w:top w:val="single" w:sz="4" w:space="0" w:color="404040"/>
              <w:left w:val="single" w:sz="4" w:space="0" w:color="404040"/>
              <w:bottom w:val="single" w:sz="4" w:space="0" w:color="404040"/>
              <w:right w:val="single" w:sz="4" w:space="0" w:color="404040"/>
            </w:tcBorders>
            <w:shd w:val="clear" w:color="auto" w:fill="404040"/>
          </w:tcPr>
          <w:p w14:paraId="2AC011B5" w14:textId="77777777" w:rsidR="001B6E41" w:rsidRDefault="00000000">
            <w:proofErr w:type="spellStart"/>
            <w:r>
              <w:rPr>
                <w:b/>
                <w:color w:val="FFFFFF"/>
              </w:rPr>
              <w:t>Tabla</w:t>
            </w:r>
            <w:proofErr w:type="spellEnd"/>
          </w:p>
        </w:tc>
        <w:tc>
          <w:tcPr>
            <w:tcW w:w="1980" w:type="dxa"/>
            <w:tcBorders>
              <w:top w:val="single" w:sz="4" w:space="0" w:color="404040"/>
              <w:left w:val="single" w:sz="4" w:space="0" w:color="404040"/>
              <w:bottom w:val="single" w:sz="4" w:space="0" w:color="404040"/>
              <w:right w:val="single" w:sz="4" w:space="0" w:color="404040"/>
            </w:tcBorders>
            <w:shd w:val="clear" w:color="auto" w:fill="404040"/>
          </w:tcPr>
          <w:p w14:paraId="257422B3" w14:textId="77777777" w:rsidR="001B6E41" w:rsidRDefault="00000000">
            <w:r>
              <w:rPr>
                <w:b/>
                <w:color w:val="FFFFFF"/>
              </w:rPr>
              <w:t>Filas</w:t>
            </w:r>
          </w:p>
        </w:tc>
        <w:tc>
          <w:tcPr>
            <w:tcW w:w="1980" w:type="dxa"/>
            <w:tcBorders>
              <w:top w:val="single" w:sz="4" w:space="0" w:color="404040"/>
              <w:left w:val="single" w:sz="4" w:space="0" w:color="404040"/>
              <w:bottom w:val="single" w:sz="4" w:space="0" w:color="404040"/>
              <w:right w:val="single" w:sz="4" w:space="0" w:color="404040"/>
            </w:tcBorders>
            <w:shd w:val="clear" w:color="auto" w:fill="404040"/>
          </w:tcPr>
          <w:p w14:paraId="7363ED9D" w14:textId="77777777" w:rsidR="001B6E41" w:rsidRDefault="00000000">
            <w:r>
              <w:rPr>
                <w:b/>
                <w:color w:val="FFFFFF"/>
              </w:rPr>
              <w:t>Cols</w:t>
            </w:r>
          </w:p>
        </w:tc>
        <w:tc>
          <w:tcPr>
            <w:tcW w:w="1980" w:type="dxa"/>
            <w:tcBorders>
              <w:top w:val="single" w:sz="4" w:space="0" w:color="404040"/>
              <w:left w:val="single" w:sz="4" w:space="0" w:color="404040"/>
              <w:bottom w:val="single" w:sz="4" w:space="0" w:color="404040"/>
              <w:right w:val="single" w:sz="4" w:space="0" w:color="404040"/>
            </w:tcBorders>
            <w:shd w:val="clear" w:color="auto" w:fill="404040"/>
          </w:tcPr>
          <w:p w14:paraId="5B9F8FE7" w14:textId="77777777" w:rsidR="001B6E41" w:rsidRDefault="00000000">
            <w:r>
              <w:rPr>
                <w:b/>
                <w:color w:val="FFFFFF"/>
              </w:rPr>
              <w:t>Descripción</w:t>
            </w:r>
          </w:p>
        </w:tc>
      </w:tr>
      <w:tr w:rsidR="001B6E41" w14:paraId="134D4955" w14:textId="77777777">
        <w:tc>
          <w:tcPr>
            <w:tcW w:w="1980" w:type="dxa"/>
            <w:tcBorders>
              <w:top w:val="single" w:sz="4" w:space="0" w:color="BFBFBF"/>
              <w:left w:val="single" w:sz="4" w:space="0" w:color="BFBFBF"/>
              <w:bottom w:val="single" w:sz="4" w:space="0" w:color="BFBFBF"/>
              <w:right w:val="single" w:sz="4" w:space="0" w:color="BFBFBF"/>
            </w:tcBorders>
          </w:tcPr>
          <w:p w14:paraId="76061979" w14:textId="77777777" w:rsidR="001B6E41" w:rsidRDefault="00000000">
            <w:r>
              <w:t>precios_empresas</w:t>
            </w:r>
          </w:p>
        </w:tc>
        <w:tc>
          <w:tcPr>
            <w:tcW w:w="1980" w:type="dxa"/>
            <w:tcBorders>
              <w:top w:val="single" w:sz="4" w:space="0" w:color="BFBFBF"/>
              <w:left w:val="single" w:sz="4" w:space="0" w:color="BFBFBF"/>
              <w:bottom w:val="single" w:sz="4" w:space="0" w:color="BFBFBF"/>
              <w:right w:val="single" w:sz="4" w:space="0" w:color="BFBFBF"/>
            </w:tcBorders>
          </w:tcPr>
          <w:p w14:paraId="630C227A" w14:textId="77777777" w:rsidR="001B6E41" w:rsidRDefault="00000000">
            <w:r>
              <w:t>157.455</w:t>
            </w:r>
          </w:p>
        </w:tc>
        <w:tc>
          <w:tcPr>
            <w:tcW w:w="1980" w:type="dxa"/>
            <w:tcBorders>
              <w:top w:val="single" w:sz="4" w:space="0" w:color="BFBFBF"/>
              <w:left w:val="single" w:sz="4" w:space="0" w:color="BFBFBF"/>
              <w:bottom w:val="single" w:sz="4" w:space="0" w:color="BFBFBF"/>
              <w:right w:val="single" w:sz="4" w:space="0" w:color="BFBFBF"/>
            </w:tcBorders>
          </w:tcPr>
          <w:p w14:paraId="63939555" w14:textId="77777777" w:rsidR="001B6E41" w:rsidRDefault="00000000">
            <w:r>
              <w:t>11</w:t>
            </w:r>
          </w:p>
        </w:tc>
        <w:tc>
          <w:tcPr>
            <w:tcW w:w="1980" w:type="dxa"/>
            <w:tcBorders>
              <w:top w:val="single" w:sz="4" w:space="0" w:color="BFBFBF"/>
              <w:left w:val="single" w:sz="4" w:space="0" w:color="BFBFBF"/>
              <w:bottom w:val="single" w:sz="4" w:space="0" w:color="BFBFBF"/>
              <w:right w:val="single" w:sz="4" w:space="0" w:color="BFBFBF"/>
            </w:tcBorders>
          </w:tcPr>
          <w:p w14:paraId="2FD4D71D" w14:textId="77777777" w:rsidR="001B6E41" w:rsidRDefault="00000000">
            <w:r>
              <w:t>Precios OHLCV + retornos + volatilidad</w:t>
            </w:r>
          </w:p>
        </w:tc>
      </w:tr>
      <w:tr w:rsidR="001B6E41" w14:paraId="326CF9EF" w14:textId="77777777">
        <w:tc>
          <w:tcPr>
            <w:tcW w:w="1980" w:type="dxa"/>
            <w:tcBorders>
              <w:top w:val="single" w:sz="4" w:space="0" w:color="BFBFBF"/>
              <w:left w:val="single" w:sz="4" w:space="0" w:color="BFBFBF"/>
              <w:bottom w:val="single" w:sz="4" w:space="0" w:color="BFBFBF"/>
              <w:right w:val="single" w:sz="4" w:space="0" w:color="BFBFBF"/>
            </w:tcBorders>
          </w:tcPr>
          <w:p w14:paraId="1702F489" w14:textId="77777777" w:rsidR="001B6E41" w:rsidRDefault="00000000">
            <w:r>
              <w:t>ref_empresas</w:t>
            </w:r>
          </w:p>
        </w:tc>
        <w:tc>
          <w:tcPr>
            <w:tcW w:w="1980" w:type="dxa"/>
            <w:tcBorders>
              <w:top w:val="single" w:sz="4" w:space="0" w:color="BFBFBF"/>
              <w:left w:val="single" w:sz="4" w:space="0" w:color="BFBFBF"/>
              <w:bottom w:val="single" w:sz="4" w:space="0" w:color="BFBFBF"/>
              <w:right w:val="single" w:sz="4" w:space="0" w:color="BFBFBF"/>
            </w:tcBorders>
          </w:tcPr>
          <w:p w14:paraId="676BD727" w14:textId="77777777" w:rsidR="001B6E41" w:rsidRDefault="00000000">
            <w:r>
              <w:t>36</w:t>
            </w:r>
          </w:p>
        </w:tc>
        <w:tc>
          <w:tcPr>
            <w:tcW w:w="1980" w:type="dxa"/>
            <w:tcBorders>
              <w:top w:val="single" w:sz="4" w:space="0" w:color="BFBFBF"/>
              <w:left w:val="single" w:sz="4" w:space="0" w:color="BFBFBF"/>
              <w:bottom w:val="single" w:sz="4" w:space="0" w:color="BFBFBF"/>
              <w:right w:val="single" w:sz="4" w:space="0" w:color="BFBFBF"/>
            </w:tcBorders>
          </w:tcPr>
          <w:p w14:paraId="2F29D387" w14:textId="77777777" w:rsidR="001B6E41" w:rsidRDefault="00000000">
            <w:r>
              <w:t>5</w:t>
            </w:r>
          </w:p>
        </w:tc>
        <w:tc>
          <w:tcPr>
            <w:tcW w:w="1980" w:type="dxa"/>
            <w:tcBorders>
              <w:top w:val="single" w:sz="4" w:space="0" w:color="BFBFBF"/>
              <w:left w:val="single" w:sz="4" w:space="0" w:color="BFBFBF"/>
              <w:bottom w:val="single" w:sz="4" w:space="0" w:color="BFBFBF"/>
              <w:right w:val="single" w:sz="4" w:space="0" w:color="BFBFBF"/>
            </w:tcBorders>
          </w:tcPr>
          <w:p w14:paraId="72A4AC25" w14:textId="77777777" w:rsidR="001B6E41" w:rsidRDefault="00000000">
            <w:r>
              <w:t>Catálogo de empresas IBEX 35</w:t>
            </w:r>
          </w:p>
        </w:tc>
      </w:tr>
      <w:tr w:rsidR="001B6E41" w14:paraId="73F560E1" w14:textId="77777777">
        <w:tc>
          <w:tcPr>
            <w:tcW w:w="1980" w:type="dxa"/>
            <w:tcBorders>
              <w:top w:val="single" w:sz="4" w:space="0" w:color="BFBFBF"/>
              <w:left w:val="single" w:sz="4" w:space="0" w:color="BFBFBF"/>
              <w:bottom w:val="single" w:sz="4" w:space="0" w:color="BFBFBF"/>
              <w:right w:val="single" w:sz="4" w:space="0" w:color="BFBFBF"/>
            </w:tcBorders>
          </w:tcPr>
          <w:p w14:paraId="19BD0E48" w14:textId="77777777" w:rsidR="001B6E41" w:rsidRDefault="00000000">
            <w:r>
              <w:t>macro_act_mensual</w:t>
            </w:r>
          </w:p>
        </w:tc>
        <w:tc>
          <w:tcPr>
            <w:tcW w:w="1980" w:type="dxa"/>
            <w:tcBorders>
              <w:top w:val="single" w:sz="4" w:space="0" w:color="BFBFBF"/>
              <w:left w:val="single" w:sz="4" w:space="0" w:color="BFBFBF"/>
              <w:bottom w:val="single" w:sz="4" w:space="0" w:color="BFBFBF"/>
              <w:right w:val="single" w:sz="4" w:space="0" w:color="BFBFBF"/>
            </w:tcBorders>
          </w:tcPr>
          <w:p w14:paraId="04D9AC70" w14:textId="77777777" w:rsidR="001B6E41" w:rsidRDefault="00000000">
            <w:r>
              <w:t>250</w:t>
            </w:r>
          </w:p>
        </w:tc>
        <w:tc>
          <w:tcPr>
            <w:tcW w:w="1980" w:type="dxa"/>
            <w:tcBorders>
              <w:top w:val="single" w:sz="4" w:space="0" w:color="BFBFBF"/>
              <w:left w:val="single" w:sz="4" w:space="0" w:color="BFBFBF"/>
              <w:bottom w:val="single" w:sz="4" w:space="0" w:color="BFBFBF"/>
              <w:right w:val="single" w:sz="4" w:space="0" w:color="BFBFBF"/>
            </w:tcBorders>
          </w:tcPr>
          <w:p w14:paraId="2DB8F4B8" w14:textId="77777777" w:rsidR="001B6E41" w:rsidRDefault="00000000">
            <w:r>
              <w:t>4</w:t>
            </w:r>
          </w:p>
        </w:tc>
        <w:tc>
          <w:tcPr>
            <w:tcW w:w="1980" w:type="dxa"/>
            <w:tcBorders>
              <w:top w:val="single" w:sz="4" w:space="0" w:color="BFBFBF"/>
              <w:left w:val="single" w:sz="4" w:space="0" w:color="BFBFBF"/>
              <w:bottom w:val="single" w:sz="4" w:space="0" w:color="BFBFBF"/>
              <w:right w:val="single" w:sz="4" w:space="0" w:color="BFBFBF"/>
            </w:tcBorders>
          </w:tcPr>
          <w:p w14:paraId="2B90FAE1" w14:textId="77777777" w:rsidR="001B6E41" w:rsidRDefault="00000000">
            <w:r>
              <w:t>Actividad económica mensual</w:t>
            </w:r>
          </w:p>
        </w:tc>
      </w:tr>
      <w:tr w:rsidR="001B6E41" w14:paraId="00E06C64" w14:textId="77777777">
        <w:tc>
          <w:tcPr>
            <w:tcW w:w="1980" w:type="dxa"/>
            <w:tcBorders>
              <w:top w:val="single" w:sz="4" w:space="0" w:color="BFBFBF"/>
              <w:left w:val="single" w:sz="4" w:space="0" w:color="BFBFBF"/>
              <w:bottom w:val="single" w:sz="4" w:space="0" w:color="BFBFBF"/>
              <w:right w:val="single" w:sz="4" w:space="0" w:color="BFBFBF"/>
            </w:tcBorders>
          </w:tcPr>
          <w:p w14:paraId="27927B18" w14:textId="77777777" w:rsidR="001B6E41" w:rsidRDefault="00000000">
            <w:r>
              <w:t>macro_act_trimes</w:t>
            </w:r>
          </w:p>
        </w:tc>
        <w:tc>
          <w:tcPr>
            <w:tcW w:w="1980" w:type="dxa"/>
            <w:tcBorders>
              <w:top w:val="single" w:sz="4" w:space="0" w:color="BFBFBF"/>
              <w:left w:val="single" w:sz="4" w:space="0" w:color="BFBFBF"/>
              <w:bottom w:val="single" w:sz="4" w:space="0" w:color="BFBFBF"/>
              <w:right w:val="single" w:sz="4" w:space="0" w:color="BFBFBF"/>
            </w:tcBorders>
          </w:tcPr>
          <w:p w14:paraId="39891C04" w14:textId="77777777" w:rsidR="001B6E41" w:rsidRDefault="00000000">
            <w:r>
              <w:t>82</w:t>
            </w:r>
          </w:p>
        </w:tc>
        <w:tc>
          <w:tcPr>
            <w:tcW w:w="1980" w:type="dxa"/>
            <w:tcBorders>
              <w:top w:val="single" w:sz="4" w:space="0" w:color="BFBFBF"/>
              <w:left w:val="single" w:sz="4" w:space="0" w:color="BFBFBF"/>
              <w:bottom w:val="single" w:sz="4" w:space="0" w:color="BFBFBF"/>
              <w:right w:val="single" w:sz="4" w:space="0" w:color="BFBFBF"/>
            </w:tcBorders>
          </w:tcPr>
          <w:p w14:paraId="5C048631" w14:textId="77777777" w:rsidR="001B6E41" w:rsidRDefault="00000000">
            <w:r>
              <w:t>3</w:t>
            </w:r>
          </w:p>
        </w:tc>
        <w:tc>
          <w:tcPr>
            <w:tcW w:w="1980" w:type="dxa"/>
            <w:tcBorders>
              <w:top w:val="single" w:sz="4" w:space="0" w:color="BFBFBF"/>
              <w:left w:val="single" w:sz="4" w:space="0" w:color="BFBFBF"/>
              <w:bottom w:val="single" w:sz="4" w:space="0" w:color="BFBFBF"/>
              <w:right w:val="single" w:sz="4" w:space="0" w:color="BFBFBF"/>
            </w:tcBorders>
          </w:tcPr>
          <w:p w14:paraId="349CDD3E" w14:textId="77777777" w:rsidR="001B6E41" w:rsidRDefault="00000000">
            <w:r>
              <w:t>Actividad económica trimestral</w:t>
            </w:r>
          </w:p>
        </w:tc>
      </w:tr>
      <w:tr w:rsidR="001B6E41" w14:paraId="2A8B6397" w14:textId="77777777">
        <w:tc>
          <w:tcPr>
            <w:tcW w:w="1980" w:type="dxa"/>
            <w:tcBorders>
              <w:top w:val="single" w:sz="4" w:space="0" w:color="BFBFBF"/>
              <w:left w:val="single" w:sz="4" w:space="0" w:color="BFBFBF"/>
              <w:bottom w:val="single" w:sz="4" w:space="0" w:color="BFBFBF"/>
              <w:right w:val="single" w:sz="4" w:space="0" w:color="BFBFBF"/>
            </w:tcBorders>
          </w:tcPr>
          <w:p w14:paraId="3CAAFC24" w14:textId="77777777" w:rsidR="001B6E41" w:rsidRDefault="00000000">
            <w:r>
              <w:t>macro_mon_diario</w:t>
            </w:r>
          </w:p>
        </w:tc>
        <w:tc>
          <w:tcPr>
            <w:tcW w:w="1980" w:type="dxa"/>
            <w:tcBorders>
              <w:top w:val="single" w:sz="4" w:space="0" w:color="BFBFBF"/>
              <w:left w:val="single" w:sz="4" w:space="0" w:color="BFBFBF"/>
              <w:bottom w:val="single" w:sz="4" w:space="0" w:color="BFBFBF"/>
              <w:right w:val="single" w:sz="4" w:space="0" w:color="BFBFBF"/>
            </w:tcBorders>
          </w:tcPr>
          <w:p w14:paraId="0697B352" w14:textId="77777777" w:rsidR="001B6E41" w:rsidRDefault="00000000">
            <w:r>
              <w:t>5.865</w:t>
            </w:r>
          </w:p>
        </w:tc>
        <w:tc>
          <w:tcPr>
            <w:tcW w:w="1980" w:type="dxa"/>
            <w:tcBorders>
              <w:top w:val="single" w:sz="4" w:space="0" w:color="BFBFBF"/>
              <w:left w:val="single" w:sz="4" w:space="0" w:color="BFBFBF"/>
              <w:bottom w:val="single" w:sz="4" w:space="0" w:color="BFBFBF"/>
              <w:right w:val="single" w:sz="4" w:space="0" w:color="BFBFBF"/>
            </w:tcBorders>
          </w:tcPr>
          <w:p w14:paraId="04C6FF40" w14:textId="77777777" w:rsidR="001B6E41" w:rsidRDefault="00000000">
            <w:r>
              <w:t>5</w:t>
            </w:r>
          </w:p>
        </w:tc>
        <w:tc>
          <w:tcPr>
            <w:tcW w:w="1980" w:type="dxa"/>
            <w:tcBorders>
              <w:top w:val="single" w:sz="4" w:space="0" w:color="BFBFBF"/>
              <w:left w:val="single" w:sz="4" w:space="0" w:color="BFBFBF"/>
              <w:bottom w:val="single" w:sz="4" w:space="0" w:color="BFBFBF"/>
              <w:right w:val="single" w:sz="4" w:space="0" w:color="BFBFBF"/>
            </w:tcBorders>
          </w:tcPr>
          <w:p w14:paraId="613ADF0A" w14:textId="77777777" w:rsidR="001B6E41" w:rsidRDefault="00000000">
            <w:r>
              <w:t>Condiciones monetarias diarias</w:t>
            </w:r>
          </w:p>
        </w:tc>
      </w:tr>
      <w:tr w:rsidR="001B6E41" w14:paraId="097A4124" w14:textId="77777777">
        <w:tc>
          <w:tcPr>
            <w:tcW w:w="1980" w:type="dxa"/>
            <w:tcBorders>
              <w:top w:val="single" w:sz="4" w:space="0" w:color="BFBFBF"/>
              <w:left w:val="single" w:sz="4" w:space="0" w:color="BFBFBF"/>
              <w:bottom w:val="single" w:sz="4" w:space="0" w:color="BFBFBF"/>
              <w:right w:val="single" w:sz="4" w:space="0" w:color="BFBFBF"/>
            </w:tcBorders>
          </w:tcPr>
          <w:p w14:paraId="40787358" w14:textId="77777777" w:rsidR="001B6E41" w:rsidRDefault="00000000">
            <w:r>
              <w:t>macro_mon_mensual</w:t>
            </w:r>
          </w:p>
        </w:tc>
        <w:tc>
          <w:tcPr>
            <w:tcW w:w="1980" w:type="dxa"/>
            <w:tcBorders>
              <w:top w:val="single" w:sz="4" w:space="0" w:color="BFBFBF"/>
              <w:left w:val="single" w:sz="4" w:space="0" w:color="BFBFBF"/>
              <w:bottom w:val="single" w:sz="4" w:space="0" w:color="BFBFBF"/>
              <w:right w:val="single" w:sz="4" w:space="0" w:color="BFBFBF"/>
            </w:tcBorders>
          </w:tcPr>
          <w:p w14:paraId="67EDC87D" w14:textId="77777777" w:rsidR="001B6E41" w:rsidRDefault="00000000">
            <w:r>
              <w:t>423</w:t>
            </w:r>
          </w:p>
        </w:tc>
        <w:tc>
          <w:tcPr>
            <w:tcW w:w="1980" w:type="dxa"/>
            <w:tcBorders>
              <w:top w:val="single" w:sz="4" w:space="0" w:color="BFBFBF"/>
              <w:left w:val="single" w:sz="4" w:space="0" w:color="BFBFBF"/>
              <w:bottom w:val="single" w:sz="4" w:space="0" w:color="BFBFBF"/>
              <w:right w:val="single" w:sz="4" w:space="0" w:color="BFBFBF"/>
            </w:tcBorders>
          </w:tcPr>
          <w:p w14:paraId="2831553A" w14:textId="77777777" w:rsidR="001B6E41" w:rsidRDefault="00000000">
            <w:r>
              <w:t>7</w:t>
            </w:r>
          </w:p>
        </w:tc>
        <w:tc>
          <w:tcPr>
            <w:tcW w:w="1980" w:type="dxa"/>
            <w:tcBorders>
              <w:top w:val="single" w:sz="4" w:space="0" w:color="BFBFBF"/>
              <w:left w:val="single" w:sz="4" w:space="0" w:color="BFBFBF"/>
              <w:bottom w:val="single" w:sz="4" w:space="0" w:color="BFBFBF"/>
              <w:right w:val="single" w:sz="4" w:space="0" w:color="BFBFBF"/>
            </w:tcBorders>
          </w:tcPr>
          <w:p w14:paraId="079F688B" w14:textId="77777777" w:rsidR="001B6E41" w:rsidRDefault="00000000">
            <w:r>
              <w:t>Condiciones monetarias mensuales</w:t>
            </w:r>
          </w:p>
        </w:tc>
      </w:tr>
      <w:tr w:rsidR="001B6E41" w14:paraId="0B791B0D" w14:textId="77777777">
        <w:tc>
          <w:tcPr>
            <w:tcW w:w="1980" w:type="dxa"/>
            <w:tcBorders>
              <w:top w:val="single" w:sz="4" w:space="0" w:color="BFBFBF"/>
              <w:left w:val="single" w:sz="4" w:space="0" w:color="BFBFBF"/>
              <w:bottom w:val="single" w:sz="4" w:space="0" w:color="BFBFBF"/>
              <w:right w:val="single" w:sz="4" w:space="0" w:color="BFBFBF"/>
            </w:tcBorders>
          </w:tcPr>
          <w:p w14:paraId="3221AEBD" w14:textId="77777777" w:rsidR="001B6E41" w:rsidRDefault="00000000">
            <w:r>
              <w:t>macro_riesgo</w:t>
            </w:r>
          </w:p>
        </w:tc>
        <w:tc>
          <w:tcPr>
            <w:tcW w:w="1980" w:type="dxa"/>
            <w:tcBorders>
              <w:top w:val="single" w:sz="4" w:space="0" w:color="BFBFBF"/>
              <w:left w:val="single" w:sz="4" w:space="0" w:color="BFBFBF"/>
              <w:bottom w:val="single" w:sz="4" w:space="0" w:color="BFBFBF"/>
              <w:right w:val="single" w:sz="4" w:space="0" w:color="BFBFBF"/>
            </w:tcBorders>
          </w:tcPr>
          <w:p w14:paraId="51394607" w14:textId="77777777" w:rsidR="001B6E41" w:rsidRDefault="00000000">
            <w:r>
              <w:t>5.091</w:t>
            </w:r>
          </w:p>
        </w:tc>
        <w:tc>
          <w:tcPr>
            <w:tcW w:w="1980" w:type="dxa"/>
            <w:tcBorders>
              <w:top w:val="single" w:sz="4" w:space="0" w:color="BFBFBF"/>
              <w:left w:val="single" w:sz="4" w:space="0" w:color="BFBFBF"/>
              <w:bottom w:val="single" w:sz="4" w:space="0" w:color="BFBFBF"/>
              <w:right w:val="single" w:sz="4" w:space="0" w:color="BFBFBF"/>
            </w:tcBorders>
          </w:tcPr>
          <w:p w14:paraId="1D404B51" w14:textId="77777777" w:rsidR="001B6E41" w:rsidRDefault="00000000">
            <w:r>
              <w:t>6</w:t>
            </w:r>
          </w:p>
        </w:tc>
        <w:tc>
          <w:tcPr>
            <w:tcW w:w="1980" w:type="dxa"/>
            <w:tcBorders>
              <w:top w:val="single" w:sz="4" w:space="0" w:color="BFBFBF"/>
              <w:left w:val="single" w:sz="4" w:space="0" w:color="BFBFBF"/>
              <w:bottom w:val="single" w:sz="4" w:space="0" w:color="BFBFBF"/>
              <w:right w:val="single" w:sz="4" w:space="0" w:color="BFBFBF"/>
            </w:tcBorders>
          </w:tcPr>
          <w:p w14:paraId="469634EC" w14:textId="77777777" w:rsidR="001B6E41" w:rsidRDefault="00000000">
            <w:r>
              <w:t>Riesgo global y commodities</w:t>
            </w:r>
          </w:p>
        </w:tc>
      </w:tr>
      <w:tr w:rsidR="001B6E41" w14:paraId="02D89BC1" w14:textId="77777777">
        <w:tc>
          <w:tcPr>
            <w:tcW w:w="1980" w:type="dxa"/>
            <w:tcBorders>
              <w:top w:val="single" w:sz="4" w:space="0" w:color="BFBFBF"/>
              <w:left w:val="single" w:sz="4" w:space="0" w:color="BFBFBF"/>
              <w:bottom w:val="single" w:sz="4" w:space="0" w:color="BFBFBF"/>
              <w:right w:val="single" w:sz="4" w:space="0" w:color="BFBFBF"/>
            </w:tcBorders>
          </w:tcPr>
          <w:p w14:paraId="400F88FB" w14:textId="77777777" w:rsidR="001B6E41" w:rsidRDefault="00000000">
            <w:r>
              <w:lastRenderedPageBreak/>
              <w:t>dataset_maestro</w:t>
            </w:r>
          </w:p>
        </w:tc>
        <w:tc>
          <w:tcPr>
            <w:tcW w:w="1980" w:type="dxa"/>
            <w:tcBorders>
              <w:top w:val="single" w:sz="4" w:space="0" w:color="BFBFBF"/>
              <w:left w:val="single" w:sz="4" w:space="0" w:color="BFBFBF"/>
              <w:bottom w:val="single" w:sz="4" w:space="0" w:color="BFBFBF"/>
              <w:right w:val="single" w:sz="4" w:space="0" w:color="BFBFBF"/>
            </w:tcBorders>
          </w:tcPr>
          <w:p w14:paraId="2F06D50F" w14:textId="77777777" w:rsidR="001B6E41" w:rsidRDefault="00000000">
            <w:r>
              <w:t>157.455</w:t>
            </w:r>
          </w:p>
        </w:tc>
        <w:tc>
          <w:tcPr>
            <w:tcW w:w="1980" w:type="dxa"/>
            <w:tcBorders>
              <w:top w:val="single" w:sz="4" w:space="0" w:color="BFBFBF"/>
              <w:left w:val="single" w:sz="4" w:space="0" w:color="BFBFBF"/>
              <w:bottom w:val="single" w:sz="4" w:space="0" w:color="BFBFBF"/>
              <w:right w:val="single" w:sz="4" w:space="0" w:color="BFBFBF"/>
            </w:tcBorders>
          </w:tcPr>
          <w:p w14:paraId="34286C0E" w14:textId="77777777" w:rsidR="001B6E41" w:rsidRDefault="00000000">
            <w:r>
              <w:t>31</w:t>
            </w:r>
          </w:p>
        </w:tc>
        <w:tc>
          <w:tcPr>
            <w:tcW w:w="1980" w:type="dxa"/>
            <w:tcBorders>
              <w:top w:val="single" w:sz="4" w:space="0" w:color="BFBFBF"/>
              <w:left w:val="single" w:sz="4" w:space="0" w:color="BFBFBF"/>
              <w:bottom w:val="single" w:sz="4" w:space="0" w:color="BFBFBF"/>
              <w:right w:val="single" w:sz="4" w:space="0" w:color="BFBFBF"/>
            </w:tcBorders>
          </w:tcPr>
          <w:p w14:paraId="0DC61321" w14:textId="77777777" w:rsidR="001B6E41" w:rsidRDefault="00000000">
            <w:r>
              <w:t>Dataset consolidado para modelización</w:t>
            </w:r>
          </w:p>
        </w:tc>
      </w:tr>
    </w:tbl>
    <w:p w14:paraId="4ADBE885" w14:textId="77777777" w:rsidR="001B6E41" w:rsidRPr="00F315D9" w:rsidRDefault="00000000">
      <w:pPr>
        <w:pStyle w:val="Textoindependiente"/>
        <w:rPr>
          <w:lang w:val="es-ES"/>
        </w:rPr>
      </w:pPr>
      <w:r w:rsidRPr="00F315D9">
        <w:rPr>
          <w:lang w:val="es-ES"/>
        </w:rPr>
        <w:t xml:space="preserve">El diseño en estrella, con las tablas de origen separadas del </w:t>
      </w:r>
      <w:proofErr w:type="spellStart"/>
      <w:r w:rsidRPr="00F315D9">
        <w:rPr>
          <w:lang w:val="es-ES"/>
        </w:rPr>
        <w:t>dataset</w:t>
      </w:r>
      <w:proofErr w:type="spellEnd"/>
      <w:r w:rsidRPr="00F315D9">
        <w:rPr>
          <w:lang w:val="es-ES"/>
        </w:rPr>
        <w:t xml:space="preserve"> maestro consolidado, permite tanto la </w:t>
      </w:r>
      <w:r w:rsidRPr="00F315D9">
        <w:rPr>
          <w:b/>
          <w:bCs/>
          <w:lang w:val="es-ES"/>
        </w:rPr>
        <w:t>trazabilidad completa del dato</w:t>
      </w:r>
      <w:r w:rsidRPr="00F315D9">
        <w:rPr>
          <w:lang w:val="es-ES"/>
        </w:rPr>
        <w:t xml:space="preserve"> (se puede verificar cualquier valor volviendo a la tabla de origen) como la </w:t>
      </w:r>
      <w:r w:rsidRPr="00F315D9">
        <w:rPr>
          <w:b/>
          <w:bCs/>
          <w:lang w:val="es-ES"/>
        </w:rPr>
        <w:t>eficiencia en la fase de modelización</w:t>
      </w:r>
      <w:r w:rsidRPr="00F315D9">
        <w:rPr>
          <w:lang w:val="es-ES"/>
        </w:rPr>
        <w:t xml:space="preserve"> (una sola tabla contiene toda la información necesaria). Adicionalmente, se generan copias de seguridad en formato CSV y </w:t>
      </w:r>
      <w:proofErr w:type="spellStart"/>
      <w:r w:rsidRPr="00F315D9">
        <w:rPr>
          <w:lang w:val="es-ES"/>
        </w:rPr>
        <w:t>Parquet</w:t>
      </w:r>
      <w:proofErr w:type="spellEnd"/>
      <w:r w:rsidRPr="00F315D9">
        <w:rPr>
          <w:lang w:val="es-ES"/>
        </w:rPr>
        <w:t xml:space="preserve"> en data/</w:t>
      </w:r>
      <w:proofErr w:type="spellStart"/>
      <w:r w:rsidRPr="00F315D9">
        <w:rPr>
          <w:lang w:val="es-ES"/>
        </w:rPr>
        <w:t>processed</w:t>
      </w:r>
      <w:proofErr w:type="spellEnd"/>
      <w:r w:rsidRPr="00F315D9">
        <w:rPr>
          <w:lang w:val="es-ES"/>
        </w:rPr>
        <w:t>/, garantizando la portabilidad fuera del ecosistema SQLite.</w:t>
      </w:r>
      <w:bookmarkEnd w:id="0"/>
      <w:bookmarkEnd w:id="33"/>
    </w:p>
    <w:sectPr w:rsidR="001B6E41" w:rsidRPr="00F315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A10E0E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7C0EA7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7A2ED0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86195447">
    <w:abstractNumId w:val="8"/>
  </w:num>
  <w:num w:numId="2" w16cid:durableId="1386757976">
    <w:abstractNumId w:val="6"/>
  </w:num>
  <w:num w:numId="3" w16cid:durableId="1051265791">
    <w:abstractNumId w:val="5"/>
  </w:num>
  <w:num w:numId="4" w16cid:durableId="1108085321">
    <w:abstractNumId w:val="4"/>
  </w:num>
  <w:num w:numId="5" w16cid:durableId="163936335">
    <w:abstractNumId w:val="7"/>
  </w:num>
  <w:num w:numId="6" w16cid:durableId="731317272">
    <w:abstractNumId w:val="3"/>
  </w:num>
  <w:num w:numId="7" w16cid:durableId="1048410662">
    <w:abstractNumId w:val="2"/>
  </w:num>
  <w:num w:numId="8" w16cid:durableId="1220557235">
    <w:abstractNumId w:val="1"/>
  </w:num>
  <w:num w:numId="9" w16cid:durableId="2034961380">
    <w:abstractNumId w:val="0"/>
  </w:num>
  <w:num w:numId="10" w16cid:durableId="24791855">
    <w:abstractNumId w:val="9"/>
  </w:num>
  <w:num w:numId="11" w16cid:durableId="1525243832">
    <w:abstractNumId w:val="10"/>
  </w:num>
  <w:num w:numId="12" w16cid:durableId="787892641">
    <w:abstractNumId w:val="10"/>
  </w:num>
  <w:num w:numId="13" w16cid:durableId="542250840">
    <w:abstractNumId w:val="10"/>
  </w:num>
  <w:num w:numId="14" w16cid:durableId="1898736237">
    <w:abstractNumId w:val="10"/>
  </w:num>
  <w:num w:numId="15" w16cid:durableId="1401321758">
    <w:abstractNumId w:val="10"/>
  </w:num>
  <w:num w:numId="16" w16cid:durableId="4011755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10694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48A"/>
    <w:rsid w:val="000F62DA"/>
    <w:rsid w:val="0015074B"/>
    <w:rsid w:val="001B6E41"/>
    <w:rsid w:val="0029639D"/>
    <w:rsid w:val="00326F90"/>
    <w:rsid w:val="003778F2"/>
    <w:rsid w:val="00650F09"/>
    <w:rsid w:val="006705A0"/>
    <w:rsid w:val="00A24034"/>
    <w:rsid w:val="00A6415F"/>
    <w:rsid w:val="00AA1D8D"/>
    <w:rsid w:val="00AD0D7F"/>
    <w:rsid w:val="00B47730"/>
    <w:rsid w:val="00BF69B3"/>
    <w:rsid w:val="00CB0664"/>
    <w:rsid w:val="00E912BA"/>
    <w:rsid w:val="00F315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1F838"/>
  <w15:docId w15:val="{9B71BE79-48BF-B442-B563-9DCE51972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i/>
      <w:color w:val="00336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20</Pages>
  <Words>4521</Words>
  <Characters>26360</Characters>
  <Application>Microsoft Office Word</Application>
  <DocSecurity>0</DocSecurity>
  <Lines>753</Lines>
  <Paragraphs>551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Adrián Celada Calderón</cp:lastModifiedBy>
  <cp:revision>2</cp:revision>
  <dcterms:created xsi:type="dcterms:W3CDTF">2026-04-11T17:35:00Z</dcterms:created>
  <dcterms:modified xsi:type="dcterms:W3CDTF">2026-04-12T15:56:00Z</dcterms:modified>
</cp:coreProperties>
</file>