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61D39"/>
          <w:sz w:val="40"/>
          <w:szCs w:val="40"/>
        </w:rPr>
        <w:t xml:space="preserve">Grille de scoring et méthodologie de sélection des projets</w:t>
      </w:r>
    </w:p>
    <w:p>
      <w:pPr>
        <w:spacing w:after="60"/>
      </w:pPr>
      <w:r>
        <w:rPr>
          <w:b/>
          <w:bCs/>
          <w:color w:val="1f8f78"/>
          <w:sz w:val="26"/>
          <w:szCs w:val="26"/>
        </w:rPr>
        <w:t xml:space="preserve">Lina Capital — Plateforme de financement participatif (PSFP)</w:t>
      </w:r>
    </w:p>
    <w:p>
      <w:pPr>
        <w:pBdr>
          <w:bottom w:val="single" w:color="47d3b0" w:sz="22" w:space="1"/>
        </w:pBdr>
        <w:spacing w:after="140"/>
      </w:pPr>
    </w:p>
    <w:p>
      <w:pPr>
        <w:spacing w:after="60" w:line="276"/>
      </w:pPr>
      <w:r>
        <w:rPr>
          <w:b/>
          <w:bCs/>
          <w:color w:val="555555"/>
          <w:sz w:val="21"/>
          <w:szCs w:val="21"/>
        </w:rPr>
        <w:t xml:space="preserve">Document méthodologique</w:t>
      </w:r>
      <w:r>
        <w:rPr>
          <w:b w:val="false"/>
          <w:bCs w:val="false"/>
          <w:color w:val="555555"/>
          <w:sz w:val="21"/>
          <w:szCs w:val="21"/>
        </w:rPr>
        <w:t xml:space="preserve"> — éligibilité, notation et sélection des projets présentés au financement participatif.</w:t>
      </w:r>
    </w:p>
    <w:p>
      <w:pPr>
        <w:spacing w:after="120" w:line="276"/>
      </w:pPr>
      <w:r>
        <w:rPr>
          <w:b/>
          <w:bCs/>
          <w:color w:val="555555"/>
          <w:sz w:val="21"/>
          <w:szCs w:val="21"/>
        </w:rPr>
        <w:t xml:space="preserve">Version :</w:t>
      </w:r>
      <w:r>
        <w:rPr>
          <w:b w:val="false"/>
          <w:bCs w:val="false"/>
          <w:color w:val="555555"/>
          <w:sz w:val="21"/>
          <w:szCs w:val="21"/>
        </w:rPr>
        <w:t xml:space="preserve"> 1.0 — Juin 2026     </w:t>
      </w:r>
      <w:r>
        <w:rPr>
          <w:b/>
          <w:bCs/>
          <w:color w:val="555555"/>
          <w:sz w:val="21"/>
          <w:szCs w:val="21"/>
        </w:rPr>
        <w:t xml:space="preserve">Destinataire :</w:t>
      </w:r>
      <w:r>
        <w:rPr>
          <w:b w:val="false"/>
          <w:bCs w:val="false"/>
          <w:color w:val="555555"/>
          <w:sz w:val="21"/>
          <w:szCs w:val="21"/>
        </w:rPr>
        <w:t xml:space="preserve"> Autorité des marchés financiers (AMF)</w:t>
      </w:r>
    </w:p>
    <w:tbl>
      <w:tblPr>
        <w:tblW w:type="dxa" w:w="9906"/>
        <w:tblBorders>
          <w:top w:val="none"/>
          <w:left w:val="single" w:color="47d3b0" w:sz="18"/>
          <w:bottom w:val="none"/>
          <w:right w:val="none"/>
          <w:insideH w:val="none"/>
          <w:insideV w:val="none"/>
        </w:tblBorders>
        <w:tblLayout w:type="fixed"/>
      </w:tblPr>
      <w:tblGrid>
        <w:gridCol w:w="9906"/>
      </w:tblGrid>
      <w:tr>
        <w:tc>
          <w:tcPr>
            <w:tcW w:type="dxa" w:w="9906"/>
            <w:shd w:fill="f1f5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Document de travail à valider par la direction et la fonction conformité de Lina Capital avant transmission. Les seuils et pondérations sont revus périodiquement (voir §8).</w:t>
            </w:r>
          </w:p>
        </w:tc>
      </w:tr>
    </w:tbl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1. Objet et principes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Lina Capital sélectionne les projets éligibles au financement participatif selon une méthodologie </w:t>
      </w:r>
      <w:r>
        <w:rPr>
          <w:b/>
          <w:bCs/>
          <w:color w:val="1c1c1c"/>
          <w:sz w:val="21"/>
          <w:szCs w:val="21"/>
        </w:rPr>
        <w:t xml:space="preserve">écrite, traçable et appliquée de manière homogène à tous les porteurs</w:t>
      </w:r>
      <w:r>
        <w:rPr>
          <w:b w:val="false"/>
          <w:bCs w:val="false"/>
          <w:color w:val="1c1c1c"/>
          <w:sz w:val="21"/>
          <w:szCs w:val="21"/>
        </w:rPr>
        <w:t xml:space="preserve">. Elle repose sur trois principes 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Processus en trois étapes</w:t>
      </w:r>
      <w:r>
        <w:rPr>
          <w:b w:val="false"/>
          <w:bCs w:val="false"/>
          <w:color w:val="1c1c1c"/>
          <w:sz w:val="21"/>
          <w:szCs w:val="21"/>
        </w:rPr>
        <w:t xml:space="preserve"> : (1) pré-qualification automatique des demandes entrantes, (2) analyse approfondie des dossiers retenus, (3) décision collégiale.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Supervision humaine systématique</w:t>
      </w:r>
      <w:r>
        <w:rPr>
          <w:b w:val="false"/>
          <w:bCs w:val="false"/>
          <w:color w:val="1c1c1c"/>
          <w:sz w:val="21"/>
          <w:szCs w:val="21"/>
        </w:rPr>
        <w:t xml:space="preserve"> : le score est un outil d'aide à la décision de triage. </w:t>
      </w:r>
      <w:r>
        <w:rPr>
          <w:b/>
          <w:bCs/>
          <w:color w:val="1c1c1c"/>
          <w:sz w:val="21"/>
          <w:szCs w:val="21"/>
        </w:rPr>
        <w:t xml:space="preserve">Aucune décision de financement n'est automatisée</w:t>
      </w:r>
      <w:r>
        <w:rPr>
          <w:b w:val="false"/>
          <w:bCs w:val="false"/>
          <w:color w:val="1c1c1c"/>
          <w:sz w:val="21"/>
          <w:szCs w:val="21"/>
        </w:rPr>
        <w:t xml:space="preserve"> ; toute décision est prise et validée par un membre habilité, puis en comité.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Conformité à la finance islamique</w:t>
      </w:r>
      <w:r>
        <w:rPr>
          <w:b w:val="false"/>
          <w:bCs w:val="false"/>
          <w:color w:val="1c1c1c"/>
          <w:sz w:val="21"/>
          <w:szCs w:val="21"/>
        </w:rPr>
        <w:t xml:space="preserve"> : chaque projet fait l'objet d'un examen de conformité (screening de l'activité, ratios financiers, structure de financement éthique).</w:t>
      </w:r>
    </w:p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2. Critères d'éligibilité (exclusions)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Certaines activités sont </w:t>
      </w:r>
      <w:r>
        <w:rPr>
          <w:b/>
          <w:bCs/>
          <w:color w:val="1c1c1c"/>
          <w:sz w:val="21"/>
          <w:szCs w:val="21"/>
        </w:rPr>
        <w:t xml:space="preserve">exclues d'office</w:t>
      </w:r>
      <w:r>
        <w:rPr>
          <w:b w:val="false"/>
          <w:bCs w:val="false"/>
          <w:color w:val="1c1c1c"/>
          <w:sz w:val="21"/>
          <w:szCs w:val="21"/>
        </w:rPr>
        <w:t xml:space="preserve">, indépendamment de leur qualité intrinsèque. Un projet relevant d'un secteur exclu reçoit un </w:t>
      </w:r>
      <w:r>
        <w:rPr>
          <w:b/>
          <w:bCs/>
          <w:color w:val="1c1c1c"/>
          <w:sz w:val="21"/>
          <w:szCs w:val="21"/>
        </w:rPr>
        <w:t xml:space="preserve">score plancher</w:t>
      </w:r>
      <w:r>
        <w:rPr>
          <w:b w:val="false"/>
          <w:bCs w:val="false"/>
          <w:color w:val="1c1c1c"/>
          <w:sz w:val="21"/>
          <w:szCs w:val="21"/>
        </w:rPr>
        <w:t xml:space="preserve"> et est classé « Refusé ».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4953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Traitement</w:t>
            </w:r>
          </w:p>
        </w:tc>
      </w:tr>
      <w:tr>
        <w:tc>
          <w:tcPr>
            <w:tcW w:type="dxa" w:w="4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Secteurs exclus : restauration, transport, VTC, taxi, BTP</w:t>
            </w:r>
          </w:p>
        </w:tc>
        <w:tc>
          <w:tcPr>
            <w:tcW w:type="dxa" w:w="495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Refus automatique (score plancher)</w:t>
            </w:r>
          </w:p>
        </w:tc>
      </w:tr>
      <w:tr>
        <w:tc>
          <w:tcPr>
            <w:tcW w:type="dxa" w:w="4953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Activités non conformes à la finance islamique (alcool, jeux d'argent, financement à intérêt, etc.)</w:t>
            </w:r>
          </w:p>
        </w:tc>
        <w:tc>
          <w:tcPr>
            <w:tcW w:type="dxa" w:w="4953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Refus — alerte de non-conformité (voir §4, axe 3)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none"/>
          <w:left w:val="single" w:color="47d3b0" w:sz="18"/>
          <w:bottom w:val="none"/>
          <w:right w:val="none"/>
          <w:insideH w:val="none"/>
          <w:insideV w:val="none"/>
        </w:tblBorders>
        <w:tblLayout w:type="fixed"/>
      </w:tblPr>
      <w:tblGrid>
        <w:gridCol w:w="9906"/>
      </w:tblGrid>
      <w:tr>
        <w:tc>
          <w:tcPr>
            <w:tcW w:type="dxa" w:w="9906"/>
            <w:shd w:fill="f1f5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color w:val="3a3a3a"/>
                <w:sz w:val="19"/>
                <w:szCs w:val="19"/>
              </w:rPr>
              <w:t xml:space="preserve">Les exclusions traduisent la politique de risque et le périmètre d'investissement de Lina Capital. Elles sont documentées et peuvent évoluer par décision de la direction.</w:t>
            </w:r>
          </w:p>
        </w:tc>
      </w:tr>
    </w:tbl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3. Étape 1 — Grille de pré-qualification automatique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Chaque demande entrante est notée automatiquement sur </w:t>
      </w:r>
      <w:r>
        <w:rPr>
          <w:b/>
          <w:bCs/>
          <w:color w:val="1c1c1c"/>
          <w:sz w:val="21"/>
          <w:szCs w:val="21"/>
        </w:rPr>
        <w:t xml:space="preserve">100 points</w:t>
      </w:r>
      <w:r>
        <w:rPr>
          <w:b w:val="false"/>
          <w:bCs w:val="false"/>
          <w:color w:val="1c1c1c"/>
          <w:sz w:val="21"/>
          <w:szCs w:val="21"/>
        </w:rPr>
        <w:t xml:space="preserve"> afin de </w:t>
      </w:r>
      <w:r>
        <w:rPr>
          <w:b/>
          <w:bCs/>
          <w:color w:val="1c1c1c"/>
          <w:sz w:val="21"/>
          <w:szCs w:val="21"/>
        </w:rPr>
        <w:t xml:space="preserve">prioriser le traitement</w:t>
      </w:r>
      <w:r>
        <w:rPr>
          <w:b w:val="false"/>
          <w:bCs w:val="false"/>
          <w:color w:val="1c1c1c"/>
          <w:sz w:val="21"/>
          <w:szCs w:val="21"/>
        </w:rPr>
        <w:t xml:space="preserve">. Cette note ne préjuge pas de la décision finale : elle oriente le dossier vers le bon circuit.</w:t>
      </w:r>
    </w:p>
    <w:p>
      <w:pPr>
        <w:spacing w:after="60" w:before="160"/>
      </w:pPr>
      <w:r>
        <w:rPr>
          <w:b/>
          <w:bCs/>
          <w:color w:val="0c3a6b"/>
          <w:sz w:val="23"/>
          <w:szCs w:val="23"/>
        </w:rPr>
        <w:t xml:space="preserve">Barème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3368"/>
        <w:gridCol w:w="5151"/>
        <w:gridCol w:w="1387"/>
      </w:tblGrid>
      <w:tr>
        <w:trPr>
          <w:tblHeader/>
        </w:trPr>
        <w:tc>
          <w:tcPr>
            <w:tcW w:type="dxa" w:w="3368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5151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387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33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Base</w:t>
            </w:r>
          </w:p>
        </w:tc>
        <w:tc>
          <w:tcPr>
            <w:tcW w:type="dxa" w:w="515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Tout dossier recevable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368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Entreprise déjà créée</w:t>
            </w:r>
          </w:p>
        </w:tc>
        <w:tc>
          <w:tcPr>
            <w:tcW w:type="dxa" w:w="5151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Maturité du projet, structure juridique existante</w:t>
            </w:r>
          </w:p>
        </w:tc>
        <w:tc>
          <w:tcPr>
            <w:tcW w:type="dxa" w:w="1387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33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Chiffre d'affaires &gt; 50 K€</w:t>
            </w:r>
          </w:p>
        </w:tc>
        <w:tc>
          <w:tcPr>
            <w:tcW w:type="dxa" w:w="515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Traction commerciale, capacité de remboursement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3368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Document justificatif fourni (business plan, pitch)</w:t>
            </w:r>
          </w:p>
        </w:tc>
        <w:tc>
          <w:tcPr>
            <w:tcW w:type="dxa" w:w="5151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Sérieux et préparation du porteur</w:t>
            </w:r>
          </w:p>
        </w:tc>
        <w:tc>
          <w:tcPr>
            <w:tcW w:type="dxa" w:w="1387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+10</w:t>
            </w:r>
          </w:p>
        </w:tc>
      </w:tr>
      <w:tr>
        <w:tc>
          <w:tcPr>
            <w:tcW w:type="dxa" w:w="3368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Description détaillée (&gt; 150 caractères)</w:t>
            </w:r>
          </w:p>
        </w:tc>
        <w:tc>
          <w:tcPr>
            <w:tcW w:type="dxa" w:w="5151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Qualité et clarté de la demande</w:t>
            </w:r>
          </w:p>
        </w:tc>
        <w:tc>
          <w:tcPr>
            <w:tcW w:type="dxa" w:w="138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+5</w:t>
            </w:r>
          </w:p>
        </w:tc>
      </w:tr>
      <w:tr>
        <w:tc>
          <w:tcPr>
            <w:tcW w:type="dxa" w:w="3368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7a7a7a"/>
                <w:sz w:val="19"/>
                <w:szCs w:val="19"/>
              </w:rPr>
              <w:t xml:space="preserve">Secteur exclu (cf. §2)</w:t>
            </w:r>
          </w:p>
        </w:tc>
        <w:tc>
          <w:tcPr>
            <w:tcW w:type="dxa" w:w="5151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7a7a7a"/>
                <w:sz w:val="19"/>
                <w:szCs w:val="19"/>
              </w:rPr>
              <w:t xml:space="preserve">Inéligibilité</w:t>
            </w:r>
          </w:p>
        </w:tc>
        <w:tc>
          <w:tcPr>
            <w:tcW w:type="dxa" w:w="1387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 w:val="false"/>
                <w:bCs w:val="false"/>
                <w:color w:val="7a7a7a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 w:line="276"/>
      </w:pPr>
      <w:r>
        <w:rPr>
          <w:b w:val="false"/>
          <w:bCs w:val="false"/>
          <w:color w:val="7a7a7a"/>
          <w:sz w:val="21"/>
          <w:szCs w:val="21"/>
        </w:rPr>
        <w:t xml:space="preserve">Score maximal d'un dossier standard : 75 points (dossier réunissant tous les critères positifs).</w:t>
      </w:r>
    </w:p>
    <w:p>
      <w:pPr>
        <w:spacing w:after="60" w:before="160"/>
      </w:pPr>
      <w:r>
        <w:rPr>
          <w:b/>
          <w:bCs/>
          <w:color w:val="0c3a6b"/>
          <w:sz w:val="23"/>
          <w:szCs w:val="23"/>
        </w:rPr>
        <w:t xml:space="preserve">Seuils de décision (triage)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1783"/>
        <w:gridCol w:w="2377"/>
        <w:gridCol w:w="5745"/>
      </w:tblGrid>
      <w:tr>
        <w:trPr>
          <w:tblHeader/>
        </w:trPr>
        <w:tc>
          <w:tcPr>
            <w:tcW w:type="dxa" w:w="1783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377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Classement</w:t>
            </w:r>
          </w:p>
        </w:tc>
        <w:tc>
          <w:tcPr>
            <w:tcW w:type="dxa" w:w="5745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 donnée</w:t>
            </w:r>
          </w:p>
        </w:tc>
      </w:tr>
      <w:tr>
        <w:tc>
          <w:tcPr>
            <w:tcW w:type="dxa" w:w="178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≥ 65</w:t>
            </w:r>
          </w:p>
        </w:tc>
        <w:tc>
          <w:tcPr>
            <w:tcW w:type="dxa" w:w="237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Qualifié</w:t>
            </w:r>
          </w:p>
        </w:tc>
        <w:tc>
          <w:tcPr>
            <w:tcW w:type="dxa" w:w="574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Contact prioritaire, passage en analyse approfondie</w:t>
            </w:r>
          </w:p>
        </w:tc>
      </w:tr>
      <w:tr>
        <w:tc>
          <w:tcPr>
            <w:tcW w:type="dxa" w:w="1783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21 – 64</w:t>
            </w:r>
          </w:p>
        </w:tc>
        <w:tc>
          <w:tcPr>
            <w:tcW w:type="dxa" w:w="2377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À étudier</w:t>
            </w:r>
          </w:p>
        </w:tc>
        <w:tc>
          <w:tcPr>
            <w:tcW w:type="dxa" w:w="5745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Analyse complémentaire avant décision</w:t>
            </w:r>
          </w:p>
        </w:tc>
      </w:tr>
      <w:tr>
        <w:tc>
          <w:tcPr>
            <w:tcW w:type="dxa" w:w="1783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≤ 20</w:t>
            </w:r>
          </w:p>
        </w:tc>
        <w:tc>
          <w:tcPr>
            <w:tcW w:type="dxa" w:w="2377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1c1c1c"/>
                <w:sz w:val="19"/>
                <w:szCs w:val="19"/>
              </w:rPr>
              <w:t xml:space="preserve">Refusé</w:t>
            </w:r>
          </w:p>
        </w:tc>
        <w:tc>
          <w:tcPr>
            <w:tcW w:type="dxa" w:w="5745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Réponse motivée au porteur (ou secteur exclu)</w:t>
            </w:r>
          </w:p>
        </w:tc>
      </w:tr>
    </w:tbl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4. Étape 2 — Grille d'analyse approfondie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Les dossiers retenus font l'objet d'un </w:t>
      </w:r>
      <w:r>
        <w:rPr>
          <w:b/>
          <w:bCs/>
          <w:color w:val="1c1c1c"/>
          <w:sz w:val="21"/>
          <w:szCs w:val="21"/>
        </w:rPr>
        <w:t xml:space="preserve">entretien</w:t>
      </w:r>
      <w:r>
        <w:rPr>
          <w:b w:val="false"/>
          <w:bCs w:val="false"/>
          <w:color w:val="1c1c1c"/>
          <w:sz w:val="21"/>
          <w:szCs w:val="21"/>
        </w:rPr>
        <w:t xml:space="preserve"> (visioconférence enregistrée) et d'une </w:t>
      </w:r>
      <w:r>
        <w:rPr>
          <w:b/>
          <w:bCs/>
          <w:color w:val="1c1c1c"/>
          <w:sz w:val="21"/>
          <w:szCs w:val="21"/>
        </w:rPr>
        <w:t xml:space="preserve">analyse structurée</w:t>
      </w:r>
      <w:r>
        <w:rPr>
          <w:b w:val="false"/>
          <w:bCs w:val="false"/>
          <w:color w:val="1c1c1c"/>
          <w:sz w:val="21"/>
          <w:szCs w:val="21"/>
        </w:rPr>
        <w:t xml:space="preserve"> notée sur </w:t>
      </w:r>
      <w:r>
        <w:rPr>
          <w:b/>
          <w:bCs/>
          <w:color w:val="1c1c1c"/>
          <w:sz w:val="21"/>
          <w:szCs w:val="21"/>
        </w:rPr>
        <w:t xml:space="preserve">trois axes</w:t>
      </w:r>
      <w:r>
        <w:rPr>
          <w:b w:val="false"/>
          <w:bCs w:val="false"/>
          <w:color w:val="1c1c1c"/>
          <w:sz w:val="21"/>
          <w:szCs w:val="21"/>
        </w:rPr>
        <w:t xml:space="preserve">, chacun sur une </w:t>
      </w:r>
      <w:r>
        <w:rPr>
          <w:b/>
          <w:bCs/>
          <w:color w:val="1c1c1c"/>
          <w:sz w:val="21"/>
          <w:szCs w:val="21"/>
        </w:rPr>
        <w:t xml:space="preserve">échelle de 1 à 5</w:t>
      </w:r>
      <w:r>
        <w:rPr>
          <w:b w:val="false"/>
          <w:bCs w:val="false"/>
          <w:color w:val="1c1c1c"/>
          <w:sz w:val="21"/>
          <w:szCs w:val="21"/>
        </w:rPr>
        <w:t xml:space="preserve"> (1 = très faible, 5 = excellent). L'analyse est assistée par un outil d'extraction, puis </w:t>
      </w:r>
      <w:r>
        <w:rPr>
          <w:b/>
          <w:bCs/>
          <w:color w:val="1c1c1c"/>
          <w:sz w:val="21"/>
          <w:szCs w:val="21"/>
        </w:rPr>
        <w:t xml:space="preserve">revue et validée par l'équipe</w:t>
      </w:r>
      <w:r>
        <w:rPr>
          <w:b w:val="false"/>
          <w:bCs w:val="false"/>
          <w:color w:val="1c1c1c"/>
          <w:sz w:val="21"/>
          <w:szCs w:val="21"/>
        </w:rPr>
        <w:t xml:space="preserve">.</w:t>
      </w:r>
    </w:p>
    <w:p>
      <w:pPr>
        <w:spacing w:after="60" w:before="160"/>
      </w:pPr>
      <w:r>
        <w:rPr>
          <w:b/>
          <w:bCs/>
          <w:color w:val="0c3a6b"/>
          <w:sz w:val="23"/>
          <w:szCs w:val="23"/>
        </w:rPr>
        <w:t xml:space="preserve">Axe 1 — Intérêt et solidité du projet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7132"/>
        <w:gridCol w:w="2774"/>
      </w:tblGrid>
      <w:tr>
        <w:trPr>
          <w:tblHeader/>
        </w:trPr>
        <w:tc>
          <w:tcPr>
            <w:tcW w:type="dxa" w:w="7132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Sous-critère</w:t>
            </w:r>
          </w:p>
        </w:tc>
        <w:tc>
          <w:tcPr>
            <w:tcW w:type="dxa" w:w="2774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Pondération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Profil et expérience du dirigeant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132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Solidité financière (structure, comptes, capacité de remboursement)</w:t>
            </w:r>
          </w:p>
        </w:tc>
        <w:tc>
          <w:tcPr>
            <w:tcW w:type="dxa" w:w="2774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35 %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Potentiel de revenus / modèle économique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132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Risques identifiés</w:t>
            </w:r>
          </w:p>
        </w:tc>
        <w:tc>
          <w:tcPr>
            <w:tcW w:type="dxa" w:w="2774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15 %</w:t>
            </w:r>
          </w:p>
        </w:tc>
      </w:tr>
    </w:tbl>
    <w:p>
      <w:pPr>
        <w:spacing w:after="60" w:before="160"/>
      </w:pPr>
      <w:r>
        <w:rPr>
          <w:b/>
          <w:bCs/>
          <w:color w:val="0c3a6b"/>
          <w:sz w:val="23"/>
          <w:szCs w:val="23"/>
        </w:rPr>
        <w:t xml:space="preserve">Axe 2 — Adhésion et engagement du porteur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7132"/>
        <w:gridCol w:w="2774"/>
      </w:tblGrid>
      <w:tr>
        <w:trPr>
          <w:tblHeader/>
        </w:trPr>
        <w:tc>
          <w:tcPr>
            <w:tcW w:type="dxa" w:w="7132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Sous-critère</w:t>
            </w:r>
          </w:p>
        </w:tc>
        <w:tc>
          <w:tcPr>
            <w:tcW w:type="dxa" w:w="2774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Pondération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Réaction et adhésion aux contraintes de la finance islamique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40 %</w:t>
            </w:r>
          </w:p>
        </w:tc>
      </w:tr>
      <w:tr>
        <w:tc>
          <w:tcPr>
            <w:tcW w:type="dxa" w:w="7132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Urgence et motivation</w:t>
            </w:r>
          </w:p>
        </w:tc>
        <w:tc>
          <w:tcPr>
            <w:tcW w:type="dxa" w:w="2774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Alignement avec la vision et les valeurs de Lina Capital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30 %</w:t>
            </w:r>
          </w:p>
        </w:tc>
      </w:tr>
    </w:tbl>
    <w:p>
      <w:pPr>
        <w:spacing w:after="60" w:before="160"/>
      </w:pPr>
      <w:r>
        <w:rPr>
          <w:b/>
          <w:bCs/>
          <w:color w:val="0c3a6b"/>
          <w:sz w:val="23"/>
          <w:szCs w:val="23"/>
        </w:rPr>
        <w:t xml:space="preserve">Axe 3 — Conformité à la finance islamique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c9d2dd" w:sz="3"/>
          <w:insideV w:val="single" w:color="c9d2dd" w:sz="3"/>
        </w:tblBorders>
        <w:tblLayout w:type="fixed"/>
      </w:tblPr>
      <w:tblGrid>
        <w:gridCol w:w="7132"/>
        <w:gridCol w:w="2774"/>
      </w:tblGrid>
      <w:tr>
        <w:trPr>
          <w:tblHeader/>
        </w:trPr>
        <w:tc>
          <w:tcPr>
            <w:tcW w:type="dxa" w:w="7132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Sous-critère</w:t>
            </w:r>
          </w:p>
        </w:tc>
        <w:tc>
          <w:tcPr>
            <w:tcW w:type="dxa" w:w="2774"/>
            <w:shd w:fill="061D3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Pondération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Screening halal de l'activité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132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Respect des ratios financiers conformes à la Shariah</w:t>
            </w:r>
          </w:p>
        </w:tc>
        <w:tc>
          <w:tcPr>
            <w:tcW w:type="dxa" w:w="2774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132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Structure de financement envisageable (Mourabaha, Moudaraba, Moucharaka, Ijara)</w:t>
            </w:r>
          </w:p>
        </w:tc>
        <w:tc>
          <w:tcPr>
            <w:tcW w:type="dxa" w:w="2774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132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left"/>
            </w:pPr>
            <w:r>
              <w:rPr>
                <w:b w:val="false"/>
                <w:bCs w:val="false"/>
                <w:color w:val="1c1c1c"/>
                <w:sz w:val="19"/>
                <w:szCs w:val="19"/>
              </w:rPr>
              <w:t xml:space="preserve">Engagement éthique du porteur</w:t>
            </w:r>
          </w:p>
        </w:tc>
        <w:tc>
          <w:tcPr>
            <w:tcW w:type="dxa" w:w="2774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64"/>
              <w:jc w:val="center"/>
            </w:pPr>
            <w:r>
              <w:rPr>
                <w:b/>
                <w:bCs/>
                <w:color w:val="061D39"/>
                <w:sz w:val="19"/>
                <w:szCs w:val="19"/>
              </w:rPr>
              <w:t xml:space="preserve">20 %</w:t>
            </w:r>
          </w:p>
        </w:tc>
      </w:tr>
    </w:tbl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Chaque analyse produit également : </w:t>
      </w:r>
      <w:r>
        <w:rPr>
          <w:b/>
          <w:bCs/>
          <w:color w:val="1c1c1c"/>
          <w:sz w:val="21"/>
          <w:szCs w:val="21"/>
        </w:rPr>
        <w:t xml:space="preserve">la structure de financement islamique recommandée</w:t>
      </w:r>
      <w:r>
        <w:rPr>
          <w:b w:val="false"/>
          <w:bCs w:val="false"/>
          <w:color w:val="1c1c1c"/>
          <w:sz w:val="21"/>
          <w:szCs w:val="21"/>
        </w:rPr>
        <w:t xml:space="preserve">, </w:t>
      </w:r>
      <w:r>
        <w:rPr>
          <w:b/>
          <w:bCs/>
          <w:color w:val="1c1c1c"/>
          <w:sz w:val="21"/>
          <w:szCs w:val="21"/>
        </w:rPr>
        <w:t xml:space="preserve">les éventuelles alertes de non-conformité (charia)</w:t>
      </w:r>
      <w:r>
        <w:rPr>
          <w:b w:val="false"/>
          <w:bCs w:val="false"/>
          <w:color w:val="1c1c1c"/>
          <w:sz w:val="21"/>
          <w:szCs w:val="21"/>
        </w:rPr>
        <w:t xml:space="preserve">, et </w:t>
      </w:r>
      <w:r>
        <w:rPr>
          <w:b/>
          <w:bCs/>
          <w:color w:val="1c1c1c"/>
          <w:sz w:val="21"/>
          <w:szCs w:val="21"/>
        </w:rPr>
        <w:t xml:space="preserve">la prochaine étape</w:t>
      </w:r>
      <w:r>
        <w:rPr>
          <w:b w:val="false"/>
          <w:bCs w:val="false"/>
          <w:color w:val="1c1c1c"/>
          <w:sz w:val="21"/>
          <w:szCs w:val="21"/>
        </w:rPr>
        <w:t xml:space="preserve">.</w:t>
      </w:r>
    </w:p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5. Étape 3 — Décision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La décision finale </w:t>
      </w:r>
      <w:r>
        <w:rPr>
          <w:b/>
          <w:bCs/>
          <w:color w:val="1c1c1c"/>
          <w:sz w:val="21"/>
          <w:szCs w:val="21"/>
        </w:rPr>
        <w:t xml:space="preserve">n'est jamais automatique</w:t>
      </w:r>
      <w:r>
        <w:rPr>
          <w:b w:val="false"/>
          <w:bCs w:val="false"/>
          <w:color w:val="1c1c1c"/>
          <w:sz w:val="21"/>
          <w:szCs w:val="21"/>
        </w:rPr>
        <w:t xml:space="preserve">. Elle est prise par l'équipe puis en </w:t>
      </w:r>
      <w:r>
        <w:rPr>
          <w:b/>
          <w:bCs/>
          <w:color w:val="1c1c1c"/>
          <w:sz w:val="21"/>
          <w:szCs w:val="21"/>
        </w:rPr>
        <w:t xml:space="preserve">comité</w:t>
      </w:r>
      <w:r>
        <w:rPr>
          <w:b w:val="false"/>
          <w:bCs w:val="false"/>
          <w:color w:val="1c1c1c"/>
          <w:sz w:val="21"/>
          <w:szCs w:val="21"/>
        </w:rPr>
        <w:t xml:space="preserve">, sur la base : du score de pré-qualification (étape 1) ; des trois notes d'analyse approfondie (étape 2) ; de l'avis de conformité finance islamique ; des éléments de due diligence complémentaires.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Le dossier suit un </w:t>
      </w:r>
      <w:r>
        <w:rPr>
          <w:b/>
          <w:bCs/>
          <w:color w:val="1c1c1c"/>
          <w:sz w:val="21"/>
          <w:szCs w:val="21"/>
        </w:rPr>
        <w:t xml:space="preserve">pipeline traçable</w:t>
      </w:r>
      <w:r>
        <w:rPr>
          <w:b w:val="false"/>
          <w:bCs w:val="false"/>
          <w:color w:val="1c1c1c"/>
          <w:sz w:val="21"/>
          <w:szCs w:val="21"/>
        </w:rPr>
        <w:t xml:space="preserve"> : Nouveau → Information demandée → Attente pitch → Liste d'attente → Accepté / Refusé.</w:t>
      </w:r>
    </w:p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6. Traçabilité, conservation et protection des données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L'ensemble du processus est outillé par un système d'information interne sécurisé (CRM Detectus) garantissant 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Hébergement en Union européenne</w:t>
      </w:r>
      <w:r>
        <w:rPr>
          <w:b w:val="false"/>
          <w:bCs w:val="false"/>
          <w:color w:val="1c1c1c"/>
          <w:sz w:val="21"/>
          <w:szCs w:val="21"/>
        </w:rPr>
        <w:t xml:space="preserve"> (conformité RGPD) ; accès protégé par authentification, réservé aux membres habilités.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Journal d'activité</w:t>
      </w:r>
      <w:r>
        <w:rPr>
          <w:b w:val="false"/>
          <w:bCs w:val="false"/>
          <w:color w:val="1c1c1c"/>
          <w:sz w:val="21"/>
          <w:szCs w:val="21"/>
        </w:rPr>
        <w:t xml:space="preserve"> : chaque action (changement de statut, note, évaluation, échange) est horodatée et attribuée à son auteur (piste d'audit).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Conservation de la donnée d'origine</w:t>
      </w:r>
      <w:r>
        <w:rPr>
          <w:b w:val="false"/>
          <w:bCs w:val="false"/>
          <w:color w:val="1c1c1c"/>
          <w:sz w:val="21"/>
          <w:szCs w:val="21"/>
        </w:rPr>
        <w:t xml:space="preserve"> du porteur (réponse au formulaire conservée telle quelle), assurant la reconstituabilité de chaque décision.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Cloisonnement des informations confidentielles</w:t>
      </w:r>
      <w:r>
        <w:rPr>
          <w:b w:val="false"/>
          <w:bCs w:val="false"/>
          <w:color w:val="1c1c1c"/>
          <w:sz w:val="21"/>
          <w:szCs w:val="21"/>
        </w:rPr>
        <w:t xml:space="preserve"> (montants, valorisations, notes de due diligence) derrière authentification.</w:t>
      </w:r>
    </w:p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7. Synthèse du parcours d'un dossier</w:t>
      </w:r>
    </w:p>
    <w:tbl>
      <w:tblPr>
        <w:tblW w:type="dxa" w:w="9906"/>
        <w:tblBorders>
          <w:top w:val="single" w:color="c9d2dd" w:sz="3"/>
          <w:left w:val="single" w:color="c9d2dd" w:sz="3"/>
          <w:bottom w:val="single" w:color="c9d2dd" w:sz="3"/>
          <w:right w:val="single" w:color="c9d2dd" w:sz="3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shd w:fill="f1f5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Demande du porteur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v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[Etape 1] Pre-qualification automatique (/100)  --&gt; Refuse (score &lt;= 20 ou secteur exclu)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v  (Qualifie / A etudier)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[Etape 2] Analyse approfondie - 3 axes (/5)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   - Solidite du projet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   - Engagement du porteur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   - Conformite finance islamique  --&gt; Alerte charia &gt; reexamen / refus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v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[Etape 3] Decision humaine en comite  --&gt;  Accepte / Refuse / Liste d'attente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|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      v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color w:val="23323f"/>
                <w:sz w:val="15"/>
                <w:szCs w:val="15"/>
              </w:rPr>
              <w:t xml:space="preserve">Tracabilite complete (journal horodate, conservation des pieces)</w:t>
            </w:r>
          </w:p>
        </w:tc>
      </w:tr>
    </w:tbl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8. Gouvernance et révision de la grille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 w:val="false"/>
          <w:bCs w:val="false"/>
          <w:color w:val="1c1c1c"/>
          <w:sz w:val="21"/>
          <w:szCs w:val="21"/>
        </w:rPr>
        <w:t xml:space="preserve">Les </w:t>
      </w:r>
      <w:r>
        <w:rPr>
          <w:b/>
          <w:bCs/>
          <w:color w:val="1c1c1c"/>
          <w:sz w:val="21"/>
          <w:szCs w:val="21"/>
        </w:rPr>
        <w:t xml:space="preserve">critères, pondérations et seuils</w:t>
      </w:r>
      <w:r>
        <w:rPr>
          <w:b w:val="false"/>
          <w:bCs w:val="false"/>
          <w:color w:val="1c1c1c"/>
          <w:sz w:val="21"/>
          <w:szCs w:val="21"/>
        </w:rPr>
        <w:t xml:space="preserve"> sont revus périodiquement par la direction de Lina Capital pour rester alignés sur sa politique de risque et le cadre réglementaire.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 w:val="false"/>
          <w:bCs w:val="false"/>
          <w:color w:val="1c1c1c"/>
          <w:sz w:val="21"/>
          <w:szCs w:val="21"/>
        </w:rPr>
        <w:t xml:space="preserve">Toute évolution est </w:t>
      </w:r>
      <w:r>
        <w:rPr>
          <w:b/>
          <w:bCs/>
          <w:color w:val="1c1c1c"/>
          <w:sz w:val="21"/>
          <w:szCs w:val="21"/>
        </w:rPr>
        <w:t xml:space="preserve">documentée et datée</w:t>
      </w:r>
      <w:r>
        <w:rPr>
          <w:b w:val="false"/>
          <w:bCs w:val="false"/>
          <w:color w:val="1c1c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 w:val="false"/>
          <w:bCs w:val="false"/>
          <w:color w:val="1c1c1c"/>
          <w:sz w:val="21"/>
          <w:szCs w:val="21"/>
        </w:rPr>
        <w:t xml:space="preserve">La présente grille constitue la </w:t>
      </w:r>
      <w:r>
        <w:rPr>
          <w:b/>
          <w:bCs/>
          <w:color w:val="1c1c1c"/>
          <w:sz w:val="21"/>
          <w:szCs w:val="21"/>
        </w:rPr>
        <w:t xml:space="preserve">version 1.0 (juin 2026)</w:t>
      </w:r>
      <w:r>
        <w:rPr>
          <w:b w:val="false"/>
          <w:bCs w:val="false"/>
          <w:color w:val="1c1c1c"/>
          <w:sz w:val="21"/>
          <w:szCs w:val="21"/>
        </w:rPr>
        <w:t xml:space="preserve">.</w:t>
      </w:r>
    </w:p>
    <w:p>
      <w:pPr>
        <w:pBdr>
          <w:bottom w:val="single" w:color="47d3b0" w:sz="14" w:space="3"/>
        </w:pBdr>
        <w:spacing w:after="100" w:before="300"/>
      </w:pPr>
      <w:r>
        <w:rPr>
          <w:b/>
          <w:bCs/>
          <w:color w:val="061D39"/>
          <w:sz w:val="27"/>
          <w:szCs w:val="27"/>
        </w:rPr>
        <w:t xml:space="preserve">Annexe A — L'outil de suivi Detectus</w:t>
      </w:r>
    </w:p>
    <w:p>
      <w:pPr>
        <w:spacing w:after="120" w:line="276"/>
      </w:pPr>
      <w:r>
        <w:rPr>
          <w:b w:val="false"/>
          <w:bCs w:val="false"/>
          <w:color w:val="1c1c1c"/>
          <w:sz w:val="21"/>
          <w:szCs w:val="21"/>
        </w:rPr>
        <w:t xml:space="preserve">La grille décrite ci-dessus est mise en œuvre dans </w:t>
      </w:r>
      <w:r>
        <w:rPr>
          <w:b/>
          <w:bCs/>
          <w:color w:val="1c1c1c"/>
          <w:sz w:val="21"/>
          <w:szCs w:val="21"/>
        </w:rPr>
        <w:t xml:space="preserve">Detectus</w:t>
      </w:r>
      <w:r>
        <w:rPr>
          <w:b w:val="false"/>
          <w:bCs w:val="false"/>
          <w:color w:val="1c1c1c"/>
          <w:sz w:val="21"/>
          <w:szCs w:val="21"/>
        </w:rPr>
        <w:t xml:space="preserve">, le système d'information interne de Lina Capital qui opère le suivi des dossiers de bout en bout :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Réception</w:t>
      </w:r>
      <w:r>
        <w:rPr>
          <w:b w:val="false"/>
          <w:bCs w:val="false"/>
          <w:color w:val="1c1c1c"/>
          <w:sz w:val="21"/>
          <w:szCs w:val="21"/>
        </w:rPr>
        <w:t xml:space="preserve"> : les demandes déposées via le formulaire en ligne arrivent automatiquement dans l'outil.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Pré-qualification</w:t>
      </w:r>
      <w:r>
        <w:rPr>
          <w:b w:val="false"/>
          <w:bCs w:val="false"/>
          <w:color w:val="1c1c1c"/>
          <w:sz w:val="21"/>
          <w:szCs w:val="21"/>
        </w:rPr>
        <w:t xml:space="preserve"> : chaque demande est notée automatiquement (étape 1) et classée (Qualifié / À étudier / Refusé).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Suivi partagé</w:t>
      </w:r>
      <w:r>
        <w:rPr>
          <w:b w:val="false"/>
          <w:bCs w:val="false"/>
          <w:color w:val="1c1c1c"/>
          <w:sz w:val="21"/>
          <w:szCs w:val="21"/>
        </w:rPr>
        <w:t xml:space="preserve"> : l'équipe suit l'avancement de chaque dossier dans un pipeline commun, en temps réel.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Analyse</w:t>
      </w:r>
      <w:r>
        <w:rPr>
          <w:b w:val="false"/>
          <w:bCs w:val="false"/>
          <w:color w:val="1c1c1c"/>
          <w:sz w:val="21"/>
          <w:szCs w:val="21"/>
        </w:rPr>
        <w:t xml:space="preserve"> : les comptes-rendus d'entretien sont rattachés au dossier et évalués selon les trois axes (étape 2).</w:t>
      </w:r>
    </w:p>
    <w:p>
      <w:pPr>
        <w:pStyle w:val="ListParagraph"/>
        <w:numPr>
          <w:ilvl w:val="0"/>
          <w:numId w:val="1"/>
        </w:numPr>
        <w:spacing w:after="70" w:line="276"/>
      </w:pPr>
      <w:r>
        <w:rPr>
          <w:b/>
          <w:bCs/>
          <w:color w:val="1c1c1c"/>
          <w:sz w:val="21"/>
          <w:szCs w:val="21"/>
        </w:rPr>
        <w:t xml:space="preserve">Sécurité</w:t>
      </w:r>
      <w:r>
        <w:rPr>
          <w:b w:val="false"/>
          <w:bCs w:val="false"/>
          <w:color w:val="1c1c1c"/>
          <w:sz w:val="21"/>
          <w:szCs w:val="21"/>
        </w:rPr>
        <w:t xml:space="preserve"> : accès par authentification, hébergement en Union européenne (RGPD), journal d'activité horodaté, informations confidentielles cloisonnées.</w:t>
      </w:r>
    </w:p>
    <w:p>
      <w:pPr>
        <w:spacing w:after="80"/>
      </w:pPr>
    </w:p>
    <w:tbl>
      <w:tblPr>
        <w:tblW w:type="dxa" w:w="9906"/>
        <w:tblBorders>
          <w:top w:val="dashed" w:color="b9c4d2" w:sz="6"/>
          <w:left w:val="dashed" w:color="b9c4d2" w:sz="6"/>
          <w:bottom w:val="dashed" w:color="b9c4d2" w:sz="6"/>
          <w:right w:val="dashed" w:color="b9c4d2" w:sz="6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trHeight w:val="3200" w:hRule="atLeast"/>
        </w:trPr>
        <w:tc>
          <w:tcPr>
            <w:tcW w:type="dxa" w:w="9906"/>
            <w:shd w:fill="fafbfd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i/>
                <w:iCs/>
                <w:color w:val="8a98a8"/>
                <w:sz w:val="22"/>
                <w:szCs w:val="22"/>
              </w:rPr>
              <w:t xml:space="preserve">➜ Insérer ici une capture d'écran de Detectus</w:t>
            </w:r>
          </w:p>
          <w:p>
            <w:pPr>
              <w:jc w:val="center"/>
            </w:pPr>
            <w:r>
              <w:rPr>
                <w:i/>
                <w:iCs/>
                <w:color w:val="aab4c0"/>
                <w:sz w:val="18"/>
                <w:szCs w:val="18"/>
              </w:rPr>
              <w:t xml:space="preserve">(faites un clic droit › Insérer une image — pensez à masquer les noms des porteurs)</w:t>
            </w:r>
          </w:p>
        </w:tc>
      </w:tr>
    </w:tbl>
    <w:p>
      <w:pPr>
        <w:spacing w:after="160" w:before="80"/>
        <w:jc w:val="center"/>
      </w:pPr>
      <w:r>
        <w:rPr>
          <w:i/>
          <w:iCs/>
          <w:color w:val="888888"/>
          <w:sz w:val="17"/>
          <w:szCs w:val="17"/>
        </w:rPr>
        <w:t xml:space="preserve">Capture d'écran de Detectus — vue du pipeline de suivi des dossiers.</w:t>
      </w:r>
    </w:p>
    <w:p>
      <w:pPr>
        <w:pBdr>
          <w:bottom w:val="single" w:color="c9d2dd" w:sz="6"/>
        </w:pBdr>
        <w:spacing w:after="60" w:before="200"/>
      </w:pPr>
    </w:p>
    <w:p>
      <w:r>
        <w:rPr>
          <w:i/>
          <w:iCs/>
          <w:color w:val="888888"/>
          <w:sz w:val="17"/>
          <w:szCs w:val="17"/>
        </w:rPr>
        <w:t xml:space="preserve">Lina Capital — Document méthodologique de sélection des projets. Confidentiel.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2026-06-04T12:23:34.871Z</dcterms:created>
  <dcterms:modified xsi:type="dcterms:W3CDTF">2026-06-04T12:23:34.872Z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