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F3A5F"/>
          <w:sz w:val="31"/>
          <w:szCs w:val="31"/>
        </w:rPr>
        <w:t xml:space="preserve">Tackling the Poor Assumptions of Naive Bayes Text Classifiers</w:t>
      </w:r>
    </w:p>
    <w:p>
      <w:pPr>
        <w:spacing w:after="120"/>
        <w:jc w:val="center"/>
      </w:pPr>
      <w:r>
        <w:rPr>
          <w:rFonts w:ascii="Arial" w:cs="Arial" w:eastAsia="Arial" w:hAnsi="Arial"/>
          <w:color w:val="444444"/>
          <w:sz w:val="19"/>
          <w:szCs w:val="19"/>
        </w:rPr>
        <w:t xml:space="preserve">Paper Study Report — Summary, Syllabus Mapping and Project Ideas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283"/>
        <w:gridCol w:w="8583"/>
      </w:tblGrid>
      <w:tr>
        <w:trPr>
          <w:cantSplit/>
          <w:tblHeader w:val="false"/>
        </w:trPr>
        <w:tc>
          <w:tcPr>
            <w:tcW w:type="dxa" w:w="1283"/>
            <w:tcBorders>
              <w:top w:val="single" w:color="9AAAC0" w:sz="4"/>
              <w:left w:val="single" w:color="9AAAC0" w:sz="4"/>
              <w:bottom w:val="single" w:color="9AAAC0" w:sz="4"/>
              <w:right w:val="single" w:color="9AAAC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bCs/>
                <w:i w:val="false"/>
                <w:iCs w:val="false"/>
                <w:sz w:val="18"/>
                <w:szCs w:val="18"/>
              </w:rPr>
              <w:t xml:space="preserve">Paper</w:t>
            </w:r>
          </w:p>
        </w:tc>
        <w:tc>
          <w:tcPr>
            <w:tcW w:type="dxa" w:w="8583"/>
            <w:tcBorders>
              <w:top w:val="single" w:color="9AAAC0" w:sz="4"/>
              <w:left w:val="single" w:color="9AAAC0" w:sz="4"/>
              <w:bottom w:val="single" w:color="9AAAC0" w:sz="4"/>
              <w:right w:val="single" w:color="9AAAC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18"/>
                <w:szCs w:val="18"/>
              </w:rPr>
              <w:t xml:space="preserve">J. D. M. Rennie, L. Shih, J. Teevan and D. R. Karger, “Tackling the Poor Assumptions of Naive Bayes Text Classifiers,” </w:t>
            </w:r>
            <w:r>
              <w:rPr>
                <w:rFonts w:ascii="Times New Roman" w:cs="Times New Roman" w:eastAsia="Times New Roman" w:hAnsi="Times New Roman"/>
                <w:b w:val="false"/>
                <w:bCs w:val="false"/>
                <w:i/>
                <w:iCs/>
                <w:sz w:val="18"/>
                <w:szCs w:val="18"/>
              </w:rPr>
              <w:t xml:space="preserve">Proc. 20th International Conference on Machine Learning (ICML 2003)</w:t>
            </w:r>
            <w:r>
              <w:rPr>
                <w:rFonts w:ascii="Times New Roman" w:cs="Times New Roman" w:eastAsia="Times New Roman" w:hAnsi="Times New Roman"/>
                <w:b w:val="false"/>
                <w:bCs w:val="false"/>
                <w:i w:val="false"/>
                <w:iCs w:val="false"/>
                <w:sz w:val="18"/>
                <w:szCs w:val="18"/>
              </w:rPr>
              <w:t xml:space="preserve">, Washington DC, pp. 616–623.</w:t>
            </w:r>
          </w:p>
        </w:tc>
      </w:tr>
      <w:tr>
        <w:trPr>
          <w:cantSplit/>
          <w:tblHeader w:val="false"/>
        </w:trPr>
        <w:tc>
          <w:tcPr>
            <w:tcW w:type="dxa" w:w="1283"/>
            <w:tcBorders>
              <w:top w:val="single" w:color="9AAAC0" w:sz="4"/>
              <w:left w:val="single" w:color="9AAAC0" w:sz="4"/>
              <w:bottom w:val="single" w:color="9AAAC0" w:sz="4"/>
              <w:right w:val="single" w:color="9AAAC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bCs/>
                <w:i w:val="false"/>
                <w:iCs w:val="false"/>
                <w:sz w:val="18"/>
                <w:szCs w:val="18"/>
              </w:rPr>
              <w:t xml:space="preserve">Course</w:t>
            </w:r>
          </w:p>
        </w:tc>
        <w:tc>
          <w:tcPr>
            <w:tcW w:type="dxa" w:w="8583"/>
            <w:tcBorders>
              <w:top w:val="single" w:color="9AAAC0" w:sz="4"/>
              <w:left w:val="single" w:color="9AAAC0" w:sz="4"/>
              <w:bottom w:val="single" w:color="9AAAC0" w:sz="4"/>
              <w:right w:val="single" w:color="9AAAC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18"/>
                <w:szCs w:val="18"/>
              </w:rPr>
              <w:t xml:space="preserve">AI &amp; Machine Learning (M4010100 / M4020100) — Instructor: Dr. Asharaf S</w:t>
            </w:r>
          </w:p>
        </w:tc>
      </w:tr>
      <w:tr>
        <w:trPr>
          <w:cantSplit/>
          <w:tblHeader w:val="false"/>
        </w:trPr>
        <w:tc>
          <w:tcPr>
            <w:tcW w:type="dxa" w:w="1283"/>
            <w:tcBorders>
              <w:top w:val="single" w:color="9AAAC0" w:sz="4"/>
              <w:left w:val="single" w:color="9AAAC0" w:sz="4"/>
              <w:bottom w:val="single" w:color="9AAAC0" w:sz="4"/>
              <w:right w:val="single" w:color="9AAAC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bCs/>
                <w:i w:val="false"/>
                <w:iCs w:val="false"/>
                <w:sz w:val="18"/>
                <w:szCs w:val="18"/>
              </w:rPr>
              <w:t xml:space="preserve">Team</w:t>
            </w:r>
          </w:p>
        </w:tc>
        <w:tc>
          <w:tcPr>
            <w:tcW w:type="dxa" w:w="8583"/>
            <w:tcBorders>
              <w:top w:val="single" w:color="9AAAC0" w:sz="4"/>
              <w:left w:val="single" w:color="9AAAC0" w:sz="4"/>
              <w:bottom w:val="single" w:color="9AAAC0" w:sz="4"/>
              <w:right w:val="single" w:color="9AAAC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18"/>
                <w:szCs w:val="18"/>
              </w:rPr>
              <w:t xml:space="preserve">[Name 1] ([Roll No.])   |   [Name 2] ([Roll No.])</w:t>
            </w:r>
          </w:p>
        </w:tc>
      </w:tr>
    </w:tbl>
    <w:p>
      <w:pPr>
        <w:pStyle w:val="Heading1"/>
        <w:spacing w:after="60" w:before="160"/>
      </w:pPr>
      <w:r>
        <w:rPr>
          <w:rFonts w:ascii="Arial" w:cs="Arial" w:eastAsia="Arial" w:hAnsi="Arial"/>
          <w:b/>
          <w:bCs/>
          <w:color w:val="1F3A5F"/>
          <w:sz w:val="24"/>
          <w:szCs w:val="24"/>
        </w:rPr>
        <w:t xml:space="preserve">1. Summary of the Research Paper</w:t>
      </w:r>
    </w:p>
    <w:p>
      <w:pPr>
        <w:spacing w:after="80" w:before="0" w:line="264"/>
        <w:jc w:val="both"/>
      </w:pPr>
      <w:r>
        <w:rPr>
          <w:rFonts w:ascii="Times New Roman" w:cs="Times New Roman" w:eastAsia="Times New Roman" w:hAnsi="Times New Roman"/>
          <w:b/>
          <w:bCs/>
          <w:i w:val="false"/>
          <w:iCs w:val="false"/>
          <w:sz w:val="21"/>
          <w:szCs w:val="21"/>
        </w:rPr>
        <w:t xml:space="preserve">Problem.</w:t>
      </w:r>
      <w:r>
        <w:rPr>
          <w:rFonts w:ascii="Times New Roman" w:cs="Times New Roman" w:eastAsia="Times New Roman" w:hAnsi="Times New Roman"/>
          <w:b w:val="false"/>
          <w:bCs w:val="false"/>
          <w:i w:val="false"/>
          <w:iCs w:val="false"/>
          <w:sz w:val="21"/>
          <w:szCs w:val="21"/>
        </w:rPr>
        <w:t xml:space="preserve"> Multinomial Naive Bayes (MNB) is a popular baseline for text classification because it is fast and simple, but it usually loses to stronger classifiers such as the Support Vector Machine (SVM). The authors ask </w:t>
      </w:r>
      <w:r>
        <w:rPr>
          <w:rFonts w:ascii="Times New Roman" w:cs="Times New Roman" w:eastAsia="Times New Roman" w:hAnsi="Times New Roman"/>
          <w:b w:val="false"/>
          <w:bCs w:val="false"/>
          <w:i/>
          <w:iCs/>
          <w:sz w:val="21"/>
          <w:szCs w:val="21"/>
        </w:rPr>
        <w:t xml:space="preserve">why</w:t>
      </w:r>
      <w:r>
        <w:rPr>
          <w:rFonts w:ascii="Times New Roman" w:cs="Times New Roman" w:eastAsia="Times New Roman" w:hAnsi="Times New Roman"/>
          <w:b w:val="false"/>
          <w:bCs w:val="false"/>
          <w:i w:val="false"/>
          <w:iCs w:val="false"/>
          <w:sz w:val="21"/>
          <w:szCs w:val="21"/>
        </w:rPr>
        <w:t xml:space="preserve"> it performs poorly and propose simple fixes that keep its speed. Their key observation is that the MNB decision rule, </w:t>
      </w:r>
      <w:r>
        <w:rPr>
          <w:rFonts w:ascii="Times New Roman" w:cs="Times New Roman" w:eastAsia="Times New Roman" w:hAnsi="Times New Roman"/>
          <w:b w:val="false"/>
          <w:bCs w:val="false"/>
          <w:i/>
          <w:iCs/>
          <w:sz w:val="21"/>
          <w:szCs w:val="21"/>
        </w:rPr>
        <w:t xml:space="preserve">l(d)</w:t>
      </w:r>
      <w:r>
        <w:rPr>
          <w:rFonts w:ascii="Times New Roman" w:cs="Times New Roman" w:eastAsia="Times New Roman" w:hAnsi="Times New Roman"/>
          <w:b w:val="false"/>
          <w:bCs w:val="false"/>
          <w:i w:val="false"/>
          <w:iCs w:val="false"/>
          <w:sz w:val="21"/>
          <w:szCs w:val="21"/>
        </w:rPr>
        <w:t xml:space="preserve"> = argmax</w:t>
      </w:r>
      <w:r>
        <w:rPr>
          <w:rFonts w:ascii="Times New Roman" w:cs="Times New Roman" w:eastAsia="Times New Roman" w:hAnsi="Times New Roman"/>
          <w:b w:val="false"/>
          <w:bCs w:val="false"/>
          <w:i w:val="false"/>
          <w:iCs w:val="false"/>
          <w:sz w:val="21"/>
          <w:szCs w:val="21"/>
          <w:vertAlign w:val="subscript"/>
        </w:rPr>
        <w:t xml:space="preserve">c</w:t>
      </w:r>
      <w:r>
        <w:rPr>
          <w:rFonts w:ascii="Times New Roman" w:cs="Times New Roman" w:eastAsia="Times New Roman" w:hAnsi="Times New Roman"/>
          <w:b w:val="false"/>
          <w:bCs w:val="false"/>
          <w:i w:val="false"/>
          <w:iCs w:val="false"/>
          <w:sz w:val="21"/>
          <w:szCs w:val="21"/>
        </w:rPr>
        <w:t xml:space="preserve"> [ </w:t>
      </w:r>
      <w:r>
        <w:rPr>
          <w:rFonts w:ascii="Times New Roman" w:cs="Times New Roman" w:eastAsia="Times New Roman" w:hAnsi="Times New Roman"/>
          <w:b w:val="false"/>
          <w:bCs w:val="false"/>
          <w:i/>
          <w:iCs/>
          <w:sz w:val="21"/>
          <w:szCs w:val="21"/>
        </w:rPr>
        <w:t xml:space="preserve">b</w:t>
      </w:r>
      <w:r>
        <w:rPr>
          <w:rFonts w:ascii="Times New Roman" w:cs="Times New Roman" w:eastAsia="Times New Roman" w:hAnsi="Times New Roman"/>
          <w:b w:val="false"/>
          <w:bCs w:val="false"/>
          <w:i/>
          <w:iCs/>
          <w:sz w:val="21"/>
          <w:szCs w:val="21"/>
          <w:vertAlign w:val="subscript"/>
        </w:rPr>
        <w:t xml:space="preserve">c</w:t>
      </w:r>
      <w:r>
        <w:rPr>
          <w:rFonts w:ascii="Times New Roman" w:cs="Times New Roman" w:eastAsia="Times New Roman" w:hAnsi="Times New Roman"/>
          <w:b w:val="false"/>
          <w:bCs w:val="false"/>
          <w:i w:val="false"/>
          <w:iCs w:val="false"/>
          <w:sz w:val="21"/>
          <w:szCs w:val="21"/>
        </w:rPr>
        <w:t xml:space="preserve"> + ∑</w:t>
      </w:r>
      <w:r>
        <w:rPr>
          <w:rFonts w:ascii="Times New Roman" w:cs="Times New Roman" w:eastAsia="Times New Roman" w:hAnsi="Times New Roman"/>
          <w:b w:val="false"/>
          <w:bCs w:val="false"/>
          <w:i w:val="false"/>
          <w:iCs w:val="false"/>
          <w:sz w:val="21"/>
          <w:szCs w:val="21"/>
          <w:vertAlign w:val="subscript"/>
        </w:rPr>
        <w:t xml:space="preserve">i</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val="false"/>
          <w:bCs w:val="false"/>
          <w:i/>
          <w:iCs/>
          <w:sz w:val="21"/>
          <w:szCs w:val="21"/>
        </w:rPr>
        <w:t xml:space="preserve">f</w:t>
      </w:r>
      <w:r>
        <w:rPr>
          <w:rFonts w:ascii="Times New Roman" w:cs="Times New Roman" w:eastAsia="Times New Roman" w:hAnsi="Times New Roman"/>
          <w:b w:val="false"/>
          <w:bCs w:val="false"/>
          <w:i/>
          <w:iCs/>
          <w:sz w:val="21"/>
          <w:szCs w:val="21"/>
          <w:vertAlign w:val="subscript"/>
        </w:rPr>
        <w:t xml:space="preserve">i</w:t>
      </w:r>
      <w:r>
        <w:rPr>
          <w:rFonts w:ascii="Times New Roman" w:cs="Times New Roman" w:eastAsia="Times New Roman" w:hAnsi="Times New Roman"/>
          <w:b w:val="false"/>
          <w:bCs w:val="false"/>
          <w:i/>
          <w:iCs/>
          <w:sz w:val="21"/>
          <w:szCs w:val="21"/>
        </w:rPr>
        <w:t xml:space="preserve"> w</w:t>
      </w:r>
      <w:r>
        <w:rPr>
          <w:rFonts w:ascii="Times New Roman" w:cs="Times New Roman" w:eastAsia="Times New Roman" w:hAnsi="Times New Roman"/>
          <w:b w:val="false"/>
          <w:bCs w:val="false"/>
          <w:i/>
          <w:iCs/>
          <w:sz w:val="21"/>
          <w:szCs w:val="21"/>
          <w:vertAlign w:val="subscript"/>
        </w:rPr>
        <w:t xml:space="preserve">ci</w:t>
      </w:r>
      <w:r>
        <w:rPr>
          <w:rFonts w:ascii="Times New Roman" w:cs="Times New Roman" w:eastAsia="Times New Roman" w:hAnsi="Times New Roman"/>
          <w:b w:val="false"/>
          <w:bCs w:val="false"/>
          <w:i w:val="false"/>
          <w:iCs w:val="false"/>
          <w:sz w:val="21"/>
          <w:szCs w:val="21"/>
        </w:rPr>
        <w:t xml:space="preserve"> ], is a </w:t>
      </w:r>
      <w:r>
        <w:rPr>
          <w:rFonts w:ascii="Times New Roman" w:cs="Times New Roman" w:eastAsia="Times New Roman" w:hAnsi="Times New Roman"/>
          <w:b/>
          <w:bCs/>
          <w:i w:val="false"/>
          <w:iCs w:val="false"/>
          <w:sz w:val="21"/>
          <w:szCs w:val="21"/>
        </w:rPr>
        <w:t xml:space="preserve">linear classifier</w:t>
      </w:r>
      <w:r>
        <w:rPr>
          <w:rFonts w:ascii="Times New Roman" w:cs="Times New Roman" w:eastAsia="Times New Roman" w:hAnsi="Times New Roman"/>
          <w:b w:val="false"/>
          <w:bCs w:val="false"/>
          <w:i w:val="false"/>
          <w:iCs w:val="false"/>
          <w:sz w:val="21"/>
          <w:szCs w:val="21"/>
        </w:rPr>
        <w:t xml:space="preserve"> of the same form as the perceptron, logistic regression and a linear SVM. Here </w:t>
      </w:r>
      <w:r>
        <w:rPr>
          <w:rFonts w:ascii="Times New Roman" w:cs="Times New Roman" w:eastAsia="Times New Roman" w:hAnsi="Times New Roman"/>
          <w:b w:val="false"/>
          <w:bCs w:val="false"/>
          <w:i/>
          <w:iCs/>
          <w:sz w:val="21"/>
          <w:szCs w:val="21"/>
        </w:rPr>
        <w:t xml:space="preserve">f</w:t>
      </w:r>
      <w:r>
        <w:rPr>
          <w:rFonts w:ascii="Times New Roman" w:cs="Times New Roman" w:eastAsia="Times New Roman" w:hAnsi="Times New Roman"/>
          <w:b w:val="false"/>
          <w:bCs w:val="false"/>
          <w:i/>
          <w:iCs/>
          <w:sz w:val="21"/>
          <w:szCs w:val="21"/>
          <w:vertAlign w:val="subscript"/>
        </w:rPr>
        <w:t xml:space="preserve">i</w:t>
      </w:r>
      <w:r>
        <w:rPr>
          <w:rFonts w:ascii="Times New Roman" w:cs="Times New Roman" w:eastAsia="Times New Roman" w:hAnsi="Times New Roman"/>
          <w:b w:val="false"/>
          <w:bCs w:val="false"/>
          <w:i w:val="false"/>
          <w:iCs w:val="false"/>
          <w:sz w:val="21"/>
          <w:szCs w:val="21"/>
        </w:rPr>
        <w:t xml:space="preserve"> is the count of word </w:t>
      </w:r>
      <w:r>
        <w:rPr>
          <w:rFonts w:ascii="Times New Roman" w:cs="Times New Roman" w:eastAsia="Times New Roman" w:hAnsi="Times New Roman"/>
          <w:b w:val="false"/>
          <w:bCs w:val="false"/>
          <w:i/>
          <w:iCs/>
          <w:sz w:val="21"/>
          <w:szCs w:val="21"/>
        </w:rPr>
        <w:t xml:space="preserve">i</w:t>
      </w:r>
      <w:r>
        <w:rPr>
          <w:rFonts w:ascii="Times New Roman" w:cs="Times New Roman" w:eastAsia="Times New Roman" w:hAnsi="Times New Roman"/>
          <w:b w:val="false"/>
          <w:bCs w:val="false"/>
          <w:i w:val="false"/>
          <w:iCs w:val="false"/>
          <w:sz w:val="21"/>
          <w:szCs w:val="21"/>
        </w:rPr>
        <w:t xml:space="preserve"> and </w:t>
      </w:r>
      <w:r>
        <w:rPr>
          <w:rFonts w:ascii="Times New Roman" w:cs="Times New Roman" w:eastAsia="Times New Roman" w:hAnsi="Times New Roman"/>
          <w:b w:val="false"/>
          <w:bCs w:val="false"/>
          <w:i/>
          <w:iCs/>
          <w:sz w:val="21"/>
          <w:szCs w:val="21"/>
        </w:rPr>
        <w:t xml:space="preserve">w</w:t>
      </w:r>
      <w:r>
        <w:rPr>
          <w:rFonts w:ascii="Times New Roman" w:cs="Times New Roman" w:eastAsia="Times New Roman" w:hAnsi="Times New Roman"/>
          <w:b w:val="false"/>
          <w:bCs w:val="false"/>
          <w:i/>
          <w:iCs/>
          <w:sz w:val="21"/>
          <w:szCs w:val="21"/>
          <w:vertAlign w:val="subscript"/>
        </w:rPr>
        <w:t xml:space="preserve">ci</w:t>
      </w:r>
      <w:r>
        <w:rPr>
          <w:rFonts w:ascii="Times New Roman" w:cs="Times New Roman" w:eastAsia="Times New Roman" w:hAnsi="Times New Roman"/>
          <w:b w:val="false"/>
          <w:bCs w:val="false"/>
          <w:i w:val="false"/>
          <w:iCs w:val="false"/>
          <w:sz w:val="21"/>
          <w:szCs w:val="21"/>
        </w:rPr>
        <w:t xml:space="preserve"> = log θ</w:t>
      </w:r>
      <w:r>
        <w:rPr>
          <w:rFonts w:ascii="Times New Roman" w:cs="Times New Roman" w:eastAsia="Times New Roman" w:hAnsi="Times New Roman"/>
          <w:b w:val="false"/>
          <w:bCs w:val="false"/>
          <w:i w:val="false"/>
          <w:iCs w:val="false"/>
          <w:sz w:val="21"/>
          <w:szCs w:val="21"/>
          <w:vertAlign w:val="subscript"/>
        </w:rPr>
        <w:t xml:space="preserve">ci</w:t>
      </w:r>
      <w:r>
        <w:rPr>
          <w:rFonts w:ascii="Times New Roman" w:cs="Times New Roman" w:eastAsia="Times New Roman" w:hAnsi="Times New Roman"/>
          <w:b w:val="false"/>
          <w:bCs w:val="false"/>
          <w:i w:val="false"/>
          <w:iCs w:val="false"/>
          <w:sz w:val="21"/>
          <w:szCs w:val="21"/>
        </w:rPr>
        <w:t xml:space="preserve"> is a smoothed maximum-likelihood estimate. MNB's weakness therefore lies in </w:t>
      </w:r>
      <w:r>
        <w:rPr>
          <w:rFonts w:ascii="Times New Roman" w:cs="Times New Roman" w:eastAsia="Times New Roman" w:hAnsi="Times New Roman"/>
          <w:b w:val="false"/>
          <w:bCs w:val="false"/>
          <w:i/>
          <w:iCs/>
          <w:sz w:val="21"/>
          <w:szCs w:val="21"/>
        </w:rPr>
        <w:t xml:space="preserve">how it chooses the weights</w:t>
      </w:r>
      <w:r>
        <w:rPr>
          <w:rFonts w:ascii="Times New Roman" w:cs="Times New Roman" w:eastAsia="Times New Roman" w:hAnsi="Times New Roman"/>
          <w:b w:val="false"/>
          <w:bCs w:val="false"/>
          <w:i w:val="false"/>
          <w:iCs w:val="false"/>
          <w:sz w:val="21"/>
          <w:szCs w:val="21"/>
        </w:rPr>
        <w:t xml:space="preserve">, not in the form of the boundary.</w:t>
      </w:r>
    </w:p>
    <w:p>
      <w:pPr>
        <w:pStyle w:val="Heading2"/>
        <w:keepNext/>
        <w:spacing w:after="40" w:before="80"/>
      </w:pPr>
      <w:r>
        <w:rPr>
          <w:rFonts w:ascii="Arial" w:cs="Arial" w:eastAsia="Arial" w:hAnsi="Arial"/>
          <w:b/>
          <w:bCs/>
          <w:color w:val="000000"/>
          <w:sz w:val="21"/>
          <w:szCs w:val="21"/>
        </w:rPr>
        <w:t xml:space="preserve">Fixing systemic errors</w:t>
      </w:r>
    </w:p>
    <w:p>
      <w:pPr>
        <w:spacing w:after="80" w:before="0" w:line="264"/>
        <w:jc w:val="both"/>
      </w:pPr>
      <w:r>
        <w:rPr>
          <w:rFonts w:ascii="Times New Roman" w:cs="Times New Roman" w:eastAsia="Times New Roman" w:hAnsi="Times New Roman"/>
          <w:b/>
          <w:bCs/>
          <w:i w:val="false"/>
          <w:iCs w:val="false"/>
          <w:sz w:val="21"/>
          <w:szCs w:val="21"/>
        </w:rPr>
        <w:t xml:space="preserve">(a) Skewed data bias → Complement Naive Bayes (CNB).</w:t>
      </w:r>
      <w:r>
        <w:rPr>
          <w:rFonts w:ascii="Times New Roman" w:cs="Times New Roman" w:eastAsia="Times New Roman" w:hAnsi="Times New Roman"/>
          <w:b w:val="false"/>
          <w:bCs w:val="false"/>
          <w:i w:val="false"/>
          <w:iCs w:val="false"/>
          <w:sz w:val="21"/>
          <w:szCs w:val="21"/>
        </w:rPr>
        <w:t xml:space="preserve"> When classes have unequal amounts of training data, the weights of small classes are biased downward (because log is concave, the expected log of an estimate is smaller than the log of its expected value, E[log θ] &lt; log E[θ]), so the classifier unfairly favours large classes. A small coin-toss example in the paper shows a class with a </w:t>
      </w:r>
      <w:r>
        <w:rPr>
          <w:rFonts w:ascii="Times New Roman" w:cs="Times New Roman" w:eastAsia="Times New Roman" w:hAnsi="Times New Roman"/>
          <w:b w:val="false"/>
          <w:bCs w:val="false"/>
          <w:i/>
          <w:iCs/>
          <w:sz w:val="21"/>
          <w:szCs w:val="21"/>
        </w:rPr>
        <w:t xml:space="preserve">lower</w:t>
      </w:r>
      <w:r>
        <w:rPr>
          <w:rFonts w:ascii="Times New Roman" w:cs="Times New Roman" w:eastAsia="Times New Roman" w:hAnsi="Times New Roman"/>
          <w:b w:val="false"/>
          <w:bCs w:val="false"/>
          <w:i w:val="false"/>
          <w:iCs w:val="false"/>
          <w:sz w:val="21"/>
          <w:szCs w:val="21"/>
        </w:rPr>
        <w:t xml:space="preserve"> true rate of heads winning more often simply because it has more samples. CNB instead estimates each class's parameters from all documents </w:t>
      </w:r>
      <w:r>
        <w:rPr>
          <w:rFonts w:ascii="Times New Roman" w:cs="Times New Roman" w:eastAsia="Times New Roman" w:hAnsi="Times New Roman"/>
          <w:b w:val="false"/>
          <w:bCs w:val="false"/>
          <w:i/>
          <w:iCs/>
          <w:sz w:val="21"/>
          <w:szCs w:val="21"/>
        </w:rPr>
        <w:t xml:space="preserve">not</w:t>
      </w:r>
      <w:r>
        <w:rPr>
          <w:rFonts w:ascii="Times New Roman" w:cs="Times New Roman" w:eastAsia="Times New Roman" w:hAnsi="Times New Roman"/>
          <w:b w:val="false"/>
          <w:bCs w:val="false"/>
          <w:i w:val="false"/>
          <w:iCs w:val="false"/>
          <w:sz w:val="21"/>
          <w:szCs w:val="21"/>
        </w:rPr>
        <w:t xml:space="preserve"> in that class, and assigns a document to the class it matches </w:t>
      </w:r>
      <w:r>
        <w:rPr>
          <w:rFonts w:ascii="Times New Roman" w:cs="Times New Roman" w:eastAsia="Times New Roman" w:hAnsi="Times New Roman"/>
          <w:b w:val="false"/>
          <w:bCs w:val="false"/>
          <w:i/>
          <w:iCs/>
          <w:sz w:val="21"/>
          <w:szCs w:val="21"/>
        </w:rPr>
        <w:t xml:space="preserve">least badly</w:t>
      </w:r>
      <w:r>
        <w:rPr>
          <w:rFonts w:ascii="Times New Roman" w:cs="Times New Roman" w:eastAsia="Times New Roman" w:hAnsi="Times New Roman"/>
          <w:b w:val="false"/>
          <w:bCs w:val="false"/>
          <w:i w:val="false"/>
          <w:iCs w:val="false"/>
          <w:sz w:val="21"/>
          <w:szCs w:val="21"/>
        </w:rPr>
        <w:t xml:space="preserve">. Each estimate now uses a more even, larger amount of data, which gives more stable weights.</w:t>
      </w:r>
    </w:p>
    <w:p>
      <w:pPr>
        <w:spacing w:after="80" w:before="0" w:line="264"/>
        <w:jc w:val="both"/>
      </w:pPr>
      <w:r>
        <w:rPr>
          <w:rFonts w:ascii="Times New Roman" w:cs="Times New Roman" w:eastAsia="Times New Roman" w:hAnsi="Times New Roman"/>
          <w:b/>
          <w:bCs/>
          <w:i w:val="false"/>
          <w:iCs w:val="false"/>
          <w:sz w:val="21"/>
          <w:szCs w:val="21"/>
        </w:rPr>
        <w:t xml:space="preserve">(b) Weight magnitude errors → Weight-normalized CNB (WCNB).</w:t>
      </w:r>
      <w:r>
        <w:rPr>
          <w:rFonts w:ascii="Times New Roman" w:cs="Times New Roman" w:eastAsia="Times New Roman" w:hAnsi="Times New Roman"/>
          <w:b w:val="false"/>
          <w:bCs w:val="false"/>
          <w:i w:val="false"/>
          <w:iCs w:val="false"/>
          <w:sz w:val="21"/>
          <w:szCs w:val="21"/>
        </w:rPr>
        <w:t xml:space="preserve"> The independence assumption double-counts correlated words. For example, “San Francisco” contributes the weight of two words while “Boston” contributes one, so classes with strongly dependent words get larger weight vectors and dominate. The fix is to normalize each class's weight vector by the sum of the absolute values of its weights.</w:t>
      </w:r>
    </w:p>
    <w:p>
      <w:pPr>
        <w:pStyle w:val="Heading2"/>
        <w:keepNext/>
        <w:spacing w:after="40" w:before="80"/>
      </w:pPr>
      <w:r>
        <w:rPr>
          <w:rFonts w:ascii="Arial" w:cs="Arial" w:eastAsia="Arial" w:hAnsi="Arial"/>
          <w:b/>
          <w:bCs/>
          <w:color w:val="000000"/>
          <w:sz w:val="21"/>
          <w:szCs w:val="21"/>
        </w:rPr>
        <w:t xml:space="preserve">Modelling text better</w:t>
      </w:r>
    </w:p>
    <w:p>
      <w:pPr>
        <w:spacing w:after="80" w:before="0" w:line="264"/>
        <w:jc w:val="both"/>
      </w:pPr>
      <w:r>
        <w:rPr>
          <w:rFonts w:ascii="Times New Roman" w:cs="Times New Roman" w:eastAsia="Times New Roman" w:hAnsi="Times New Roman"/>
          <w:b w:val="false"/>
          <w:bCs w:val="false"/>
          <w:i w:val="false"/>
          <w:iCs w:val="false"/>
          <w:sz w:val="21"/>
          <w:szCs w:val="21"/>
        </w:rPr>
        <w:t xml:space="preserve">Real word counts are “bursty”: once a word appears in a document, it is likely to appear again. Their distribution has a much heavier tail than a multinomial predicts, close to a power law. The authors borrow three transforms from information retrieval: </w:t>
      </w:r>
      <w:r>
        <w:rPr>
          <w:rFonts w:ascii="Times New Roman" w:cs="Times New Roman" w:eastAsia="Times New Roman" w:hAnsi="Times New Roman"/>
          <w:b/>
          <w:bCs/>
          <w:i w:val="false"/>
          <w:iCs w:val="false"/>
          <w:sz w:val="21"/>
          <w:szCs w:val="21"/>
        </w:rPr>
        <w:t xml:space="preserve">(1) log term frequency</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val="false"/>
          <w:bCs w:val="false"/>
          <w:i/>
          <w:iCs/>
          <w:sz w:val="21"/>
          <w:szCs w:val="21"/>
        </w:rPr>
        <w:t xml:space="preserve">f</w:t>
      </w:r>
      <w:r>
        <w:rPr>
          <w:rFonts w:ascii="Times New Roman" w:cs="Times New Roman" w:eastAsia="Times New Roman" w:hAnsi="Times New Roman"/>
          <w:b w:val="false"/>
          <w:bCs w:val="false"/>
          <w:i w:val="false"/>
          <w:iCs w:val="false"/>
          <w:sz w:val="21"/>
          <w:szCs w:val="21"/>
        </w:rPr>
        <w:t xml:space="preserve">′ = log(1 + </w:t>
      </w:r>
      <w:r>
        <w:rPr>
          <w:rFonts w:ascii="Times New Roman" w:cs="Times New Roman" w:eastAsia="Times New Roman" w:hAnsi="Times New Roman"/>
          <w:b w:val="false"/>
          <w:bCs w:val="false"/>
          <w:i/>
          <w:iCs/>
          <w:sz w:val="21"/>
          <w:szCs w:val="21"/>
        </w:rPr>
        <w:t xml:space="preserve">f</w:t>
      </w:r>
      <w:r>
        <w:rPr>
          <w:rFonts w:ascii="Times New Roman" w:cs="Times New Roman" w:eastAsia="Times New Roman" w:hAnsi="Times New Roman"/>
          <w:b w:val="false"/>
          <w:bCs w:val="false"/>
          <w:i w:val="false"/>
          <w:iCs w:val="false"/>
          <w:sz w:val="21"/>
          <w:szCs w:val="21"/>
        </w:rPr>
        <w:t xml:space="preserve">), which makes power-law counts look more multinomial; </w:t>
      </w:r>
      <w:r>
        <w:rPr>
          <w:rFonts w:ascii="Times New Roman" w:cs="Times New Roman" w:eastAsia="Times New Roman" w:hAnsi="Times New Roman"/>
          <w:b/>
          <w:bCs/>
          <w:i w:val="false"/>
          <w:iCs w:val="false"/>
          <w:sz w:val="21"/>
          <w:szCs w:val="21"/>
        </w:rPr>
        <w:t xml:space="preserve">(2) inverse document frequency (IDF)</w:t>
      </w:r>
      <w:r>
        <w:rPr>
          <w:rFonts w:ascii="Times New Roman" w:cs="Times New Roman" w:eastAsia="Times New Roman" w:hAnsi="Times New Roman"/>
          <w:b w:val="false"/>
          <w:bCs w:val="false"/>
          <w:i w:val="false"/>
          <w:iCs w:val="false"/>
          <w:sz w:val="21"/>
          <w:szCs w:val="21"/>
        </w:rPr>
        <w:t xml:space="preserve">, which down-weights words that appear in almost every document; and </w:t>
      </w:r>
      <w:r>
        <w:rPr>
          <w:rFonts w:ascii="Times New Roman" w:cs="Times New Roman" w:eastAsia="Times New Roman" w:hAnsi="Times New Roman"/>
          <w:b/>
          <w:bCs/>
          <w:i w:val="false"/>
          <w:iCs w:val="false"/>
          <w:sz w:val="21"/>
          <w:szCs w:val="21"/>
        </w:rPr>
        <w:t xml:space="preserve">(3) length normalization</w:t>
      </w:r>
      <w:r>
        <w:rPr>
          <w:rFonts w:ascii="Times New Roman" w:cs="Times New Roman" w:eastAsia="Times New Roman" w:hAnsi="Times New Roman"/>
          <w:b w:val="false"/>
          <w:bCs w:val="false"/>
          <w:i w:val="false"/>
          <w:iCs w:val="false"/>
          <w:sz w:val="21"/>
          <w:szCs w:val="21"/>
        </w:rPr>
        <w:t xml:space="preserve">, which scales each document vector to unit length so long documents do not dominate training. Combining these with CNB and weight normalization gives </w:t>
      </w:r>
      <w:r>
        <w:rPr>
          <w:rFonts w:ascii="Times New Roman" w:cs="Times New Roman" w:eastAsia="Times New Roman" w:hAnsi="Times New Roman"/>
          <w:b/>
          <w:bCs/>
          <w:i w:val="false"/>
          <w:iCs w:val="false"/>
          <w:sz w:val="21"/>
          <w:szCs w:val="21"/>
        </w:rPr>
        <w:t xml:space="preserve">TWCNB</w:t>
      </w:r>
      <w:r>
        <w:rPr>
          <w:rFonts w:ascii="Times New Roman" w:cs="Times New Roman" w:eastAsia="Times New Roman" w:hAnsi="Times New Roman"/>
          <w:b w:val="false"/>
          <w:bCs w:val="false"/>
          <w:i w:val="false"/>
          <w:iCs w:val="false"/>
          <w:sz w:val="21"/>
          <w:szCs w:val="21"/>
        </w:rPr>
        <w:t xml:space="preserve"> (Transformed Weight-normalized Complement Naive Bayes).</w:t>
      </w:r>
    </w:p>
    <w:p>
      <w:pPr>
        <w:pStyle w:val="Heading2"/>
        <w:keepNext/>
        <w:spacing w:after="40" w:before="80"/>
      </w:pPr>
      <w:r>
        <w:rPr>
          <w:rFonts w:ascii="Arial" w:cs="Arial" w:eastAsia="Arial" w:hAnsi="Arial"/>
          <w:b/>
          <w:bCs/>
          <w:color w:val="000000"/>
          <w:sz w:val="21"/>
          <w:szCs w:val="21"/>
        </w:rPr>
        <w:t xml:space="preserve">The complete TWCNB procedure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1F3A5F" w:sz="6"/>
              <w:left w:val="single" w:color="1F3A5F" w:sz="6"/>
              <w:bottom w:val="single" w:color="1F3A5F" w:sz="6"/>
              <w:right w:val="single" w:color="1F3A5F" w:sz="6"/>
            </w:tcBorders>
            <w:shd w:fill="F5F8FB" w:color="auto" w:val="clear"/>
            <w:tcMar>
              <w:top w:type="dxa" w:w="60"/>
              <w:left w:type="dxa" w:w="120"/>
              <w:bottom w:type="dxa" w:w="60"/>
              <w:right w:type="dxa" w:w="120"/>
            </w:tcMar>
          </w:tcPr>
          <w:p>
            <w:pPr>
              <w:spacing w:after="20" w:line="250"/>
              <w:ind w:left="240" w:hanging="240"/>
            </w:pPr>
            <w:r>
              <w:rPr>
                <w:rFonts w:ascii="Times New Roman" w:cs="Times New Roman" w:eastAsia="Times New Roman" w:hAnsi="Times New Roman"/>
                <w:b w:val="false"/>
                <w:bCs w:val="false"/>
                <w:i w:val="false"/>
                <w:iCs w:val="false"/>
                <w:sz w:val="20"/>
                <w:szCs w:val="20"/>
              </w:rPr>
              <w:t xml:space="preserve">1. Log term frequency: </w:t>
            </w:r>
            <w:r>
              <w:rPr>
                <w:rFonts w:ascii="Times New Roman" w:cs="Times New Roman" w:eastAsia="Times New Roman" w:hAnsi="Times New Roman"/>
                <w:b w:val="false"/>
                <w:bCs w:val="false"/>
                <w:i/>
                <w:iCs/>
                <w:sz w:val="20"/>
                <w:szCs w:val="20"/>
              </w:rPr>
              <w:t xml:space="preserve">d</w:t>
            </w:r>
            <w:r>
              <w:rPr>
                <w:rFonts w:ascii="Times New Roman" w:cs="Times New Roman" w:eastAsia="Times New Roman" w:hAnsi="Times New Roman"/>
                <w:b w:val="false"/>
                <w:bCs w:val="false"/>
                <w:i/>
                <w:iCs/>
                <w:sz w:val="20"/>
                <w:szCs w:val="20"/>
                <w:vertAlign w:val="subscript"/>
              </w:rPr>
              <w:t xml:space="preserve">ij</w:t>
            </w:r>
            <w:r>
              <w:rPr>
                <w:rFonts w:ascii="Times New Roman" w:cs="Times New Roman" w:eastAsia="Times New Roman" w:hAnsi="Times New Roman"/>
                <w:b w:val="false"/>
                <w:bCs w:val="false"/>
                <w:i w:val="false"/>
                <w:iCs w:val="false"/>
                <w:sz w:val="20"/>
                <w:szCs w:val="20"/>
              </w:rPr>
              <w:t xml:space="preserve"> ← log(</w:t>
            </w:r>
            <w:r>
              <w:rPr>
                <w:rFonts w:ascii="Times New Roman" w:cs="Times New Roman" w:eastAsia="Times New Roman" w:hAnsi="Times New Roman"/>
                <w:b w:val="false"/>
                <w:bCs w:val="false"/>
                <w:i/>
                <w:iCs/>
                <w:sz w:val="20"/>
                <w:szCs w:val="20"/>
              </w:rPr>
              <w:t xml:space="preserve">d</w:t>
            </w:r>
            <w:r>
              <w:rPr>
                <w:rFonts w:ascii="Times New Roman" w:cs="Times New Roman" w:eastAsia="Times New Roman" w:hAnsi="Times New Roman"/>
                <w:b w:val="false"/>
                <w:bCs w:val="false"/>
                <w:i/>
                <w:iCs/>
                <w:sz w:val="20"/>
                <w:szCs w:val="20"/>
                <w:vertAlign w:val="subscript"/>
              </w:rPr>
              <w:t xml:space="preserve">ij</w:t>
            </w:r>
            <w:r>
              <w:rPr>
                <w:rFonts w:ascii="Times New Roman" w:cs="Times New Roman" w:eastAsia="Times New Roman" w:hAnsi="Times New Roman"/>
                <w:b w:val="false"/>
                <w:bCs w:val="false"/>
                <w:i w:val="false"/>
                <w:iCs w:val="false"/>
                <w:sz w:val="20"/>
                <w:szCs w:val="20"/>
              </w:rPr>
              <w:t xml:space="preserve"> + 1), where </w:t>
            </w:r>
            <w:r>
              <w:rPr>
                <w:rFonts w:ascii="Times New Roman" w:cs="Times New Roman" w:eastAsia="Times New Roman" w:hAnsi="Times New Roman"/>
                <w:b w:val="false"/>
                <w:bCs w:val="false"/>
                <w:i/>
                <w:iCs/>
                <w:sz w:val="20"/>
                <w:szCs w:val="20"/>
              </w:rPr>
              <w:t xml:space="preserve">d</w:t>
            </w:r>
            <w:r>
              <w:rPr>
                <w:rFonts w:ascii="Times New Roman" w:cs="Times New Roman" w:eastAsia="Times New Roman" w:hAnsi="Times New Roman"/>
                <w:b w:val="false"/>
                <w:bCs w:val="false"/>
                <w:i/>
                <w:iCs/>
                <w:sz w:val="20"/>
                <w:szCs w:val="20"/>
                <w:vertAlign w:val="subscript"/>
              </w:rPr>
              <w:t xml:space="preserve">ij</w:t>
            </w:r>
            <w:r>
              <w:rPr>
                <w:rFonts w:ascii="Times New Roman" w:cs="Times New Roman" w:eastAsia="Times New Roman" w:hAnsi="Times New Roman"/>
                <w:b w:val="false"/>
                <w:bCs w:val="false"/>
                <w:i w:val="false"/>
                <w:iCs w:val="false"/>
                <w:sz w:val="20"/>
                <w:szCs w:val="20"/>
              </w:rPr>
              <w:t xml:space="preserve"> is the count of word </w:t>
            </w:r>
            <w:r>
              <w:rPr>
                <w:rFonts w:ascii="Times New Roman" w:cs="Times New Roman" w:eastAsia="Times New Roman" w:hAnsi="Times New Roman"/>
                <w:b w:val="false"/>
                <w:bCs w:val="false"/>
                <w:i/>
                <w:iCs/>
                <w:sz w:val="20"/>
                <w:szCs w:val="20"/>
              </w:rPr>
              <w:t xml:space="preserve">i</w:t>
            </w:r>
            <w:r>
              <w:rPr>
                <w:rFonts w:ascii="Times New Roman" w:cs="Times New Roman" w:eastAsia="Times New Roman" w:hAnsi="Times New Roman"/>
                <w:b w:val="false"/>
                <w:bCs w:val="false"/>
                <w:i w:val="false"/>
                <w:iCs w:val="false"/>
                <w:sz w:val="20"/>
                <w:szCs w:val="20"/>
              </w:rPr>
              <w:t xml:space="preserve"> in document </w:t>
            </w:r>
            <w:r>
              <w:rPr>
                <w:rFonts w:ascii="Times New Roman" w:cs="Times New Roman" w:eastAsia="Times New Roman" w:hAnsi="Times New Roman"/>
                <w:b w:val="false"/>
                <w:bCs w:val="false"/>
                <w:i/>
                <w:iCs/>
                <w:sz w:val="20"/>
                <w:szCs w:val="20"/>
              </w:rPr>
              <w:t xml:space="preserve">j</w:t>
            </w:r>
            <w:r>
              <w:rPr>
                <w:rFonts w:ascii="Times New Roman" w:cs="Times New Roman" w:eastAsia="Times New Roman" w:hAnsi="Times New Roman"/>
                <w:b w:val="false"/>
                <w:bCs w:val="false"/>
                <w:i w:val="false"/>
                <w:iCs w:val="false"/>
                <w:sz w:val="20"/>
                <w:szCs w:val="20"/>
              </w:rPr>
              <w:t xml:space="preserve">.</w:t>
            </w:r>
          </w:p>
          <w:p>
            <w:pPr>
              <w:spacing w:after="20" w:line="250"/>
              <w:ind w:left="240" w:hanging="240"/>
            </w:pPr>
            <w:r>
              <w:rPr>
                <w:rFonts w:ascii="Times New Roman" w:cs="Times New Roman" w:eastAsia="Times New Roman" w:hAnsi="Times New Roman"/>
                <w:b w:val="false"/>
                <w:bCs w:val="false"/>
                <w:i w:val="false"/>
                <w:iCs w:val="false"/>
                <w:sz w:val="20"/>
                <w:szCs w:val="20"/>
              </w:rPr>
              <w:t xml:space="preserve">2. IDF: </w:t>
            </w:r>
            <w:r>
              <w:rPr>
                <w:rFonts w:ascii="Times New Roman" w:cs="Times New Roman" w:eastAsia="Times New Roman" w:hAnsi="Times New Roman"/>
                <w:b w:val="false"/>
                <w:bCs w:val="false"/>
                <w:i/>
                <w:iCs/>
                <w:sz w:val="20"/>
                <w:szCs w:val="20"/>
              </w:rPr>
              <w:t xml:space="preserve">d</w:t>
            </w:r>
            <w:r>
              <w:rPr>
                <w:rFonts w:ascii="Times New Roman" w:cs="Times New Roman" w:eastAsia="Times New Roman" w:hAnsi="Times New Roman"/>
                <w:b w:val="false"/>
                <w:bCs w:val="false"/>
                <w:i/>
                <w:iCs/>
                <w:sz w:val="20"/>
                <w:szCs w:val="20"/>
                <w:vertAlign w:val="subscript"/>
              </w:rPr>
              <w:t xml:space="preserve">ij</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val="false"/>
                <w:bCs w:val="false"/>
                <w:i/>
                <w:iCs/>
                <w:sz w:val="20"/>
                <w:szCs w:val="20"/>
              </w:rPr>
              <w:t xml:space="preserve">d</w:t>
            </w:r>
            <w:r>
              <w:rPr>
                <w:rFonts w:ascii="Times New Roman" w:cs="Times New Roman" w:eastAsia="Times New Roman" w:hAnsi="Times New Roman"/>
                <w:b w:val="false"/>
                <w:bCs w:val="false"/>
                <w:i/>
                <w:iCs/>
                <w:sz w:val="20"/>
                <w:szCs w:val="20"/>
                <w:vertAlign w:val="subscript"/>
              </w:rPr>
              <w:t xml:space="preserve">ij</w:t>
            </w:r>
            <w:r>
              <w:rPr>
                <w:rFonts w:ascii="Times New Roman" w:cs="Times New Roman" w:eastAsia="Times New Roman" w:hAnsi="Times New Roman"/>
                <w:b w:val="false"/>
                <w:bCs w:val="false"/>
                <w:i w:val="false"/>
                <w:iCs w:val="false"/>
                <w:sz w:val="20"/>
                <w:szCs w:val="20"/>
              </w:rPr>
              <w:t xml:space="preserve"> · log( total documents / documents containing word </w:t>
            </w:r>
            <w:r>
              <w:rPr>
                <w:rFonts w:ascii="Times New Roman" w:cs="Times New Roman" w:eastAsia="Times New Roman" w:hAnsi="Times New Roman"/>
                <w:b w:val="false"/>
                <w:bCs w:val="false"/>
                <w:i/>
                <w:iCs/>
                <w:sz w:val="20"/>
                <w:szCs w:val="20"/>
              </w:rPr>
              <w:t xml:space="preserve">i</w:t>
            </w:r>
            <w:r>
              <w:rPr>
                <w:rFonts w:ascii="Times New Roman" w:cs="Times New Roman" w:eastAsia="Times New Roman" w:hAnsi="Times New Roman"/>
                <w:b w:val="false"/>
                <w:bCs w:val="false"/>
                <w:i w:val="false"/>
                <w:iCs w:val="false"/>
                <w:sz w:val="20"/>
                <w:szCs w:val="20"/>
              </w:rPr>
              <w:t xml:space="preserve"> ).</w:t>
            </w:r>
          </w:p>
          <w:p>
            <w:pPr>
              <w:spacing w:after="20" w:line="250"/>
              <w:ind w:left="240" w:hanging="240"/>
            </w:pPr>
            <w:r>
              <w:rPr>
                <w:rFonts w:ascii="Times New Roman" w:cs="Times New Roman" w:eastAsia="Times New Roman" w:hAnsi="Times New Roman"/>
                <w:b w:val="false"/>
                <w:bCs w:val="false"/>
                <w:i w:val="false"/>
                <w:iCs w:val="false"/>
                <w:sz w:val="20"/>
                <w:szCs w:val="20"/>
              </w:rPr>
              <w:t xml:space="preserve">3. Length normalization: </w:t>
            </w:r>
            <w:r>
              <w:rPr>
                <w:rFonts w:ascii="Times New Roman" w:cs="Times New Roman" w:eastAsia="Times New Roman" w:hAnsi="Times New Roman"/>
                <w:b w:val="false"/>
                <w:bCs w:val="false"/>
                <w:i/>
                <w:iCs/>
                <w:sz w:val="20"/>
                <w:szCs w:val="20"/>
              </w:rPr>
              <w:t xml:space="preserve">d</w:t>
            </w:r>
            <w:r>
              <w:rPr>
                <w:rFonts w:ascii="Times New Roman" w:cs="Times New Roman" w:eastAsia="Times New Roman" w:hAnsi="Times New Roman"/>
                <w:b w:val="false"/>
                <w:bCs w:val="false"/>
                <w:i/>
                <w:iCs/>
                <w:sz w:val="20"/>
                <w:szCs w:val="20"/>
                <w:vertAlign w:val="subscript"/>
              </w:rPr>
              <w:t xml:space="preserve">ij</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val="false"/>
                <w:bCs w:val="false"/>
                <w:i/>
                <w:iCs/>
                <w:sz w:val="20"/>
                <w:szCs w:val="20"/>
              </w:rPr>
              <w:t xml:space="preserve">d</w:t>
            </w:r>
            <w:r>
              <w:rPr>
                <w:rFonts w:ascii="Times New Roman" w:cs="Times New Roman" w:eastAsia="Times New Roman" w:hAnsi="Times New Roman"/>
                <w:b w:val="false"/>
                <w:bCs w:val="false"/>
                <w:i/>
                <w:iCs/>
                <w:sz w:val="20"/>
                <w:szCs w:val="20"/>
                <w:vertAlign w:val="subscript"/>
              </w:rPr>
              <w:t xml:space="preserve">ij</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val="false"/>
                <w:bCs w:val="false"/>
                <w:i w:val="false"/>
                <w:iCs w:val="false"/>
                <w:sz w:val="20"/>
                <w:szCs w:val="20"/>
                <w:vertAlign w:val="subscript"/>
              </w:rPr>
              <w:t xml:space="preserve">k</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d</w:t>
            </w:r>
            <w:r>
              <w:rPr>
                <w:rFonts w:ascii="Times New Roman" w:cs="Times New Roman" w:eastAsia="Times New Roman" w:hAnsi="Times New Roman"/>
                <w:b w:val="false"/>
                <w:bCs w:val="false"/>
                <w:i/>
                <w:iCs/>
                <w:sz w:val="20"/>
                <w:szCs w:val="20"/>
                <w:vertAlign w:val="subscript"/>
              </w:rPr>
              <w:t xml:space="preserve">kj</w:t>
            </w:r>
            <w:r>
              <w:rPr>
                <w:rFonts w:ascii="Times New Roman" w:cs="Times New Roman" w:eastAsia="Times New Roman" w:hAnsi="Times New Roman"/>
                <w:b w:val="false"/>
                <w:bCs w:val="false"/>
                <w:i w:val="false"/>
                <w:iCs w:val="false"/>
                <w:sz w:val="20"/>
                <w:szCs w:val="20"/>
                <w:vertAlign w:val="superscript"/>
              </w:rPr>
              <w:t xml:space="preserve">2</w:t>
            </w:r>
            <w:r>
              <w:rPr>
                <w:rFonts w:ascii="Times New Roman" w:cs="Times New Roman" w:eastAsia="Times New Roman" w:hAnsi="Times New Roman"/>
                <w:b w:val="false"/>
                <w:bCs w:val="false"/>
                <w:i w:val="false"/>
                <w:iCs w:val="false"/>
                <w:sz w:val="20"/>
                <w:szCs w:val="20"/>
              </w:rPr>
              <w:t xml:space="preserve">).</w:t>
            </w:r>
          </w:p>
          <w:p>
            <w:pPr>
              <w:spacing w:after="20" w:line="250"/>
              <w:ind w:left="240" w:hanging="240"/>
            </w:pPr>
            <w:r>
              <w:rPr>
                <w:rFonts w:ascii="Times New Roman" w:cs="Times New Roman" w:eastAsia="Times New Roman" w:hAnsi="Times New Roman"/>
                <w:b w:val="false"/>
                <w:bCs w:val="false"/>
                <w:i w:val="false"/>
                <w:iCs w:val="false"/>
                <w:sz w:val="20"/>
                <w:szCs w:val="20"/>
              </w:rPr>
              <w:t xml:space="preserve">4. Complement estimate: θ</w:t>
            </w:r>
            <w:r>
              <w:rPr>
                <w:rFonts w:ascii="Times New Roman" w:cs="Times New Roman" w:eastAsia="Times New Roman" w:hAnsi="Times New Roman"/>
                <w:b w:val="false"/>
                <w:bCs w:val="false"/>
                <w:i w:val="false"/>
                <w:iCs w:val="false"/>
                <w:sz w:val="20"/>
                <w:szCs w:val="20"/>
                <w:vertAlign w:val="subscript"/>
              </w:rPr>
              <w:t xml:space="preserve">ci</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val="false"/>
                <w:bCs w:val="false"/>
                <w:i w:val="false"/>
                <w:iCs w:val="false"/>
                <w:sz w:val="20"/>
                <w:szCs w:val="20"/>
                <w:vertAlign w:val="subscript"/>
              </w:rPr>
              <w:t xml:space="preserve">j: yj ≠ c</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d</w:t>
            </w:r>
            <w:r>
              <w:rPr>
                <w:rFonts w:ascii="Times New Roman" w:cs="Times New Roman" w:eastAsia="Times New Roman" w:hAnsi="Times New Roman"/>
                <w:b w:val="false"/>
                <w:bCs w:val="false"/>
                <w:i/>
                <w:iCs/>
                <w:sz w:val="20"/>
                <w:szCs w:val="20"/>
                <w:vertAlign w:val="subscript"/>
              </w:rPr>
              <w:t xml:space="preserve">ij</w:t>
            </w:r>
            <w:r>
              <w:rPr>
                <w:rFonts w:ascii="Times New Roman" w:cs="Times New Roman" w:eastAsia="Times New Roman" w:hAnsi="Times New Roman"/>
                <w:b w:val="false"/>
                <w:bCs w:val="false"/>
                <w:i w:val="false"/>
                <w:iCs w:val="false"/>
                <w:sz w:val="20"/>
                <w:szCs w:val="20"/>
              </w:rPr>
              <w:t xml:space="preserve"> + α</w:t>
            </w:r>
            <w:r>
              <w:rPr>
                <w:rFonts w:ascii="Times New Roman" w:cs="Times New Roman" w:eastAsia="Times New Roman" w:hAnsi="Times New Roman"/>
                <w:b w:val="false"/>
                <w:bCs w:val="false"/>
                <w:i w:val="false"/>
                <w:iCs w:val="false"/>
                <w:sz w:val="20"/>
                <w:szCs w:val="20"/>
                <w:vertAlign w:val="subscript"/>
              </w:rPr>
              <w:t xml:space="preserve">i</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val="false"/>
                <w:bCs w:val="false"/>
                <w:i w:val="false"/>
                <w:iCs w:val="false"/>
                <w:sz w:val="20"/>
                <w:szCs w:val="20"/>
                <w:vertAlign w:val="subscript"/>
              </w:rPr>
              <w:t xml:space="preserve">j: yj ≠ c</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val="false"/>
                <w:iCs w:val="false"/>
                <w:sz w:val="20"/>
                <w:szCs w:val="20"/>
                <w:vertAlign w:val="subscript"/>
              </w:rPr>
              <w:t xml:space="preserve">k</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d</w:t>
            </w:r>
            <w:r>
              <w:rPr>
                <w:rFonts w:ascii="Times New Roman" w:cs="Times New Roman" w:eastAsia="Times New Roman" w:hAnsi="Times New Roman"/>
                <w:b w:val="false"/>
                <w:bCs w:val="false"/>
                <w:i/>
                <w:iCs/>
                <w:sz w:val="20"/>
                <w:szCs w:val="20"/>
                <w:vertAlign w:val="subscript"/>
              </w:rPr>
              <w:t xml:space="preserve">kj</w:t>
            </w:r>
            <w:r>
              <w:rPr>
                <w:rFonts w:ascii="Times New Roman" w:cs="Times New Roman" w:eastAsia="Times New Roman" w:hAnsi="Times New Roman"/>
                <w:b w:val="false"/>
                <w:bCs w:val="false"/>
                <w:i w:val="false"/>
                <w:iCs w:val="false"/>
                <w:sz w:val="20"/>
                <w:szCs w:val="20"/>
              </w:rPr>
              <w:t xml:space="preserve"> + α), using only documents </w:t>
            </w:r>
            <w:r>
              <w:rPr>
                <w:rFonts w:ascii="Times New Roman" w:cs="Times New Roman" w:eastAsia="Times New Roman" w:hAnsi="Times New Roman"/>
                <w:b/>
                <w:bCs/>
                <w:i w:val="false"/>
                <w:iCs w:val="false"/>
                <w:sz w:val="20"/>
                <w:szCs w:val="20"/>
              </w:rPr>
              <w:t xml:space="preserve">outside</w:t>
            </w:r>
            <w:r>
              <w:rPr>
                <w:rFonts w:ascii="Times New Roman" w:cs="Times New Roman" w:eastAsia="Times New Roman" w:hAnsi="Times New Roman"/>
                <w:b w:val="false"/>
                <w:bCs w:val="false"/>
                <w:i w:val="false"/>
                <w:iCs w:val="false"/>
                <w:sz w:val="20"/>
                <w:szCs w:val="20"/>
              </w:rPr>
              <w:t xml:space="preserve"> class </w:t>
            </w:r>
            <w:r>
              <w:rPr>
                <w:rFonts w:ascii="Times New Roman" w:cs="Times New Roman" w:eastAsia="Times New Roman" w:hAnsi="Times New Roman"/>
                <w:b w:val="false"/>
                <w:bCs w:val="false"/>
                <w:i/>
                <w:iCs/>
                <w:sz w:val="20"/>
                <w:szCs w:val="20"/>
              </w:rPr>
              <w:t xml:space="preserve">c</w:t>
            </w:r>
            <w:r>
              <w:rPr>
                <w:rFonts w:ascii="Times New Roman" w:cs="Times New Roman" w:eastAsia="Times New Roman" w:hAnsi="Times New Roman"/>
                <w:b w:val="false"/>
                <w:bCs w:val="false"/>
                <w:i w:val="false"/>
                <w:iCs w:val="false"/>
                <w:sz w:val="20"/>
                <w:szCs w:val="20"/>
              </w:rPr>
              <w:t xml:space="preserve">.</w:t>
            </w:r>
          </w:p>
          <w:p>
            <w:pPr>
              <w:spacing w:after="20" w:line="250"/>
              <w:ind w:left="240" w:hanging="240"/>
            </w:pPr>
            <w:r>
              <w:rPr>
                <w:rFonts w:ascii="Times New Roman" w:cs="Times New Roman" w:eastAsia="Times New Roman" w:hAnsi="Times New Roman"/>
                <w:b w:val="false"/>
                <w:bCs w:val="false"/>
                <w:i w:val="false"/>
                <w:iCs w:val="false"/>
                <w:sz w:val="20"/>
                <w:szCs w:val="20"/>
              </w:rPr>
              <w:t xml:space="preserve">5–6. Weights: </w:t>
            </w:r>
            <w:r>
              <w:rPr>
                <w:rFonts w:ascii="Times New Roman" w:cs="Times New Roman" w:eastAsia="Times New Roman" w:hAnsi="Times New Roman"/>
                <w:b w:val="false"/>
                <w:bCs w:val="false"/>
                <w:i/>
                <w:iCs/>
                <w:sz w:val="20"/>
                <w:szCs w:val="20"/>
              </w:rPr>
              <w:t xml:space="preserve">w</w:t>
            </w:r>
            <w:r>
              <w:rPr>
                <w:rFonts w:ascii="Times New Roman" w:cs="Times New Roman" w:eastAsia="Times New Roman" w:hAnsi="Times New Roman"/>
                <w:b w:val="false"/>
                <w:bCs w:val="false"/>
                <w:i/>
                <w:iCs/>
                <w:sz w:val="20"/>
                <w:szCs w:val="20"/>
                <w:vertAlign w:val="subscript"/>
              </w:rPr>
              <w:t xml:space="preserve">ci</w:t>
            </w:r>
            <w:r>
              <w:rPr>
                <w:rFonts w:ascii="Times New Roman" w:cs="Times New Roman" w:eastAsia="Times New Roman" w:hAnsi="Times New Roman"/>
                <w:b w:val="false"/>
                <w:bCs w:val="false"/>
                <w:i w:val="false"/>
                <w:iCs w:val="false"/>
                <w:sz w:val="20"/>
                <w:szCs w:val="20"/>
              </w:rPr>
              <w:t xml:space="preserve"> = log θ</w:t>
            </w:r>
            <w:r>
              <w:rPr>
                <w:rFonts w:ascii="Times New Roman" w:cs="Times New Roman" w:eastAsia="Times New Roman" w:hAnsi="Times New Roman"/>
                <w:b w:val="false"/>
                <w:bCs w:val="false"/>
                <w:i w:val="false"/>
                <w:iCs w:val="false"/>
                <w:sz w:val="20"/>
                <w:szCs w:val="20"/>
                <w:vertAlign w:val="subscript"/>
              </w:rPr>
              <w:t xml:space="preserve">ci</w:t>
            </w:r>
            <w:r>
              <w:rPr>
                <w:rFonts w:ascii="Times New Roman" w:cs="Times New Roman" w:eastAsia="Times New Roman" w:hAnsi="Times New Roman"/>
                <w:b w:val="false"/>
                <w:bCs w:val="false"/>
                <w:i w:val="false"/>
                <w:iCs w:val="false"/>
                <w:sz w:val="20"/>
                <w:szCs w:val="20"/>
              </w:rPr>
              <w:t xml:space="preserve">, then normalize: </w:t>
            </w:r>
            <w:r>
              <w:rPr>
                <w:rFonts w:ascii="Times New Roman" w:cs="Times New Roman" w:eastAsia="Times New Roman" w:hAnsi="Times New Roman"/>
                <w:b w:val="false"/>
                <w:bCs w:val="false"/>
                <w:i/>
                <w:iCs/>
                <w:sz w:val="20"/>
                <w:szCs w:val="20"/>
              </w:rPr>
              <w:t xml:space="preserve">w</w:t>
            </w:r>
            <w:r>
              <w:rPr>
                <w:rFonts w:ascii="Times New Roman" w:cs="Times New Roman" w:eastAsia="Times New Roman" w:hAnsi="Times New Roman"/>
                <w:b w:val="false"/>
                <w:bCs w:val="false"/>
                <w:i/>
                <w:iCs/>
                <w:sz w:val="20"/>
                <w:szCs w:val="20"/>
                <w:vertAlign w:val="subscript"/>
              </w:rPr>
              <w:t xml:space="preserve">ci</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val="false"/>
                <w:bCs w:val="false"/>
                <w:i/>
                <w:iCs/>
                <w:sz w:val="20"/>
                <w:szCs w:val="20"/>
              </w:rPr>
              <w:t xml:space="preserve">w</w:t>
            </w:r>
            <w:r>
              <w:rPr>
                <w:rFonts w:ascii="Times New Roman" w:cs="Times New Roman" w:eastAsia="Times New Roman" w:hAnsi="Times New Roman"/>
                <w:b w:val="false"/>
                <w:bCs w:val="false"/>
                <w:i/>
                <w:iCs/>
                <w:sz w:val="20"/>
                <w:szCs w:val="20"/>
                <w:vertAlign w:val="subscript"/>
              </w:rPr>
              <w:t xml:space="preserve">ci</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val="false"/>
                <w:bCs w:val="false"/>
                <w:i w:val="false"/>
                <w:iCs w:val="false"/>
                <w:sz w:val="20"/>
                <w:szCs w:val="20"/>
                <w:vertAlign w:val="subscript"/>
              </w:rPr>
              <w:t xml:space="preserve">i</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w</w:t>
            </w:r>
            <w:r>
              <w:rPr>
                <w:rFonts w:ascii="Times New Roman" w:cs="Times New Roman" w:eastAsia="Times New Roman" w:hAnsi="Times New Roman"/>
                <w:b w:val="false"/>
                <w:bCs w:val="false"/>
                <w:i/>
                <w:iCs/>
                <w:sz w:val="20"/>
                <w:szCs w:val="20"/>
                <w:vertAlign w:val="subscript"/>
              </w:rPr>
              <w:t xml:space="preserve">ci</w:t>
            </w:r>
            <w:r>
              <w:rPr>
                <w:rFonts w:ascii="Times New Roman" w:cs="Times New Roman" w:eastAsia="Times New Roman" w:hAnsi="Times New Roman"/>
                <w:b w:val="false"/>
                <w:bCs w:val="false"/>
                <w:i w:val="false"/>
                <w:iCs w:val="false"/>
                <w:sz w:val="20"/>
                <w:szCs w:val="20"/>
              </w:rPr>
              <w:t xml:space="preserve">|.</w:t>
            </w:r>
          </w:p>
          <w:p>
            <w:pPr>
              <w:spacing w:after="20" w:line="250"/>
              <w:ind w:left="240" w:hanging="240"/>
            </w:pPr>
            <w:r>
              <w:rPr>
                <w:rFonts w:ascii="Times New Roman" w:cs="Times New Roman" w:eastAsia="Times New Roman" w:hAnsi="Times New Roman"/>
                <w:b w:val="false"/>
                <w:bCs w:val="false"/>
                <w:i w:val="false"/>
                <w:iCs w:val="false"/>
                <w:sz w:val="20"/>
                <w:szCs w:val="20"/>
              </w:rPr>
              <w:t xml:space="preserve">7–8. Classify a test document </w:t>
            </w:r>
            <w:r>
              <w:rPr>
                <w:rFonts w:ascii="Times New Roman" w:cs="Times New Roman" w:eastAsia="Times New Roman" w:hAnsi="Times New Roman"/>
                <w:b w:val="false"/>
                <w:bCs w:val="false"/>
                <w:i/>
                <w:iCs/>
                <w:sz w:val="20"/>
                <w:szCs w:val="20"/>
              </w:rPr>
              <w:t xml:space="preserve">t</w:t>
            </w:r>
            <w:r>
              <w:rPr>
                <w:rFonts w:ascii="Times New Roman" w:cs="Times New Roman" w:eastAsia="Times New Roman" w:hAnsi="Times New Roman"/>
                <w:b w:val="false"/>
                <w:bCs w:val="false"/>
                <w:i w:val="false"/>
                <w:iCs w:val="false"/>
                <w:sz w:val="20"/>
                <w:szCs w:val="20"/>
              </w:rPr>
              <w:t xml:space="preserve"> as argmin</w:t>
            </w:r>
            <w:r>
              <w:rPr>
                <w:rFonts w:ascii="Times New Roman" w:cs="Times New Roman" w:eastAsia="Times New Roman" w:hAnsi="Times New Roman"/>
                <w:b w:val="false"/>
                <w:bCs w:val="false"/>
                <w:i w:val="false"/>
                <w:iCs w:val="false"/>
                <w:sz w:val="20"/>
                <w:szCs w:val="20"/>
                <w:vertAlign w:val="subscript"/>
              </w:rPr>
              <w:t xml:space="preserve">c</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val="false"/>
                <w:iCs w:val="false"/>
                <w:sz w:val="20"/>
                <w:szCs w:val="20"/>
                <w:vertAlign w:val="subscript"/>
              </w:rPr>
              <w:t xml:space="preserve">i</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t</w:t>
            </w:r>
            <w:r>
              <w:rPr>
                <w:rFonts w:ascii="Times New Roman" w:cs="Times New Roman" w:eastAsia="Times New Roman" w:hAnsi="Times New Roman"/>
                <w:b w:val="false"/>
                <w:bCs w:val="false"/>
                <w:i/>
                <w:iCs/>
                <w:sz w:val="20"/>
                <w:szCs w:val="20"/>
                <w:vertAlign w:val="subscript"/>
              </w:rPr>
              <w:t xml:space="preserve">i</w:t>
            </w:r>
            <w:r>
              <w:rPr>
                <w:rFonts w:ascii="Times New Roman" w:cs="Times New Roman" w:eastAsia="Times New Roman" w:hAnsi="Times New Roman"/>
                <w:b w:val="false"/>
                <w:bCs w:val="false"/>
                <w:i/>
                <w:iCs/>
                <w:sz w:val="20"/>
                <w:szCs w:val="20"/>
              </w:rPr>
              <w:t xml:space="preserve"> w</w:t>
            </w:r>
            <w:r>
              <w:rPr>
                <w:rFonts w:ascii="Times New Roman" w:cs="Times New Roman" w:eastAsia="Times New Roman" w:hAnsi="Times New Roman"/>
                <w:b w:val="false"/>
                <w:bCs w:val="false"/>
                <w:i/>
                <w:iCs/>
                <w:sz w:val="20"/>
                <w:szCs w:val="20"/>
                <w:vertAlign w:val="subscript"/>
              </w:rPr>
              <w:t xml:space="preserve">ci</w:t>
            </w:r>
            <w:r>
              <w:rPr>
                <w:rFonts w:ascii="Times New Roman" w:cs="Times New Roman" w:eastAsia="Times New Roman" w:hAnsi="Times New Roman"/>
                <w:b w:val="false"/>
                <w:bCs w:val="false"/>
                <w:i w:val="false"/>
                <w:iCs w:val="false"/>
                <w:sz w:val="20"/>
                <w:szCs w:val="20"/>
              </w:rPr>
              <w:t xml:space="preserve"> (the class whose complement it matches least).</w:t>
            </w:r>
          </w:p>
        </w:tc>
      </w:tr>
    </w:tbl>
    <w:p>
      <w:pPr>
        <w:spacing w:after="100" w:before="40"/>
        <w:jc w:val="center"/>
      </w:pPr>
      <w:r>
        <w:rPr>
          <w:rFonts w:ascii="Times New Roman" w:cs="Times New Roman" w:eastAsia="Times New Roman" w:hAnsi="Times New Roman"/>
          <w:b w:val="false"/>
          <w:bCs w:val="false"/>
          <w:i/>
          <w:iCs/>
          <w:color w:val="444444"/>
          <w:sz w:val="17"/>
          <w:szCs w:val="17"/>
        </w:rPr>
        <w:t xml:space="preserve">Algorithm adapted from Table 4 of the paper. Steps 1–3 are the text transforms; steps 4 and 6 are the systemic fixes.</w:t>
      </w:r>
    </w:p>
    <w:p>
      <w:pPr>
        <w:pStyle w:val="Heading2"/>
        <w:keepNext/>
        <w:spacing w:after="40" w:before="80"/>
      </w:pPr>
      <w:r>
        <w:rPr>
          <w:rFonts w:ascii="Arial" w:cs="Arial" w:eastAsia="Arial" w:hAnsi="Arial"/>
          <w:b/>
          <w:bCs/>
          <w:color w:val="000000"/>
          <w:sz w:val="21"/>
          <w:szCs w:val="21"/>
        </w:rPr>
        <w:t xml:space="preserve">Results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341"/>
        <w:gridCol w:w="1381"/>
        <w:gridCol w:w="1381"/>
        <w:gridCol w:w="1381"/>
        <w:gridCol w:w="1382"/>
      </w:tblGrid>
      <w:tr>
        <w:trPr>
          <w:cantSplit/>
          <w:tblHeader/>
        </w:trPr>
        <w:tc>
          <w:tcPr>
            <w:tcW w:type="dxa" w:w="4341"/>
            <w:tcBorders>
              <w:top w:val="single" w:color="9AAAC0" w:sz="4"/>
              <w:left w:val="single" w:color="9AAAC0" w:sz="4"/>
              <w:bottom w:val="single" w:color="9AAAC0" w:sz="4"/>
              <w:right w:val="single" w:color="9AAAC0" w:sz="4"/>
            </w:tcBorders>
            <w:shd w:fill="E8EEF5" w:color="auto" w:val="clear"/>
            <w:tcMar>
              <w:top w:type="dxa" w:w="40"/>
              <w:left w:type="dxa" w:w="90"/>
              <w:bottom w:type="dxa" w:w="40"/>
              <w:right w:type="dxa" w:w="90"/>
            </w:tcMar>
          </w:tcPr>
          <w:p>
            <w:pPr>
              <w:spacing w:after="0" w:line="240"/>
              <w:jc w:val="left"/>
            </w:pPr>
            <w:r>
              <w:rPr>
                <w:rFonts w:ascii="Arial" w:cs="Arial" w:eastAsia="Arial" w:hAnsi="Arial"/>
                <w:b/>
                <w:bCs/>
                <w:i w:val="false"/>
                <w:iCs w:val="false"/>
                <w:sz w:val="17"/>
                <w:szCs w:val="17"/>
              </w:rPr>
              <w:t xml:space="preserve">Dataset (metric)</w:t>
            </w:r>
          </w:p>
        </w:tc>
        <w:tc>
          <w:tcPr>
            <w:tcW w:type="dxa" w:w="1381"/>
            <w:tcBorders>
              <w:top w:val="single" w:color="9AAAC0" w:sz="4"/>
              <w:left w:val="single" w:color="9AAAC0" w:sz="4"/>
              <w:bottom w:val="single" w:color="9AAAC0" w:sz="4"/>
              <w:right w:val="single" w:color="9AAAC0" w:sz="4"/>
            </w:tcBorders>
            <w:shd w:fill="E8EEF5" w:color="auto" w:val="clear"/>
            <w:tcMar>
              <w:top w:type="dxa" w:w="40"/>
              <w:left w:type="dxa" w:w="90"/>
              <w:bottom w:type="dxa" w:w="40"/>
              <w:right w:type="dxa" w:w="90"/>
            </w:tcMar>
          </w:tcPr>
          <w:p>
            <w:pPr>
              <w:spacing w:after="0" w:line="240"/>
              <w:jc w:val="center"/>
            </w:pPr>
            <w:r>
              <w:rPr>
                <w:rFonts w:ascii="Arial" w:cs="Arial" w:eastAsia="Arial" w:hAnsi="Arial"/>
                <w:b/>
                <w:bCs/>
                <w:i w:val="false"/>
                <w:iCs w:val="false"/>
                <w:sz w:val="17"/>
                <w:szCs w:val="17"/>
              </w:rPr>
              <w:t xml:space="preserve">MNB</w:t>
            </w:r>
          </w:p>
        </w:tc>
        <w:tc>
          <w:tcPr>
            <w:tcW w:type="dxa" w:w="1381"/>
            <w:tcBorders>
              <w:top w:val="single" w:color="9AAAC0" w:sz="4"/>
              <w:left w:val="single" w:color="9AAAC0" w:sz="4"/>
              <w:bottom w:val="single" w:color="9AAAC0" w:sz="4"/>
              <w:right w:val="single" w:color="9AAAC0" w:sz="4"/>
            </w:tcBorders>
            <w:shd w:fill="E8EEF5" w:color="auto" w:val="clear"/>
            <w:tcMar>
              <w:top w:type="dxa" w:w="40"/>
              <w:left w:type="dxa" w:w="90"/>
              <w:bottom w:type="dxa" w:w="40"/>
              <w:right w:type="dxa" w:w="90"/>
            </w:tcMar>
          </w:tcPr>
          <w:p>
            <w:pPr>
              <w:spacing w:after="0" w:line="240"/>
              <w:jc w:val="center"/>
            </w:pPr>
            <w:r>
              <w:rPr>
                <w:rFonts w:ascii="Arial" w:cs="Arial" w:eastAsia="Arial" w:hAnsi="Arial"/>
                <w:b/>
                <w:bCs/>
                <w:i w:val="false"/>
                <w:iCs w:val="false"/>
                <w:sz w:val="17"/>
                <w:szCs w:val="17"/>
              </w:rPr>
              <w:t xml:space="preserve">WCNB</w:t>
            </w:r>
          </w:p>
        </w:tc>
        <w:tc>
          <w:tcPr>
            <w:tcW w:type="dxa" w:w="1381"/>
            <w:tcBorders>
              <w:top w:val="single" w:color="9AAAC0" w:sz="4"/>
              <w:left w:val="single" w:color="9AAAC0" w:sz="4"/>
              <w:bottom w:val="single" w:color="9AAAC0" w:sz="4"/>
              <w:right w:val="single" w:color="9AAAC0" w:sz="4"/>
            </w:tcBorders>
            <w:shd w:fill="E8EEF5" w:color="auto" w:val="clear"/>
            <w:tcMar>
              <w:top w:type="dxa" w:w="40"/>
              <w:left w:type="dxa" w:w="90"/>
              <w:bottom w:type="dxa" w:w="40"/>
              <w:right w:type="dxa" w:w="90"/>
            </w:tcMar>
          </w:tcPr>
          <w:p>
            <w:pPr>
              <w:spacing w:after="0" w:line="240"/>
              <w:jc w:val="center"/>
            </w:pPr>
            <w:r>
              <w:rPr>
                <w:rFonts w:ascii="Arial" w:cs="Arial" w:eastAsia="Arial" w:hAnsi="Arial"/>
                <w:b/>
                <w:bCs/>
                <w:i w:val="false"/>
                <w:iCs w:val="false"/>
                <w:sz w:val="17"/>
                <w:szCs w:val="17"/>
              </w:rPr>
              <w:t xml:space="preserve">TWCNB</w:t>
            </w:r>
          </w:p>
        </w:tc>
        <w:tc>
          <w:tcPr>
            <w:tcW w:type="dxa" w:w="1382"/>
            <w:tcBorders>
              <w:top w:val="single" w:color="9AAAC0" w:sz="4"/>
              <w:left w:val="single" w:color="9AAAC0" w:sz="4"/>
              <w:bottom w:val="single" w:color="9AAAC0" w:sz="4"/>
              <w:right w:val="single" w:color="9AAAC0" w:sz="4"/>
            </w:tcBorders>
            <w:shd w:fill="E8EEF5" w:color="auto" w:val="clear"/>
            <w:tcMar>
              <w:top w:type="dxa" w:w="40"/>
              <w:left w:type="dxa" w:w="90"/>
              <w:bottom w:type="dxa" w:w="40"/>
              <w:right w:type="dxa" w:w="90"/>
            </w:tcMar>
          </w:tcPr>
          <w:p>
            <w:pPr>
              <w:spacing w:after="0" w:line="240"/>
              <w:jc w:val="center"/>
            </w:pPr>
            <w:r>
              <w:rPr>
                <w:rFonts w:ascii="Arial" w:cs="Arial" w:eastAsia="Arial" w:hAnsi="Arial"/>
                <w:b/>
                <w:bCs/>
                <w:i w:val="false"/>
                <w:iCs w:val="false"/>
                <w:sz w:val="17"/>
                <w:szCs w:val="17"/>
              </w:rPr>
              <w:t xml:space="preserve">SVM</w:t>
            </w:r>
          </w:p>
        </w:tc>
      </w:tr>
      <w:tr>
        <w:trPr>
          <w:cantSplit/>
          <w:tblHeader w:val="false"/>
        </w:trPr>
        <w:tc>
          <w:tcPr>
            <w:tcW w:type="dxa" w:w="4341"/>
            <w:tcBorders>
              <w:top w:val="single" w:color="9AAAC0" w:sz="4"/>
              <w:left w:val="single" w:color="9AAAC0" w:sz="4"/>
              <w:bottom w:val="single" w:color="9AAAC0" w:sz="4"/>
              <w:right w:val="single" w:color="9AAAC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18"/>
                <w:szCs w:val="18"/>
              </w:rPr>
              <w:t xml:space="preserve">Industry Sector (accuracy)</w:t>
            </w:r>
          </w:p>
        </w:tc>
        <w:tc>
          <w:tcPr>
            <w:tcW w:type="dxa" w:w="1381"/>
            <w:tcBorders>
              <w:top w:val="single" w:color="9AAAC0" w:sz="4"/>
              <w:left w:val="single" w:color="9AAAC0" w:sz="4"/>
              <w:bottom w:val="single" w:color="9AAAC0" w:sz="4"/>
              <w:right w:val="single" w:color="9AAAC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i w:val="false"/>
                <w:iCs w:val="false"/>
                <w:sz w:val="18"/>
                <w:szCs w:val="18"/>
              </w:rPr>
              <w:t xml:space="preserve">0.582</w:t>
            </w:r>
          </w:p>
        </w:tc>
        <w:tc>
          <w:tcPr>
            <w:tcW w:type="dxa" w:w="1381"/>
            <w:tcBorders>
              <w:top w:val="single" w:color="9AAAC0" w:sz="4"/>
              <w:left w:val="single" w:color="9AAAC0" w:sz="4"/>
              <w:bottom w:val="single" w:color="9AAAC0" w:sz="4"/>
              <w:right w:val="single" w:color="9AAAC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i w:val="false"/>
                <w:iCs w:val="false"/>
                <w:sz w:val="18"/>
                <w:szCs w:val="18"/>
              </w:rPr>
              <w:t xml:space="preserve">0.889</w:t>
            </w:r>
          </w:p>
        </w:tc>
        <w:tc>
          <w:tcPr>
            <w:tcW w:type="dxa" w:w="1381"/>
            <w:tcBorders>
              <w:top w:val="single" w:color="9AAAC0" w:sz="4"/>
              <w:left w:val="single" w:color="9AAAC0" w:sz="4"/>
              <w:bottom w:val="single" w:color="9AAAC0" w:sz="4"/>
              <w:right w:val="single" w:color="9AAAC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i w:val="false"/>
                <w:iCs w:val="false"/>
                <w:sz w:val="18"/>
                <w:szCs w:val="18"/>
              </w:rPr>
              <w:t xml:space="preserve">0.923</w:t>
            </w:r>
          </w:p>
        </w:tc>
        <w:tc>
          <w:tcPr>
            <w:tcW w:type="dxa" w:w="1382"/>
            <w:tcBorders>
              <w:top w:val="single" w:color="9AAAC0" w:sz="4"/>
              <w:left w:val="single" w:color="9AAAC0" w:sz="4"/>
              <w:bottom w:val="single" w:color="9AAAC0" w:sz="4"/>
              <w:right w:val="single" w:color="9AAAC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i w:val="false"/>
                <w:iCs w:val="false"/>
                <w:sz w:val="18"/>
                <w:szCs w:val="18"/>
              </w:rPr>
              <w:t xml:space="preserve">0.934</w:t>
            </w:r>
          </w:p>
        </w:tc>
      </w:tr>
      <w:tr>
        <w:trPr>
          <w:cantSplit/>
          <w:tblHeader w:val="false"/>
        </w:trPr>
        <w:tc>
          <w:tcPr>
            <w:tcW w:type="dxa" w:w="4341"/>
            <w:tcBorders>
              <w:top w:val="single" w:color="9AAAC0" w:sz="4"/>
              <w:left w:val="single" w:color="9AAAC0" w:sz="4"/>
              <w:bottom w:val="single" w:color="9AAAC0" w:sz="4"/>
              <w:right w:val="single" w:color="9AAAC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18"/>
                <w:szCs w:val="18"/>
              </w:rPr>
              <w:t xml:space="preserve">20 Newsgroups (accuracy)</w:t>
            </w:r>
          </w:p>
        </w:tc>
        <w:tc>
          <w:tcPr>
            <w:tcW w:type="dxa" w:w="1381"/>
            <w:tcBorders>
              <w:top w:val="single" w:color="9AAAC0" w:sz="4"/>
              <w:left w:val="single" w:color="9AAAC0" w:sz="4"/>
              <w:bottom w:val="single" w:color="9AAAC0" w:sz="4"/>
              <w:right w:val="single" w:color="9AAAC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i w:val="false"/>
                <w:iCs w:val="false"/>
                <w:sz w:val="18"/>
                <w:szCs w:val="18"/>
              </w:rPr>
              <w:t xml:space="preserve">0.848</w:t>
            </w:r>
          </w:p>
        </w:tc>
        <w:tc>
          <w:tcPr>
            <w:tcW w:type="dxa" w:w="1381"/>
            <w:tcBorders>
              <w:top w:val="single" w:color="9AAAC0" w:sz="4"/>
              <w:left w:val="single" w:color="9AAAC0" w:sz="4"/>
              <w:bottom w:val="single" w:color="9AAAC0" w:sz="4"/>
              <w:right w:val="single" w:color="9AAAC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i w:val="false"/>
                <w:iCs w:val="false"/>
                <w:sz w:val="18"/>
                <w:szCs w:val="18"/>
              </w:rPr>
              <w:t xml:space="preserve">0.857</w:t>
            </w:r>
          </w:p>
        </w:tc>
        <w:tc>
          <w:tcPr>
            <w:tcW w:type="dxa" w:w="1381"/>
            <w:tcBorders>
              <w:top w:val="single" w:color="9AAAC0" w:sz="4"/>
              <w:left w:val="single" w:color="9AAAC0" w:sz="4"/>
              <w:bottom w:val="single" w:color="9AAAC0" w:sz="4"/>
              <w:right w:val="single" w:color="9AAAC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i w:val="false"/>
                <w:iCs w:val="false"/>
                <w:sz w:val="18"/>
                <w:szCs w:val="18"/>
              </w:rPr>
              <w:t xml:space="preserve">0.861</w:t>
            </w:r>
          </w:p>
        </w:tc>
        <w:tc>
          <w:tcPr>
            <w:tcW w:type="dxa" w:w="1382"/>
            <w:tcBorders>
              <w:top w:val="single" w:color="9AAAC0" w:sz="4"/>
              <w:left w:val="single" w:color="9AAAC0" w:sz="4"/>
              <w:bottom w:val="single" w:color="9AAAC0" w:sz="4"/>
              <w:right w:val="single" w:color="9AAAC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i w:val="false"/>
                <w:iCs w:val="false"/>
                <w:sz w:val="18"/>
                <w:szCs w:val="18"/>
              </w:rPr>
              <w:t xml:space="preserve">0.862</w:t>
            </w:r>
          </w:p>
        </w:tc>
      </w:tr>
      <w:tr>
        <w:trPr>
          <w:cantSplit/>
          <w:tblHeader w:val="false"/>
        </w:trPr>
        <w:tc>
          <w:tcPr>
            <w:tcW w:type="dxa" w:w="4341"/>
            <w:tcBorders>
              <w:top w:val="single" w:color="9AAAC0" w:sz="4"/>
              <w:left w:val="single" w:color="9AAAC0" w:sz="4"/>
              <w:bottom w:val="single" w:color="9AAAC0" w:sz="4"/>
              <w:right w:val="single" w:color="9AAAC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18"/>
                <w:szCs w:val="18"/>
              </w:rPr>
              <w:t xml:space="preserve">Reuters-21578, micro (P/R breakeven)</w:t>
            </w:r>
          </w:p>
        </w:tc>
        <w:tc>
          <w:tcPr>
            <w:tcW w:type="dxa" w:w="1381"/>
            <w:tcBorders>
              <w:top w:val="single" w:color="9AAAC0" w:sz="4"/>
              <w:left w:val="single" w:color="9AAAC0" w:sz="4"/>
              <w:bottom w:val="single" w:color="9AAAC0" w:sz="4"/>
              <w:right w:val="single" w:color="9AAAC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i w:val="false"/>
                <w:iCs w:val="false"/>
                <w:sz w:val="18"/>
                <w:szCs w:val="18"/>
              </w:rPr>
              <w:t xml:space="preserve">0.739</w:t>
            </w:r>
          </w:p>
        </w:tc>
        <w:tc>
          <w:tcPr>
            <w:tcW w:type="dxa" w:w="1381"/>
            <w:tcBorders>
              <w:top w:val="single" w:color="9AAAC0" w:sz="4"/>
              <w:left w:val="single" w:color="9AAAC0" w:sz="4"/>
              <w:bottom w:val="single" w:color="9AAAC0" w:sz="4"/>
              <w:right w:val="single" w:color="9AAAC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i w:val="false"/>
                <w:iCs w:val="false"/>
                <w:sz w:val="18"/>
                <w:szCs w:val="18"/>
              </w:rPr>
              <w:t xml:space="preserve">0.782</w:t>
            </w:r>
          </w:p>
        </w:tc>
        <w:tc>
          <w:tcPr>
            <w:tcW w:type="dxa" w:w="1381"/>
            <w:tcBorders>
              <w:top w:val="single" w:color="9AAAC0" w:sz="4"/>
              <w:left w:val="single" w:color="9AAAC0" w:sz="4"/>
              <w:bottom w:val="single" w:color="9AAAC0" w:sz="4"/>
              <w:right w:val="single" w:color="9AAAC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i w:val="false"/>
                <w:iCs w:val="false"/>
                <w:sz w:val="18"/>
                <w:szCs w:val="18"/>
              </w:rPr>
              <w:t xml:space="preserve">0.844</w:t>
            </w:r>
          </w:p>
        </w:tc>
        <w:tc>
          <w:tcPr>
            <w:tcW w:type="dxa" w:w="1382"/>
            <w:tcBorders>
              <w:top w:val="single" w:color="9AAAC0" w:sz="4"/>
              <w:left w:val="single" w:color="9AAAC0" w:sz="4"/>
              <w:bottom w:val="single" w:color="9AAAC0" w:sz="4"/>
              <w:right w:val="single" w:color="9AAAC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i w:val="false"/>
                <w:iCs w:val="false"/>
                <w:sz w:val="18"/>
                <w:szCs w:val="18"/>
              </w:rPr>
              <w:t xml:space="preserve">0.887</w:t>
            </w:r>
          </w:p>
        </w:tc>
      </w:tr>
      <w:tr>
        <w:trPr>
          <w:cantSplit/>
          <w:tblHeader w:val="false"/>
        </w:trPr>
        <w:tc>
          <w:tcPr>
            <w:tcW w:type="dxa" w:w="4341"/>
            <w:tcBorders>
              <w:top w:val="single" w:color="9AAAC0" w:sz="4"/>
              <w:left w:val="single" w:color="9AAAC0" w:sz="4"/>
              <w:bottom w:val="single" w:color="9AAAC0" w:sz="4"/>
              <w:right w:val="single" w:color="9AAAC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18"/>
                <w:szCs w:val="18"/>
              </w:rPr>
              <w:t xml:space="preserve">Reuters-21578, macro (P/R breakeven)</w:t>
            </w:r>
          </w:p>
        </w:tc>
        <w:tc>
          <w:tcPr>
            <w:tcW w:type="dxa" w:w="1381"/>
            <w:tcBorders>
              <w:top w:val="single" w:color="9AAAC0" w:sz="4"/>
              <w:left w:val="single" w:color="9AAAC0" w:sz="4"/>
              <w:bottom w:val="single" w:color="9AAAC0" w:sz="4"/>
              <w:right w:val="single" w:color="9AAAC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i w:val="false"/>
                <w:iCs w:val="false"/>
                <w:sz w:val="18"/>
                <w:szCs w:val="18"/>
              </w:rPr>
              <w:t xml:space="preserve">0.270</w:t>
            </w:r>
          </w:p>
        </w:tc>
        <w:tc>
          <w:tcPr>
            <w:tcW w:type="dxa" w:w="1381"/>
            <w:tcBorders>
              <w:top w:val="single" w:color="9AAAC0" w:sz="4"/>
              <w:left w:val="single" w:color="9AAAC0" w:sz="4"/>
              <w:bottom w:val="single" w:color="9AAAC0" w:sz="4"/>
              <w:right w:val="single" w:color="9AAAC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i w:val="false"/>
                <w:iCs w:val="false"/>
                <w:sz w:val="18"/>
                <w:szCs w:val="18"/>
              </w:rPr>
              <w:t xml:space="preserve">0.548</w:t>
            </w:r>
          </w:p>
        </w:tc>
        <w:tc>
          <w:tcPr>
            <w:tcW w:type="dxa" w:w="1381"/>
            <w:tcBorders>
              <w:top w:val="single" w:color="9AAAC0" w:sz="4"/>
              <w:left w:val="single" w:color="9AAAC0" w:sz="4"/>
              <w:bottom w:val="single" w:color="9AAAC0" w:sz="4"/>
              <w:right w:val="single" w:color="9AAAC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i w:val="false"/>
                <w:iCs w:val="false"/>
                <w:sz w:val="18"/>
                <w:szCs w:val="18"/>
              </w:rPr>
              <w:t xml:space="preserve">0.647</w:t>
            </w:r>
          </w:p>
        </w:tc>
        <w:tc>
          <w:tcPr>
            <w:tcW w:type="dxa" w:w="1382"/>
            <w:tcBorders>
              <w:top w:val="single" w:color="9AAAC0" w:sz="4"/>
              <w:left w:val="single" w:color="9AAAC0" w:sz="4"/>
              <w:bottom w:val="single" w:color="9AAAC0" w:sz="4"/>
              <w:right w:val="single" w:color="9AAAC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i w:val="false"/>
                <w:iCs w:val="false"/>
                <w:sz w:val="18"/>
                <w:szCs w:val="18"/>
              </w:rPr>
              <w:t xml:space="preserve">0.694</w:t>
            </w:r>
          </w:p>
        </w:tc>
      </w:tr>
    </w:tbl>
    <w:p>
      <w:pPr>
        <w:spacing w:after="100" w:before="40"/>
        <w:jc w:val="center"/>
      </w:pPr>
      <w:r>
        <w:rPr>
          <w:rFonts w:ascii="Times New Roman" w:cs="Times New Roman" w:eastAsia="Times New Roman" w:hAnsi="Times New Roman"/>
          <w:b w:val="false"/>
          <w:bCs w:val="false"/>
          <w:i/>
          <w:iCs/>
          <w:color w:val="444444"/>
          <w:sz w:val="17"/>
          <w:szCs w:val="17"/>
        </w:rPr>
        <w:t xml:space="preserve">Table 1. Results reported in the paper (its Tables 2 and 3). The SVM used the same text transforms.</w:t>
      </w:r>
    </w:p>
    <w:p>
      <w:pPr>
        <w:spacing w:after="80" w:before="0" w:line="264"/>
        <w:jc w:val="both"/>
      </w:pPr>
      <w:r>
        <w:rPr>
          <w:rFonts w:ascii="Times New Roman" w:cs="Times New Roman" w:eastAsia="Times New Roman" w:hAnsi="Times New Roman"/>
          <w:b w:val="false"/>
          <w:bCs w:val="false"/>
          <w:i w:val="false"/>
          <w:iCs w:val="false"/>
          <w:sz w:val="21"/>
          <w:szCs w:val="21"/>
        </w:rPr>
        <w:t xml:space="preserve">TWCNB greatly improves on MNB and comes close to the SVM while remaining much faster and simpler. The largest gains are on the imbalanced datasets (Industry Sector, Reuters), and the jump in Reuters </w:t>
      </w:r>
      <w:r>
        <w:rPr>
          <w:rFonts w:ascii="Times New Roman" w:cs="Times New Roman" w:eastAsia="Times New Roman" w:hAnsi="Times New Roman"/>
          <w:b w:val="false"/>
          <w:bCs w:val="false"/>
          <w:i/>
          <w:iCs/>
          <w:sz w:val="21"/>
          <w:szCs w:val="21"/>
        </w:rPr>
        <w:t xml:space="preserve">macro</w:t>
      </w:r>
      <w:r>
        <w:rPr>
          <w:rFonts w:ascii="Times New Roman" w:cs="Times New Roman" w:eastAsia="Times New Roman" w:hAnsi="Times New Roman"/>
          <w:b w:val="false"/>
          <w:bCs w:val="false"/>
          <w:i w:val="false"/>
          <w:iCs w:val="false"/>
          <w:sz w:val="21"/>
          <w:szCs w:val="21"/>
        </w:rPr>
        <w:t xml:space="preserve"> score shows that small classes benefit most. Among the transforms, length normalization helped most, then the log transform; IDF mattered least. </w:t>
      </w:r>
      <w:r>
        <w:rPr>
          <w:rFonts w:ascii="Times New Roman" w:cs="Times New Roman" w:eastAsia="Times New Roman" w:hAnsi="Times New Roman"/>
          <w:b/>
          <w:bCs/>
          <w:i w:val="false"/>
          <w:iCs w:val="false"/>
          <w:sz w:val="21"/>
          <w:szCs w:val="21"/>
        </w:rPr>
        <w:t xml:space="preserve">Limitation:</w:t>
      </w:r>
      <w:r>
        <w:rPr>
          <w:rFonts w:ascii="Times New Roman" w:cs="Times New Roman" w:eastAsia="Times New Roman" w:hAnsi="Times New Roman"/>
          <w:b w:val="false"/>
          <w:bCs w:val="false"/>
          <w:i w:val="false"/>
          <w:iCs w:val="false"/>
          <w:sz w:val="21"/>
          <w:szCs w:val="21"/>
        </w:rPr>
        <w:t xml:space="preserve"> after these changes the model is no longer a true generative probability model, so techniques such as EM for unlabeled data can no longer be applied.</w:t>
      </w:r>
    </w:p>
    <w:p>
      <w:pPr>
        <w:pStyle w:val="Heading1"/>
        <w:spacing w:after="60" w:before="160"/>
      </w:pPr>
      <w:r>
        <w:rPr>
          <w:rFonts w:ascii="Arial" w:cs="Arial" w:eastAsia="Arial" w:hAnsi="Arial"/>
          <w:b/>
          <w:bCs/>
          <w:color w:val="1F3A5F"/>
          <w:sz w:val="24"/>
          <w:szCs w:val="24"/>
        </w:rPr>
        <w:t xml:space="preserve">2. Mapping to the Course Syllabus</w:t>
      </w:r>
    </w:p>
    <w:p>
      <w:pPr>
        <w:spacing w:after="80" w:before="0" w:line="264"/>
        <w:jc w:val="both"/>
      </w:pPr>
      <w:r>
        <w:rPr>
          <w:rFonts w:ascii="Times New Roman" w:cs="Times New Roman" w:eastAsia="Times New Roman" w:hAnsi="Times New Roman"/>
          <w:b w:val="false"/>
          <w:bCs w:val="false"/>
          <w:i w:val="false"/>
          <w:iCs w:val="false"/>
          <w:sz w:val="21"/>
          <w:szCs w:val="21"/>
        </w:rPr>
        <w:t xml:space="preserve">The paper touches every module of the syllabus. Table 2 connects each idea in the paper to what we have studied in class.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762"/>
        <w:gridCol w:w="2467"/>
        <w:gridCol w:w="4637"/>
      </w:tblGrid>
      <w:tr>
        <w:trPr>
          <w:cantSplit/>
          <w:tblHeader/>
        </w:trPr>
        <w:tc>
          <w:tcPr>
            <w:tcW w:type="dxa" w:w="2762"/>
            <w:tcBorders>
              <w:top w:val="single" w:color="9AAAC0" w:sz="4"/>
              <w:left w:val="single" w:color="9AAAC0" w:sz="4"/>
              <w:bottom w:val="single" w:color="9AAAC0" w:sz="4"/>
              <w:right w:val="single" w:color="9AAAC0" w:sz="4"/>
            </w:tcBorders>
            <w:shd w:fill="E8EEF5" w:color="auto" w:val="clear"/>
            <w:tcMar>
              <w:top w:type="dxa" w:w="40"/>
              <w:left w:type="dxa" w:w="90"/>
              <w:bottom w:type="dxa" w:w="40"/>
              <w:right w:type="dxa" w:w="90"/>
            </w:tcMar>
          </w:tcPr>
          <w:p>
            <w:pPr>
              <w:spacing w:after="0" w:line="240"/>
              <w:jc w:val="left"/>
            </w:pPr>
            <w:r>
              <w:rPr>
                <w:rFonts w:ascii="Arial" w:cs="Arial" w:eastAsia="Arial" w:hAnsi="Arial"/>
                <w:b/>
                <w:bCs/>
                <w:i w:val="false"/>
                <w:iCs w:val="false"/>
                <w:sz w:val="17"/>
                <w:szCs w:val="17"/>
              </w:rPr>
              <w:t xml:space="preserve">Idea in the paper</w:t>
            </w:r>
          </w:p>
        </w:tc>
        <w:tc>
          <w:tcPr>
            <w:tcW w:type="dxa" w:w="2467"/>
            <w:tcBorders>
              <w:top w:val="single" w:color="9AAAC0" w:sz="4"/>
              <w:left w:val="single" w:color="9AAAC0" w:sz="4"/>
              <w:bottom w:val="single" w:color="9AAAC0" w:sz="4"/>
              <w:right w:val="single" w:color="9AAAC0" w:sz="4"/>
            </w:tcBorders>
            <w:shd w:fill="E8EEF5" w:color="auto" w:val="clear"/>
            <w:tcMar>
              <w:top w:type="dxa" w:w="40"/>
              <w:left w:type="dxa" w:w="90"/>
              <w:bottom w:type="dxa" w:w="40"/>
              <w:right w:type="dxa" w:w="90"/>
            </w:tcMar>
          </w:tcPr>
          <w:p>
            <w:pPr>
              <w:spacing w:after="0" w:line="240"/>
              <w:jc w:val="left"/>
            </w:pPr>
            <w:r>
              <w:rPr>
                <w:rFonts w:ascii="Arial" w:cs="Arial" w:eastAsia="Arial" w:hAnsi="Arial"/>
                <w:b/>
                <w:bCs/>
                <w:i w:val="false"/>
                <w:iCs w:val="false"/>
                <w:sz w:val="17"/>
                <w:szCs w:val="17"/>
              </w:rPr>
              <w:t xml:space="preserve">Syllabus topic (Module)</w:t>
            </w:r>
          </w:p>
        </w:tc>
        <w:tc>
          <w:tcPr>
            <w:tcW w:type="dxa" w:w="4637"/>
            <w:tcBorders>
              <w:top w:val="single" w:color="9AAAC0" w:sz="4"/>
              <w:left w:val="single" w:color="9AAAC0" w:sz="4"/>
              <w:bottom w:val="single" w:color="9AAAC0" w:sz="4"/>
              <w:right w:val="single" w:color="9AAAC0" w:sz="4"/>
            </w:tcBorders>
            <w:shd w:fill="E8EEF5" w:color="auto" w:val="clear"/>
            <w:tcMar>
              <w:top w:type="dxa" w:w="40"/>
              <w:left w:type="dxa" w:w="90"/>
              <w:bottom w:type="dxa" w:w="40"/>
              <w:right w:type="dxa" w:w="90"/>
            </w:tcMar>
          </w:tcPr>
          <w:p>
            <w:pPr>
              <w:spacing w:after="0" w:line="240"/>
              <w:jc w:val="left"/>
            </w:pPr>
            <w:r>
              <w:rPr>
                <w:rFonts w:ascii="Arial" w:cs="Arial" w:eastAsia="Arial" w:hAnsi="Arial"/>
                <w:b/>
                <w:bCs/>
                <w:i w:val="false"/>
                <w:iCs w:val="false"/>
                <w:sz w:val="17"/>
                <w:szCs w:val="17"/>
              </w:rPr>
              <w:t xml:space="preserve">Connection</w:t>
            </w:r>
          </w:p>
        </w:tc>
      </w:tr>
      <w:tr>
        <w:trPr>
          <w:cantSplit/>
          <w:tblHeader w:val="false"/>
        </w:trPr>
        <w:tc>
          <w:tcPr>
            <w:tcW w:type="dxa" w:w="2762"/>
            <w:tcBorders>
              <w:top w:val="single" w:color="9AAAC0" w:sz="4"/>
              <w:left w:val="single" w:color="9AAAC0" w:sz="4"/>
              <w:bottom w:val="single" w:color="9AAAC0" w:sz="4"/>
              <w:right w:val="single" w:color="9AAAC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18"/>
                <w:szCs w:val="18"/>
              </w:rPr>
              <w:t xml:space="preserve">Multinomial Naive Bayes and the minimum-error (maximum posterior) rule</w:t>
            </w:r>
          </w:p>
        </w:tc>
        <w:tc>
          <w:tcPr>
            <w:tcW w:type="dxa" w:w="2467"/>
            <w:tcBorders>
              <w:top w:val="single" w:color="9AAAC0" w:sz="4"/>
              <w:left w:val="single" w:color="9AAAC0" w:sz="4"/>
              <w:bottom w:val="single" w:color="9AAAC0" w:sz="4"/>
              <w:right w:val="single" w:color="9AAAC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18"/>
                <w:szCs w:val="18"/>
              </w:rPr>
              <w:t xml:space="preserve">Supervised learning: Bayesian classification (M2)</w:t>
            </w:r>
          </w:p>
        </w:tc>
        <w:tc>
          <w:tcPr>
            <w:tcW w:type="dxa" w:w="4637"/>
            <w:tcBorders>
              <w:top w:val="single" w:color="9AAAC0" w:sz="4"/>
              <w:left w:val="single" w:color="9AAAC0" w:sz="4"/>
              <w:bottom w:val="single" w:color="9AAAC0" w:sz="4"/>
              <w:right w:val="single" w:color="9AAAC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18"/>
                <w:szCs w:val="18"/>
              </w:rPr>
              <w:t xml:space="preserve">The base algorithm being improved. It is also the Module 2 lab exercise: “Implementation of Naive Bayes Classifier.”</w:t>
            </w:r>
          </w:p>
        </w:tc>
      </w:tr>
      <w:tr>
        <w:trPr>
          <w:cantSplit/>
          <w:tblHeader w:val="false"/>
        </w:trPr>
        <w:tc>
          <w:tcPr>
            <w:tcW w:type="dxa" w:w="2762"/>
            <w:tcBorders>
              <w:top w:val="single" w:color="9AAAC0" w:sz="4"/>
              <w:left w:val="single" w:color="9AAAC0" w:sz="4"/>
              <w:bottom w:val="single" w:color="9AAAC0" w:sz="4"/>
              <w:right w:val="single" w:color="9AAAC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18"/>
                <w:szCs w:val="18"/>
              </w:rPr>
              <w:t xml:space="preserve">Parameter estimates θ</w:t>
            </w:r>
            <w:r>
              <w:rPr>
                <w:rFonts w:ascii="Times New Roman" w:cs="Times New Roman" w:eastAsia="Times New Roman" w:hAnsi="Times New Roman"/>
                <w:b w:val="false"/>
                <w:bCs w:val="false"/>
                <w:i w:val="false"/>
                <w:iCs w:val="false"/>
                <w:sz w:val="18"/>
                <w:szCs w:val="18"/>
                <w:vertAlign w:val="subscript"/>
              </w:rPr>
              <w:t xml:space="preserve">ci</w:t>
            </w:r>
            <w:r>
              <w:rPr>
                <w:rFonts w:ascii="Times New Roman" w:cs="Times New Roman" w:eastAsia="Times New Roman" w:hAnsi="Times New Roman"/>
                <w:b w:val="false"/>
                <w:bCs w:val="false"/>
                <w:i w:val="false"/>
                <w:iCs w:val="false"/>
                <w:sz w:val="18"/>
                <w:szCs w:val="18"/>
              </w:rPr>
              <w:t xml:space="preserve"> = (N</w:t>
            </w:r>
            <w:r>
              <w:rPr>
                <w:rFonts w:ascii="Times New Roman" w:cs="Times New Roman" w:eastAsia="Times New Roman" w:hAnsi="Times New Roman"/>
                <w:b w:val="false"/>
                <w:bCs w:val="false"/>
                <w:i w:val="false"/>
                <w:iCs w:val="false"/>
                <w:sz w:val="18"/>
                <w:szCs w:val="18"/>
                <w:vertAlign w:val="subscript"/>
              </w:rPr>
              <w:t xml:space="preserve">ci</w:t>
            </w:r>
            <w:r>
              <w:rPr>
                <w:rFonts w:ascii="Times New Roman" w:cs="Times New Roman" w:eastAsia="Times New Roman" w:hAnsi="Times New Roman"/>
                <w:b w:val="false"/>
                <w:bCs w:val="false"/>
                <w:i w:val="false"/>
                <w:iCs w:val="false"/>
                <w:sz w:val="18"/>
                <w:szCs w:val="18"/>
              </w:rPr>
              <w:t xml:space="preserve"> + α</w:t>
            </w:r>
            <w:r>
              <w:rPr>
                <w:rFonts w:ascii="Times New Roman" w:cs="Times New Roman" w:eastAsia="Times New Roman" w:hAnsi="Times New Roman"/>
                <w:b w:val="false"/>
                <w:bCs w:val="false"/>
                <w:i w:val="false"/>
                <w:iCs w:val="false"/>
                <w:sz w:val="18"/>
                <w:szCs w:val="18"/>
                <w:vertAlign w:val="subscript"/>
              </w:rPr>
              <w:t xml:space="preserve">i</w:t>
            </w:r>
            <w:r>
              <w:rPr>
                <w:rFonts w:ascii="Times New Roman" w:cs="Times New Roman" w:eastAsia="Times New Roman" w:hAnsi="Times New Roman"/>
                <w:b w:val="false"/>
                <w:bCs w:val="false"/>
                <w:i w:val="false"/>
                <w:iCs w:val="false"/>
                <w:sz w:val="18"/>
                <w:szCs w:val="18"/>
              </w:rPr>
              <w:t xml:space="preserve">) / (N</w:t>
            </w:r>
            <w:r>
              <w:rPr>
                <w:rFonts w:ascii="Times New Roman" w:cs="Times New Roman" w:eastAsia="Times New Roman" w:hAnsi="Times New Roman"/>
                <w:b w:val="false"/>
                <w:bCs w:val="false"/>
                <w:i w:val="false"/>
                <w:iCs w:val="false"/>
                <w:sz w:val="18"/>
                <w:szCs w:val="18"/>
                <w:vertAlign w:val="subscript"/>
              </w:rPr>
              <w:t xml:space="preserve">c</w:t>
            </w:r>
            <w:r>
              <w:rPr>
                <w:rFonts w:ascii="Times New Roman" w:cs="Times New Roman" w:eastAsia="Times New Roman" w:hAnsi="Times New Roman"/>
                <w:b w:val="false"/>
                <w:bCs w:val="false"/>
                <w:i w:val="false"/>
                <w:iCs w:val="false"/>
                <w:sz w:val="18"/>
                <w:szCs w:val="18"/>
              </w:rPr>
              <w:t xml:space="preserve"> + α)</w:t>
            </w:r>
          </w:p>
        </w:tc>
        <w:tc>
          <w:tcPr>
            <w:tcW w:type="dxa" w:w="2467"/>
            <w:tcBorders>
              <w:top w:val="single" w:color="9AAAC0" w:sz="4"/>
              <w:left w:val="single" w:color="9AAAC0" w:sz="4"/>
              <w:bottom w:val="single" w:color="9AAAC0" w:sz="4"/>
              <w:right w:val="single" w:color="9AAAC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18"/>
                <w:szCs w:val="18"/>
              </w:rPr>
              <w:t xml:space="preserve">Density estimation: Maximum Likelihood (M3)</w:t>
            </w:r>
          </w:p>
        </w:tc>
        <w:tc>
          <w:tcPr>
            <w:tcW w:type="dxa" w:w="4637"/>
            <w:tcBorders>
              <w:top w:val="single" w:color="9AAAC0" w:sz="4"/>
              <w:left w:val="single" w:color="9AAAC0" w:sz="4"/>
              <w:bottom w:val="single" w:color="9AAAC0" w:sz="4"/>
              <w:right w:val="single" w:color="9AAAC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18"/>
                <w:szCs w:val="18"/>
              </w:rPr>
              <w:t xml:space="preserve">Word probabilities are smoothed ML estimates (Laplace smoothing via a Dirichlet prior). CNB changes </w:t>
            </w:r>
            <w:r>
              <w:rPr>
                <w:rFonts w:ascii="Times New Roman" w:cs="Times New Roman" w:eastAsia="Times New Roman" w:hAnsi="Times New Roman"/>
                <w:b w:val="false"/>
                <w:bCs w:val="false"/>
                <w:i/>
                <w:iCs/>
                <w:sz w:val="18"/>
                <w:szCs w:val="18"/>
              </w:rPr>
              <w:t xml:space="preserve">which data</w:t>
            </w:r>
            <w:r>
              <w:rPr>
                <w:rFonts w:ascii="Times New Roman" w:cs="Times New Roman" w:eastAsia="Times New Roman" w:hAnsi="Times New Roman"/>
                <w:b w:val="false"/>
                <w:bCs w:val="false"/>
                <w:i w:val="false"/>
                <w:iCs w:val="false"/>
                <w:sz w:val="18"/>
                <w:szCs w:val="18"/>
              </w:rPr>
              <w:t xml:space="preserve"> the estimate uses.</w:t>
            </w:r>
          </w:p>
        </w:tc>
      </w:tr>
      <w:tr>
        <w:trPr>
          <w:cantSplit/>
          <w:tblHeader w:val="false"/>
        </w:trPr>
        <w:tc>
          <w:tcPr>
            <w:tcW w:type="dxa" w:w="2762"/>
            <w:tcBorders>
              <w:top w:val="single" w:color="9AAAC0" w:sz="4"/>
              <w:left w:val="single" w:color="9AAAC0" w:sz="4"/>
              <w:bottom w:val="single" w:color="9AAAC0" w:sz="4"/>
              <w:right w:val="single" w:color="9AAAC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18"/>
                <w:szCs w:val="18"/>
              </w:rPr>
              <w:t xml:space="preserve">NB viewed as a linear decision boundary</w:t>
            </w:r>
          </w:p>
        </w:tc>
        <w:tc>
          <w:tcPr>
            <w:tcW w:type="dxa" w:w="2467"/>
            <w:tcBorders>
              <w:top w:val="single" w:color="9AAAC0" w:sz="4"/>
              <w:left w:val="single" w:color="9AAAC0" w:sz="4"/>
              <w:bottom w:val="single" w:color="9AAAC0" w:sz="4"/>
              <w:right w:val="single" w:color="9AAAC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18"/>
                <w:szCs w:val="18"/>
              </w:rPr>
              <w:t xml:space="preserve">Perceptron (M1); linear and logistic regression (M2); SVM (M4)</w:t>
            </w:r>
          </w:p>
        </w:tc>
        <w:tc>
          <w:tcPr>
            <w:tcW w:type="dxa" w:w="4637"/>
            <w:tcBorders>
              <w:top w:val="single" w:color="9AAAC0" w:sz="4"/>
              <w:left w:val="single" w:color="9AAAC0" w:sz="4"/>
              <w:bottom w:val="single" w:color="9AAAC0" w:sz="4"/>
              <w:right w:val="single" w:color="9AAAC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18"/>
                <w:szCs w:val="18"/>
              </w:rPr>
              <w:t xml:space="preserve">Shows that NB, the perceptron, logistic regression and a linear SVM share the same boundary form; they differ only in how the weights are learned.</w:t>
            </w:r>
          </w:p>
        </w:tc>
      </w:tr>
      <w:tr>
        <w:trPr>
          <w:cantSplit/>
          <w:tblHeader w:val="false"/>
        </w:trPr>
        <w:tc>
          <w:tcPr>
            <w:tcW w:type="dxa" w:w="2762"/>
            <w:tcBorders>
              <w:top w:val="single" w:color="9AAAC0" w:sz="4"/>
              <w:left w:val="single" w:color="9AAAC0" w:sz="4"/>
              <w:bottom w:val="single" w:color="9AAAC0" w:sz="4"/>
              <w:right w:val="single" w:color="9AAAC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18"/>
                <w:szCs w:val="18"/>
              </w:rPr>
              <w:t xml:space="preserve">Skewed data bias; stable weights with more data</w:t>
            </w:r>
          </w:p>
        </w:tc>
        <w:tc>
          <w:tcPr>
            <w:tcW w:type="dxa" w:w="2467"/>
            <w:tcBorders>
              <w:top w:val="single" w:color="9AAAC0" w:sz="4"/>
              <w:left w:val="single" w:color="9AAAC0" w:sz="4"/>
              <w:bottom w:val="single" w:color="9AAAC0" w:sz="4"/>
              <w:right w:val="single" w:color="9AAAC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18"/>
                <w:szCs w:val="18"/>
              </w:rPr>
              <w:t xml:space="preserve">Generalization performance; bias–variance trade-off (M2)</w:t>
            </w:r>
          </w:p>
        </w:tc>
        <w:tc>
          <w:tcPr>
            <w:tcW w:type="dxa" w:w="4637"/>
            <w:tcBorders>
              <w:top w:val="single" w:color="9AAAC0" w:sz="4"/>
              <w:left w:val="single" w:color="9AAAC0" w:sz="4"/>
              <w:bottom w:val="single" w:color="9AAAC0" w:sz="4"/>
              <w:right w:val="single" w:color="9AAAC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18"/>
                <w:szCs w:val="18"/>
              </w:rPr>
              <w:t xml:space="preserve">A concrete case of estimator bias (via Jensen's inequality) that hurts generalization. CNB trades a slightly different estimate for lower bias and variance on small classes.</w:t>
            </w:r>
          </w:p>
        </w:tc>
      </w:tr>
      <w:tr>
        <w:trPr>
          <w:cantSplit/>
          <w:tblHeader w:val="false"/>
        </w:trPr>
        <w:tc>
          <w:tcPr>
            <w:tcW w:type="dxa" w:w="2762"/>
            <w:tcBorders>
              <w:top w:val="single" w:color="9AAAC0" w:sz="4"/>
              <w:left w:val="single" w:color="9AAAC0" w:sz="4"/>
              <w:bottom w:val="single" w:color="9AAAC0" w:sz="4"/>
              <w:right w:val="single" w:color="9AAAC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18"/>
                <w:szCs w:val="18"/>
              </w:rPr>
              <w:t xml:space="preserve">Log-TF, IDF and length-normalization transforms</w:t>
            </w:r>
          </w:p>
        </w:tc>
        <w:tc>
          <w:tcPr>
            <w:tcW w:type="dxa" w:w="2467"/>
            <w:tcBorders>
              <w:top w:val="single" w:color="9AAAC0" w:sz="4"/>
              <w:left w:val="single" w:color="9AAAC0" w:sz="4"/>
              <w:bottom w:val="single" w:color="9AAAC0" w:sz="4"/>
              <w:right w:val="single" w:color="9AAAC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18"/>
                <w:szCs w:val="18"/>
              </w:rPr>
              <w:t xml:space="preserve">Feature engineering: relevance and feature extraction (M2)</w:t>
            </w:r>
          </w:p>
        </w:tc>
        <w:tc>
          <w:tcPr>
            <w:tcW w:type="dxa" w:w="4637"/>
            <w:tcBorders>
              <w:top w:val="single" w:color="9AAAC0" w:sz="4"/>
              <w:left w:val="single" w:color="9AAAC0" w:sz="4"/>
              <w:bottom w:val="single" w:color="9AAAC0" w:sz="4"/>
              <w:right w:val="single" w:color="9AAAC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18"/>
                <w:szCs w:val="18"/>
              </w:rPr>
              <w:t xml:space="preserve">Classic feature engineering: re-scaling features so they fit the model's assumptions. IDF is a relevance weighting of features.</w:t>
            </w:r>
          </w:p>
        </w:tc>
      </w:tr>
      <w:tr>
        <w:trPr>
          <w:cantSplit/>
          <w:tblHeader w:val="false"/>
        </w:trPr>
        <w:tc>
          <w:tcPr>
            <w:tcW w:type="dxa" w:w="2762"/>
            <w:tcBorders>
              <w:top w:val="single" w:color="9AAAC0" w:sz="4"/>
              <w:left w:val="single" w:color="9AAAC0" w:sz="4"/>
              <w:bottom w:val="single" w:color="9AAAC0" w:sz="4"/>
              <w:right w:val="single" w:color="9AAAC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18"/>
                <w:szCs w:val="18"/>
              </w:rPr>
              <w:t xml:space="preserve">Weight normalization to counter the independence assumption</w:t>
            </w:r>
          </w:p>
        </w:tc>
        <w:tc>
          <w:tcPr>
            <w:tcW w:type="dxa" w:w="2467"/>
            <w:tcBorders>
              <w:top w:val="single" w:color="9AAAC0" w:sz="4"/>
              <w:left w:val="single" w:color="9AAAC0" w:sz="4"/>
              <w:bottom w:val="single" w:color="9AAAC0" w:sz="4"/>
              <w:right w:val="single" w:color="9AAAC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18"/>
                <w:szCs w:val="18"/>
              </w:rPr>
              <w:t xml:space="preserve">Feature relevance (M2); capacity control, SRM (M4)</w:t>
            </w:r>
          </w:p>
        </w:tc>
        <w:tc>
          <w:tcPr>
            <w:tcW w:type="dxa" w:w="4637"/>
            <w:tcBorders>
              <w:top w:val="single" w:color="9AAAC0" w:sz="4"/>
              <w:left w:val="single" w:color="9AAAC0" w:sz="4"/>
              <w:bottom w:val="single" w:color="9AAAC0" w:sz="4"/>
              <w:right w:val="single" w:color="9AAAC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iCs/>
                <w:sz w:val="18"/>
                <w:szCs w:val="18"/>
              </w:rPr>
              <w:t xml:space="preserve">Our interpretation:</w:t>
            </w:r>
            <w:r>
              <w:rPr>
                <w:rFonts w:ascii="Times New Roman" w:cs="Times New Roman" w:eastAsia="Times New Roman" w:hAnsi="Times New Roman"/>
                <w:b w:val="false"/>
                <w:bCs w:val="false"/>
                <w:i w:val="false"/>
                <w:iCs w:val="false"/>
                <w:sz w:val="18"/>
                <w:szCs w:val="18"/>
              </w:rPr>
              <w:t xml:space="preserve"> normalization limits how much any class's weight vector can dominate, similar in spirit to controlling model complexity.</w:t>
            </w:r>
          </w:p>
        </w:tc>
      </w:tr>
      <w:tr>
        <w:trPr>
          <w:cantSplit/>
          <w:tblHeader w:val="false"/>
        </w:trPr>
        <w:tc>
          <w:tcPr>
            <w:tcW w:type="dxa" w:w="2762"/>
            <w:tcBorders>
              <w:top w:val="single" w:color="9AAAC0" w:sz="4"/>
              <w:left w:val="single" w:color="9AAAC0" w:sz="4"/>
              <w:bottom w:val="single" w:color="9AAAC0" w:sz="4"/>
              <w:right w:val="single" w:color="9AAAC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18"/>
                <w:szCs w:val="18"/>
              </w:rPr>
              <w:t xml:space="preserve">Comparison with a linear-kernel SVM</w:t>
            </w:r>
          </w:p>
        </w:tc>
        <w:tc>
          <w:tcPr>
            <w:tcW w:type="dxa" w:w="2467"/>
            <w:tcBorders>
              <w:top w:val="single" w:color="9AAAC0" w:sz="4"/>
              <w:left w:val="single" w:color="9AAAC0" w:sz="4"/>
              <w:bottom w:val="single" w:color="9AAAC0" w:sz="4"/>
              <w:right w:val="single" w:color="9AAAC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18"/>
                <w:szCs w:val="18"/>
              </w:rPr>
              <w:t xml:space="preserve">Kernel machines: Support Vector Machines (M4)</w:t>
            </w:r>
          </w:p>
        </w:tc>
        <w:tc>
          <w:tcPr>
            <w:tcW w:type="dxa" w:w="4637"/>
            <w:tcBorders>
              <w:top w:val="single" w:color="9AAAC0" w:sz="4"/>
              <w:left w:val="single" w:color="9AAAC0" w:sz="4"/>
              <w:bottom w:val="single" w:color="9AAAC0" w:sz="4"/>
              <w:right w:val="single" w:color="9AAAC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18"/>
                <w:szCs w:val="18"/>
              </w:rPr>
              <w:t xml:space="preserve">The SVM is the “state of the art” benchmark. The paper uses a linear kernel because it performs as well as non-linear kernels on text.</w:t>
            </w:r>
          </w:p>
        </w:tc>
      </w:tr>
      <w:tr>
        <w:trPr>
          <w:cantSplit/>
          <w:tblHeader w:val="false"/>
        </w:trPr>
        <w:tc>
          <w:tcPr>
            <w:tcW w:type="dxa" w:w="2762"/>
            <w:tcBorders>
              <w:top w:val="single" w:color="9AAAC0" w:sz="4"/>
              <w:left w:val="single" w:color="9AAAC0" w:sz="4"/>
              <w:bottom w:val="single" w:color="9AAAC0" w:sz="4"/>
              <w:right w:val="single" w:color="9AAAC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18"/>
                <w:szCs w:val="18"/>
              </w:rPr>
              <w:t xml:space="preserve">Text classification as a real application; benchmark evaluation</w:t>
            </w:r>
          </w:p>
        </w:tc>
        <w:tc>
          <w:tcPr>
            <w:tcW w:type="dxa" w:w="2467"/>
            <w:tcBorders>
              <w:top w:val="single" w:color="9AAAC0" w:sz="4"/>
              <w:left w:val="single" w:color="9AAAC0" w:sz="4"/>
              <w:bottom w:val="single" w:color="9AAAC0" w:sz="4"/>
              <w:right w:val="single" w:color="9AAAC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18"/>
                <w:szCs w:val="18"/>
              </w:rPr>
              <w:t xml:space="preserve">Course outcomes CO3–CO5</w:t>
            </w:r>
          </w:p>
        </w:tc>
        <w:tc>
          <w:tcPr>
            <w:tcW w:type="dxa" w:w="4637"/>
            <w:tcBorders>
              <w:top w:val="single" w:color="9AAAC0" w:sz="4"/>
              <w:left w:val="single" w:color="9AAAC0" w:sz="4"/>
              <w:bottom w:val="single" w:color="9AAAC0" w:sz="4"/>
              <w:right w:val="single" w:color="9AAAC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18"/>
                <w:szCs w:val="18"/>
              </w:rPr>
              <w:t xml:space="preserve">Problem analysis (why NB fails), solution design (the fixes) and solution illustration (experiments on three benchmarks).</w:t>
            </w:r>
          </w:p>
        </w:tc>
      </w:tr>
    </w:tbl>
    <w:p>
      <w:pPr>
        <w:spacing w:after="100" w:before="40"/>
        <w:jc w:val="center"/>
      </w:pPr>
      <w:r>
        <w:rPr>
          <w:rFonts w:ascii="Times New Roman" w:cs="Times New Roman" w:eastAsia="Times New Roman" w:hAnsi="Times New Roman"/>
          <w:b w:val="false"/>
          <w:bCs w:val="false"/>
          <w:i/>
          <w:iCs/>
          <w:color w:val="444444"/>
          <w:sz w:val="17"/>
          <w:szCs w:val="17"/>
        </w:rPr>
        <w:t xml:space="preserve">Table 2. Mapping of the paper's ideas to syllabus modules (M1–M4) and course outcomes.</w:t>
      </w:r>
    </w:p>
    <w:p>
      <w:r>
        <w:br w:type="page"/>
      </w:r>
    </w:p>
    <w:p>
      <w:pPr>
        <w:pStyle w:val="Heading1"/>
        <w:spacing w:after="60" w:before="160"/>
      </w:pPr>
      <w:r>
        <w:rPr>
          <w:rFonts w:ascii="Arial" w:cs="Arial" w:eastAsia="Arial" w:hAnsi="Arial"/>
          <w:b/>
          <w:bCs/>
          <w:color w:val="1F3A5F"/>
          <w:sz w:val="24"/>
          <w:szCs w:val="24"/>
        </w:rPr>
        <w:t xml:space="preserve">3. Ideas for Our Project (Brainstorm)</w:t>
      </w:r>
    </w:p>
    <w:p>
      <w:pPr>
        <w:spacing w:after="80" w:before="0" w:line="264"/>
        <w:jc w:val="both"/>
      </w:pPr>
      <w:r>
        <w:rPr>
          <w:rFonts w:ascii="Times New Roman" w:cs="Times New Roman" w:eastAsia="Times New Roman" w:hAnsi="Times New Roman"/>
          <w:b/>
          <w:bCs/>
          <w:i w:val="false"/>
          <w:iCs w:val="false"/>
          <w:sz w:val="21"/>
          <w:szCs w:val="21"/>
        </w:rPr>
        <w:t xml:space="preserve">Core reproduction.</w:t>
      </w:r>
      <w:r>
        <w:rPr>
          <w:rFonts w:ascii="Times New Roman" w:cs="Times New Roman" w:eastAsia="Times New Roman" w:hAnsi="Times New Roman"/>
          <w:b w:val="false"/>
          <w:bCs w:val="false"/>
          <w:i w:val="false"/>
          <w:iCs w:val="false"/>
          <w:sz w:val="21"/>
          <w:szCs w:val="21"/>
        </w:rPr>
        <w:t xml:space="preserve"> Implement MNB and TWCNB from scratch in Python (NumPy), following the eight-step procedure in the paper's Table 4. Evaluate them on 20 Newsgroups, which loads directly with scikit-learn, using the paper's setup: 10 random 80/20 splits and mean accuracy. Validate our implementation against scikit-learn's MultinomialNB and ComplementNB, and compare against a linear SVM.</w:t>
      </w:r>
    </w:p>
    <w:p>
      <w:pPr>
        <w:pStyle w:val="ListParagraph"/>
        <w:numPr>
          <w:ilvl w:val="0"/>
          <w:numId w:val="2"/>
        </w:numPr>
        <w:spacing w:after="40" w:line="252"/>
        <w:jc w:val="left"/>
      </w:pPr>
      <w:r>
        <w:rPr>
          <w:rFonts w:ascii="Times New Roman" w:cs="Times New Roman" w:eastAsia="Times New Roman" w:hAnsi="Times New Roman"/>
          <w:b/>
          <w:bCs/>
          <w:i w:val="false"/>
          <w:iCs w:val="false"/>
          <w:sz w:val="21"/>
          <w:szCs w:val="21"/>
        </w:rPr>
        <w:t xml:space="preserve">Step-by-step ablation study.</w:t>
      </w:r>
      <w:r>
        <w:rPr>
          <w:rFonts w:ascii="Times New Roman" w:cs="Times New Roman" w:eastAsia="Times New Roman" w:hAnsi="Times New Roman"/>
          <w:b w:val="false"/>
          <w:bCs w:val="false"/>
          <w:i w:val="false"/>
          <w:iCs w:val="false"/>
          <w:sz w:val="21"/>
          <w:szCs w:val="21"/>
        </w:rPr>
        <w:t xml:space="preserve"> The paper reports only MNB, WCNB and TWCNB, and states in words which transform helps most. We can add one fix at a time (MNB → CNB → WCNB → +log-TF → +IDF → +length norm) and measure each step's contribution, checking the claim that length normalization matters most.</w:t>
      </w:r>
    </w:p>
    <w:p>
      <w:pPr>
        <w:pStyle w:val="ListParagraph"/>
        <w:numPr>
          <w:ilvl w:val="0"/>
          <w:numId w:val="2"/>
        </w:numPr>
        <w:spacing w:after="40" w:line="252"/>
        <w:jc w:val="left"/>
      </w:pPr>
      <w:r>
        <w:rPr>
          <w:rFonts w:ascii="Times New Roman" w:cs="Times New Roman" w:eastAsia="Times New Roman" w:hAnsi="Times New Roman"/>
          <w:b/>
          <w:bCs/>
          <w:i w:val="false"/>
          <w:iCs w:val="false"/>
          <w:sz w:val="21"/>
          <w:szCs w:val="21"/>
        </w:rPr>
        <w:t xml:space="preserve">Controlled imbalance experiment.</w:t>
      </w:r>
      <w:r>
        <w:rPr>
          <w:rFonts w:ascii="Times New Roman" w:cs="Times New Roman" w:eastAsia="Times New Roman" w:hAnsi="Times New Roman"/>
          <w:b w:val="false"/>
          <w:bCs w:val="false"/>
          <w:i w:val="false"/>
          <w:iCs w:val="false"/>
          <w:sz w:val="21"/>
          <w:szCs w:val="21"/>
        </w:rPr>
        <w:t xml:space="preserve"> 20 Newsgroups is balanced, so it hides CNB's main benefit. We can artificially subsample some classes (for example, imbalance ratios of 1:1, 1:5 and 1:20) and plot how the MNB–CNB gap grows with imbalance. We can also simulate the paper's coin-toss example to show the bias numerically.</w:t>
      </w:r>
    </w:p>
    <w:p>
      <w:pPr>
        <w:pStyle w:val="ListParagraph"/>
        <w:numPr>
          <w:ilvl w:val="0"/>
          <w:numId w:val="2"/>
        </w:numPr>
        <w:spacing w:after="40" w:line="252"/>
        <w:jc w:val="left"/>
      </w:pPr>
      <w:r>
        <w:rPr>
          <w:rFonts w:ascii="Times New Roman" w:cs="Times New Roman" w:eastAsia="Times New Roman" w:hAnsi="Times New Roman"/>
          <w:b/>
          <w:bCs/>
          <w:i w:val="false"/>
          <w:iCs w:val="false"/>
          <w:sz w:val="21"/>
          <w:szCs w:val="21"/>
        </w:rPr>
        <w:t xml:space="preserve">Weight-stability plot.</w:t>
      </w:r>
      <w:r>
        <w:rPr>
          <w:rFonts w:ascii="Times New Roman" w:cs="Times New Roman" w:eastAsia="Times New Roman" w:hAnsi="Times New Roman"/>
          <w:b w:val="false"/>
          <w:bCs w:val="false"/>
          <w:i w:val="false"/>
          <w:iCs w:val="false"/>
          <w:sz w:val="21"/>
          <w:szCs w:val="21"/>
        </w:rPr>
        <w:t xml:space="preserve"> Recreate the paper's Figure 1: track the weights of a few discriminative words as training data grows from 10 to 1000 documents per class, for both MNB and CNB.</w:t>
      </w:r>
    </w:p>
    <w:p>
      <w:pPr>
        <w:pStyle w:val="ListParagraph"/>
        <w:numPr>
          <w:ilvl w:val="0"/>
          <w:numId w:val="2"/>
        </w:numPr>
        <w:spacing w:after="40" w:line="252"/>
        <w:jc w:val="left"/>
      </w:pPr>
      <w:r>
        <w:rPr>
          <w:rFonts w:ascii="Times New Roman" w:cs="Times New Roman" w:eastAsia="Times New Roman" w:hAnsi="Times New Roman"/>
          <w:b/>
          <w:bCs/>
          <w:i w:val="false"/>
          <w:iCs w:val="false"/>
          <w:sz w:val="21"/>
          <w:szCs w:val="21"/>
        </w:rPr>
        <w:t xml:space="preserve">Stronger baselines and speed.</w:t>
      </w:r>
      <w:r>
        <w:rPr>
          <w:rFonts w:ascii="Times New Roman" w:cs="Times New Roman" w:eastAsia="Times New Roman" w:hAnsi="Times New Roman"/>
          <w:b w:val="false"/>
          <w:bCs w:val="false"/>
          <w:i w:val="false"/>
          <w:iCs w:val="false"/>
          <w:sz w:val="21"/>
          <w:szCs w:val="21"/>
        </w:rPr>
        <w:t xml:space="preserve"> Compare TWCNB with logistic regression and a linear SVM on accuracy </w:t>
      </w:r>
      <w:r>
        <w:rPr>
          <w:rFonts w:ascii="Times New Roman" w:cs="Times New Roman" w:eastAsia="Times New Roman" w:hAnsi="Times New Roman"/>
          <w:b w:val="false"/>
          <w:bCs w:val="false"/>
          <w:i/>
          <w:iCs/>
          <w:sz w:val="21"/>
          <w:szCs w:val="21"/>
        </w:rPr>
        <w:t xml:space="preserve">and</w:t>
      </w:r>
      <w:r>
        <w:rPr>
          <w:rFonts w:ascii="Times New Roman" w:cs="Times New Roman" w:eastAsia="Times New Roman" w:hAnsi="Times New Roman"/>
          <w:b w:val="false"/>
          <w:bCs w:val="false"/>
          <w:i w:val="false"/>
          <w:iCs w:val="false"/>
          <w:sz w:val="21"/>
          <w:szCs w:val="21"/>
        </w:rPr>
        <w:t xml:space="preserve"> training time. The paper's main selling point is “nearly as good, much faster,” so timing is worth measuring.</w:t>
      </w:r>
    </w:p>
    <w:p>
      <w:pPr>
        <w:pStyle w:val="ListParagraph"/>
        <w:numPr>
          <w:ilvl w:val="0"/>
          <w:numId w:val="2"/>
        </w:numPr>
        <w:spacing w:after="40" w:line="252"/>
        <w:jc w:val="left"/>
      </w:pPr>
      <w:r>
        <w:rPr>
          <w:rFonts w:ascii="Times New Roman" w:cs="Times New Roman" w:eastAsia="Times New Roman" w:hAnsi="Times New Roman"/>
          <w:b/>
          <w:bCs/>
          <w:i w:val="false"/>
          <w:iCs w:val="false"/>
          <w:sz w:val="21"/>
          <w:szCs w:val="21"/>
        </w:rPr>
        <w:t xml:space="preserve">Hyperparameter study.</w:t>
      </w:r>
      <w:r>
        <w:rPr>
          <w:rFonts w:ascii="Times New Roman" w:cs="Times New Roman" w:eastAsia="Times New Roman" w:hAnsi="Times New Roman"/>
          <w:b w:val="false"/>
          <w:bCs w:val="false"/>
          <w:i w:val="false"/>
          <w:iCs w:val="false"/>
          <w:sz w:val="21"/>
          <w:szCs w:val="21"/>
        </w:rPr>
        <w:t xml:space="preserve"> The paper fixes the smoothing value α = 1 but notes that tuning it helps. Cross-validate α, and also try the constant </w:t>
      </w:r>
      <w:r>
        <w:rPr>
          <w:rFonts w:ascii="Times New Roman" w:cs="Times New Roman" w:eastAsia="Times New Roman" w:hAnsi="Times New Roman"/>
          <w:b w:val="false"/>
          <w:bCs w:val="false"/>
          <w:i/>
          <w:iCs/>
          <w:sz w:val="21"/>
          <w:szCs w:val="21"/>
        </w:rPr>
        <w:t xml:space="preserve">d</w:t>
      </w:r>
      <w:r>
        <w:rPr>
          <w:rFonts w:ascii="Times New Roman" w:cs="Times New Roman" w:eastAsia="Times New Roman" w:hAnsi="Times New Roman"/>
          <w:b w:val="false"/>
          <w:bCs w:val="false"/>
          <w:i w:val="false"/>
          <w:iCs w:val="false"/>
          <w:sz w:val="21"/>
          <w:szCs w:val="21"/>
        </w:rPr>
        <w:t xml:space="preserve"> in the log(</w:t>
      </w:r>
      <w:r>
        <w:rPr>
          <w:rFonts w:ascii="Times New Roman" w:cs="Times New Roman" w:eastAsia="Times New Roman" w:hAnsi="Times New Roman"/>
          <w:b w:val="false"/>
          <w:bCs w:val="false"/>
          <w:i/>
          <w:iCs/>
          <w:sz w:val="21"/>
          <w:szCs w:val="21"/>
        </w:rPr>
        <w:t xml:space="preserve">d</w:t>
      </w:r>
      <w:r>
        <w:rPr>
          <w:rFonts w:ascii="Times New Roman" w:cs="Times New Roman" w:eastAsia="Times New Roman" w:hAnsi="Times New Roman"/>
          <w:b w:val="false"/>
          <w:bCs w:val="false"/>
          <w:i w:val="false"/>
          <w:iCs w:val="false"/>
          <w:sz w:val="21"/>
          <w:szCs w:val="21"/>
        </w:rPr>
        <w:t xml:space="preserve"> + </w:t>
      </w:r>
      <w:r>
        <w:rPr>
          <w:rFonts w:ascii="Times New Roman" w:cs="Times New Roman" w:eastAsia="Times New Roman" w:hAnsi="Times New Roman"/>
          <w:b w:val="false"/>
          <w:bCs w:val="false"/>
          <w:i/>
          <w:iCs/>
          <w:sz w:val="21"/>
          <w:szCs w:val="21"/>
        </w:rPr>
        <w:t xml:space="preserve">f</w:t>
      </w:r>
      <w:r>
        <w:rPr>
          <w:rFonts w:ascii="Times New Roman" w:cs="Times New Roman" w:eastAsia="Times New Roman" w:hAnsi="Times New Roman"/>
          <w:b w:val="false"/>
          <w:bCs w:val="false"/>
          <w:i w:val="false"/>
          <w:iCs w:val="false"/>
          <w:sz w:val="21"/>
          <w:szCs w:val="21"/>
        </w:rPr>
        <w:t xml:space="preserve">) transform.</w:t>
      </w:r>
    </w:p>
    <w:p>
      <w:pPr>
        <w:pStyle w:val="ListParagraph"/>
        <w:numPr>
          <w:ilvl w:val="0"/>
          <w:numId w:val="2"/>
        </w:numPr>
        <w:spacing w:after="40" w:line="252"/>
        <w:jc w:val="left"/>
      </w:pPr>
      <w:r>
        <w:rPr>
          <w:rFonts w:ascii="Times New Roman" w:cs="Times New Roman" w:eastAsia="Times New Roman" w:hAnsi="Times New Roman"/>
          <w:b/>
          <w:bCs/>
          <w:i w:val="false"/>
          <w:iCs w:val="false"/>
          <w:sz w:val="21"/>
          <w:szCs w:val="21"/>
        </w:rPr>
        <w:t xml:space="preserve">New datasets.</w:t>
      </w:r>
      <w:r>
        <w:rPr>
          <w:rFonts w:ascii="Times New Roman" w:cs="Times New Roman" w:eastAsia="Times New Roman" w:hAnsi="Times New Roman"/>
          <w:b w:val="false"/>
          <w:bCs w:val="false"/>
          <w:i w:val="false"/>
          <w:iCs w:val="false"/>
          <w:sz w:val="21"/>
          <w:szCs w:val="21"/>
        </w:rPr>
        <w:t xml:space="preserve"> Test whether the fixes still hold on different text: short texts (SMS spam or tweets), a highly imbalanced dataset, or an Indian-language news classification dataset (for example, Malayalam or Hindi).</w:t>
      </w:r>
    </w:p>
    <w:p>
      <w:pPr>
        <w:pStyle w:val="ListParagraph"/>
        <w:numPr>
          <w:ilvl w:val="0"/>
          <w:numId w:val="2"/>
        </w:numPr>
        <w:spacing w:after="40" w:line="252"/>
        <w:jc w:val="left"/>
      </w:pPr>
      <w:r>
        <w:rPr>
          <w:rFonts w:ascii="Times New Roman" w:cs="Times New Roman" w:eastAsia="Times New Roman" w:hAnsi="Times New Roman"/>
          <w:b/>
          <w:bCs/>
          <w:i w:val="false"/>
          <w:iCs w:val="false"/>
          <w:sz w:val="21"/>
          <w:szCs w:val="21"/>
        </w:rPr>
        <w:t xml:space="preserve">CNB versus other imbalance remedies.</w:t>
      </w:r>
      <w:r>
        <w:rPr>
          <w:rFonts w:ascii="Times New Roman" w:cs="Times New Roman" w:eastAsia="Times New Roman" w:hAnsi="Times New Roman"/>
          <w:b w:val="false"/>
          <w:bCs w:val="false"/>
          <w:i w:val="false"/>
          <w:iCs w:val="false"/>
          <w:sz w:val="21"/>
          <w:szCs w:val="21"/>
        </w:rPr>
        <w:t xml:space="preserve"> Compare CNB with class weighting and oversampling of small classes, to see whether the complement trick is better than generic fixes.</w:t>
      </w:r>
    </w:p>
    <w:p>
      <w:pPr>
        <w:pStyle w:val="ListParagraph"/>
        <w:numPr>
          <w:ilvl w:val="0"/>
          <w:numId w:val="2"/>
        </w:numPr>
        <w:spacing w:after="40" w:line="252"/>
        <w:jc w:val="left"/>
      </w:pPr>
      <w:r>
        <w:rPr>
          <w:rFonts w:ascii="Times New Roman" w:cs="Times New Roman" w:eastAsia="Times New Roman" w:hAnsi="Times New Roman"/>
          <w:b/>
          <w:bCs/>
          <w:i w:val="false"/>
          <w:iCs w:val="false"/>
          <w:sz w:val="21"/>
          <w:szCs w:val="21"/>
        </w:rPr>
        <w:t xml:space="preserve">Discussion points.</w:t>
      </w:r>
      <w:r>
        <w:rPr>
          <w:rFonts w:ascii="Times New Roman" w:cs="Times New Roman" w:eastAsia="Times New Roman" w:hAnsi="Times New Roman"/>
          <w:b w:val="false"/>
          <w:bCs w:val="false"/>
          <w:i w:val="false"/>
          <w:iCs w:val="false"/>
          <w:sz w:val="21"/>
          <w:szCs w:val="21"/>
        </w:rPr>
        <w:t xml:space="preserve"> What is lost when NB stops being a probabilistic model (calibrated probabilities, EM for semi-supervised learning)? Are the fixes still relevant now that transformer models exist, for example as a fast, interpretable baseline?</w:t>
      </w:r>
    </w:p>
    <w:p>
      <w:pPr>
        <w:spacing w:after="80" w:before="60" w:line="264"/>
        <w:jc w:val="both"/>
      </w:pPr>
      <w:r>
        <w:rPr>
          <w:rFonts w:ascii="Times New Roman" w:cs="Times New Roman" w:eastAsia="Times New Roman" w:hAnsi="Times New Roman"/>
          <w:b/>
          <w:bCs/>
          <w:i w:val="false"/>
          <w:iCs w:val="false"/>
          <w:sz w:val="21"/>
          <w:szCs w:val="21"/>
        </w:rPr>
        <w:t xml:space="preserve">Suggested plan.</w:t>
      </w:r>
      <w:r>
        <w:rPr>
          <w:rFonts w:ascii="Times New Roman" w:cs="Times New Roman" w:eastAsia="Times New Roman" w:hAnsi="Times New Roman"/>
          <w:b w:val="false"/>
          <w:bCs w:val="false"/>
          <w:i w:val="false"/>
          <w:iCs w:val="false"/>
          <w:sz w:val="21"/>
          <w:szCs w:val="21"/>
        </w:rPr>
        <w:t xml:space="preserve"> Items 1–3 form the minimum project and directly test the paper's claims. Items 4–6 add our own contribution for the “observations” part of the presentation. The code will be published in a public GitHub repository, with a short blog post describing the experience, in line with the course project guidelines.</w:t>
      </w:r>
    </w:p>
    <w:p>
      <w:pPr>
        <w:pStyle w:val="Heading2"/>
        <w:keepNext/>
        <w:spacing w:after="40" w:before="80"/>
      </w:pPr>
      <w:r>
        <w:rPr>
          <w:rFonts w:ascii="Arial" w:cs="Arial" w:eastAsia="Arial" w:hAnsi="Arial"/>
          <w:b/>
          <w:bCs/>
          <w:color w:val="000000"/>
          <w:sz w:val="21"/>
          <w:szCs w:val="21"/>
        </w:rPr>
        <w:t xml:space="preserve">Planned experimental setup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776"/>
        <w:gridCol w:w="8090"/>
      </w:tblGrid>
      <w:tr>
        <w:trPr>
          <w:cantSplit/>
          <w:tblHeader/>
        </w:trPr>
        <w:tc>
          <w:tcPr>
            <w:tcW w:type="dxa" w:w="1776"/>
            <w:tcBorders>
              <w:top w:val="single" w:color="9AAAC0" w:sz="4"/>
              <w:left w:val="single" w:color="9AAAC0" w:sz="4"/>
              <w:bottom w:val="single" w:color="9AAAC0" w:sz="4"/>
              <w:right w:val="single" w:color="9AAAC0" w:sz="4"/>
            </w:tcBorders>
            <w:shd w:fill="E8EEF5" w:color="auto" w:val="clear"/>
            <w:tcMar>
              <w:top w:type="dxa" w:w="40"/>
              <w:left w:type="dxa" w:w="90"/>
              <w:bottom w:type="dxa" w:w="40"/>
              <w:right w:type="dxa" w:w="90"/>
            </w:tcMar>
          </w:tcPr>
          <w:p>
            <w:pPr>
              <w:spacing w:after="0" w:line="240"/>
              <w:jc w:val="left"/>
            </w:pPr>
            <w:r>
              <w:rPr>
                <w:rFonts w:ascii="Arial" w:cs="Arial" w:eastAsia="Arial" w:hAnsi="Arial"/>
                <w:b/>
                <w:bCs/>
                <w:i w:val="false"/>
                <w:iCs w:val="false"/>
                <w:sz w:val="17"/>
                <w:szCs w:val="17"/>
              </w:rPr>
              <w:t xml:space="preserve">Component</w:t>
            </w:r>
          </w:p>
        </w:tc>
        <w:tc>
          <w:tcPr>
            <w:tcW w:type="dxa" w:w="8090"/>
            <w:tcBorders>
              <w:top w:val="single" w:color="9AAAC0" w:sz="4"/>
              <w:left w:val="single" w:color="9AAAC0" w:sz="4"/>
              <w:bottom w:val="single" w:color="9AAAC0" w:sz="4"/>
              <w:right w:val="single" w:color="9AAAC0" w:sz="4"/>
            </w:tcBorders>
            <w:shd w:fill="E8EEF5" w:color="auto" w:val="clear"/>
            <w:tcMar>
              <w:top w:type="dxa" w:w="40"/>
              <w:left w:type="dxa" w:w="90"/>
              <w:bottom w:type="dxa" w:w="40"/>
              <w:right w:type="dxa" w:w="90"/>
            </w:tcMar>
          </w:tcPr>
          <w:p>
            <w:pPr>
              <w:spacing w:after="0" w:line="240"/>
              <w:jc w:val="left"/>
            </w:pPr>
            <w:r>
              <w:rPr>
                <w:rFonts w:ascii="Arial" w:cs="Arial" w:eastAsia="Arial" w:hAnsi="Arial"/>
                <w:b/>
                <w:bCs/>
                <w:i w:val="false"/>
                <w:iCs w:val="false"/>
                <w:sz w:val="17"/>
                <w:szCs w:val="17"/>
              </w:rPr>
              <w:t xml:space="preserve">Plan</w:t>
            </w:r>
          </w:p>
        </w:tc>
      </w:tr>
      <w:tr>
        <w:trPr>
          <w:cantSplit/>
          <w:tblHeader w:val="false"/>
        </w:trPr>
        <w:tc>
          <w:tcPr>
            <w:tcW w:type="dxa" w:w="1776"/>
            <w:tcBorders>
              <w:top w:val="single" w:color="9AAAC0" w:sz="4"/>
              <w:left w:val="single" w:color="9AAAC0" w:sz="4"/>
              <w:bottom w:val="single" w:color="9AAAC0" w:sz="4"/>
              <w:right w:val="single" w:color="9AAAC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18"/>
                <w:szCs w:val="18"/>
              </w:rPr>
              <w:t xml:space="preserve">Datasets</w:t>
            </w:r>
          </w:p>
        </w:tc>
        <w:tc>
          <w:tcPr>
            <w:tcW w:type="dxa" w:w="8090"/>
            <w:tcBorders>
              <w:top w:val="single" w:color="9AAAC0" w:sz="4"/>
              <w:left w:val="single" w:color="9AAAC0" w:sz="4"/>
              <w:bottom w:val="single" w:color="9AAAC0" w:sz="4"/>
              <w:right w:val="single" w:color="9AAAC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18"/>
                <w:szCs w:val="18"/>
              </w:rPr>
              <w:t xml:space="preserve">20 Newsgroups (balanced, as in the paper); an artificially imbalanced version of it; one additional dataset from idea 6.</w:t>
            </w:r>
          </w:p>
        </w:tc>
      </w:tr>
      <w:tr>
        <w:trPr>
          <w:cantSplit/>
          <w:tblHeader w:val="false"/>
        </w:trPr>
        <w:tc>
          <w:tcPr>
            <w:tcW w:type="dxa" w:w="1776"/>
            <w:tcBorders>
              <w:top w:val="single" w:color="9AAAC0" w:sz="4"/>
              <w:left w:val="single" w:color="9AAAC0" w:sz="4"/>
              <w:bottom w:val="single" w:color="9AAAC0" w:sz="4"/>
              <w:right w:val="single" w:color="9AAAC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18"/>
                <w:szCs w:val="18"/>
              </w:rPr>
              <w:t xml:space="preserve">Methods</w:t>
            </w:r>
          </w:p>
        </w:tc>
        <w:tc>
          <w:tcPr>
            <w:tcW w:type="dxa" w:w="8090"/>
            <w:tcBorders>
              <w:top w:val="single" w:color="9AAAC0" w:sz="4"/>
              <w:left w:val="single" w:color="9AAAC0" w:sz="4"/>
              <w:bottom w:val="single" w:color="9AAAC0" w:sz="4"/>
              <w:right w:val="single" w:color="9AAAC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18"/>
                <w:szCs w:val="18"/>
              </w:rPr>
              <w:t xml:space="preserve">MNB, CNB, WCNB and TWCNB (our NumPy implementation); scikit-learn MultinomialNB and ComplementNB as reference checks.</w:t>
            </w:r>
          </w:p>
        </w:tc>
      </w:tr>
      <w:tr>
        <w:trPr>
          <w:cantSplit/>
          <w:tblHeader w:val="false"/>
        </w:trPr>
        <w:tc>
          <w:tcPr>
            <w:tcW w:type="dxa" w:w="1776"/>
            <w:tcBorders>
              <w:top w:val="single" w:color="9AAAC0" w:sz="4"/>
              <w:left w:val="single" w:color="9AAAC0" w:sz="4"/>
              <w:bottom w:val="single" w:color="9AAAC0" w:sz="4"/>
              <w:right w:val="single" w:color="9AAAC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18"/>
                <w:szCs w:val="18"/>
              </w:rPr>
              <w:t xml:space="preserve">Baselines</w:t>
            </w:r>
          </w:p>
        </w:tc>
        <w:tc>
          <w:tcPr>
            <w:tcW w:type="dxa" w:w="8090"/>
            <w:tcBorders>
              <w:top w:val="single" w:color="9AAAC0" w:sz="4"/>
              <w:left w:val="single" w:color="9AAAC0" w:sz="4"/>
              <w:bottom w:val="single" w:color="9AAAC0" w:sz="4"/>
              <w:right w:val="single" w:color="9AAAC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18"/>
                <w:szCs w:val="18"/>
              </w:rPr>
              <w:t xml:space="preserve">Logistic regression and linear SVM, trained on the same TF-IDF features.</w:t>
            </w:r>
          </w:p>
        </w:tc>
      </w:tr>
      <w:tr>
        <w:trPr>
          <w:cantSplit/>
          <w:tblHeader w:val="false"/>
        </w:trPr>
        <w:tc>
          <w:tcPr>
            <w:tcW w:type="dxa" w:w="1776"/>
            <w:tcBorders>
              <w:top w:val="single" w:color="9AAAC0" w:sz="4"/>
              <w:left w:val="single" w:color="9AAAC0" w:sz="4"/>
              <w:bottom w:val="single" w:color="9AAAC0" w:sz="4"/>
              <w:right w:val="single" w:color="9AAAC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18"/>
                <w:szCs w:val="18"/>
              </w:rPr>
              <w:t xml:space="preserve">Metrics</w:t>
            </w:r>
          </w:p>
        </w:tc>
        <w:tc>
          <w:tcPr>
            <w:tcW w:type="dxa" w:w="8090"/>
            <w:tcBorders>
              <w:top w:val="single" w:color="9AAAC0" w:sz="4"/>
              <w:left w:val="single" w:color="9AAAC0" w:sz="4"/>
              <w:bottom w:val="single" w:color="9AAAC0" w:sz="4"/>
              <w:right w:val="single" w:color="9AAAC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18"/>
                <w:szCs w:val="18"/>
              </w:rPr>
              <w:t xml:space="preserve">Accuracy and macro-F1 (macro-F1 shows small-class performance); training and prediction time.</w:t>
            </w:r>
          </w:p>
        </w:tc>
      </w:tr>
      <w:tr>
        <w:trPr>
          <w:cantSplit/>
          <w:tblHeader w:val="false"/>
        </w:trPr>
        <w:tc>
          <w:tcPr>
            <w:tcW w:type="dxa" w:w="1776"/>
            <w:tcBorders>
              <w:top w:val="single" w:color="9AAAC0" w:sz="4"/>
              <w:left w:val="single" w:color="9AAAC0" w:sz="4"/>
              <w:bottom w:val="single" w:color="9AAAC0" w:sz="4"/>
              <w:right w:val="single" w:color="9AAAC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18"/>
                <w:szCs w:val="18"/>
              </w:rPr>
              <w:t xml:space="preserve">Protocol</w:t>
            </w:r>
          </w:p>
        </w:tc>
        <w:tc>
          <w:tcPr>
            <w:tcW w:type="dxa" w:w="8090"/>
            <w:tcBorders>
              <w:top w:val="single" w:color="9AAAC0" w:sz="4"/>
              <w:left w:val="single" w:color="9AAAC0" w:sz="4"/>
              <w:bottom w:val="single" w:color="9AAAC0" w:sz="4"/>
              <w:right w:val="single" w:color="9AAAC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18"/>
                <w:szCs w:val="18"/>
              </w:rPr>
              <w:t xml:space="preserve">10 random stratified 80/20 splits; report mean ± standard deviation; α tuned by cross-validation on training data only.</w:t>
            </w:r>
          </w:p>
        </w:tc>
      </w:tr>
      <w:tr>
        <w:trPr>
          <w:cantSplit/>
          <w:tblHeader w:val="false"/>
        </w:trPr>
        <w:tc>
          <w:tcPr>
            <w:tcW w:type="dxa" w:w="1776"/>
            <w:tcBorders>
              <w:top w:val="single" w:color="9AAAC0" w:sz="4"/>
              <w:left w:val="single" w:color="9AAAC0" w:sz="4"/>
              <w:bottom w:val="single" w:color="9AAAC0" w:sz="4"/>
              <w:right w:val="single" w:color="9AAAC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18"/>
                <w:szCs w:val="18"/>
              </w:rPr>
              <w:t xml:space="preserve">Tools</w:t>
            </w:r>
          </w:p>
        </w:tc>
        <w:tc>
          <w:tcPr>
            <w:tcW w:type="dxa" w:w="8090"/>
            <w:tcBorders>
              <w:top w:val="single" w:color="9AAAC0" w:sz="4"/>
              <w:left w:val="single" w:color="9AAAC0" w:sz="4"/>
              <w:bottom w:val="single" w:color="9AAAC0" w:sz="4"/>
              <w:right w:val="single" w:color="9AAAC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18"/>
                <w:szCs w:val="18"/>
              </w:rPr>
              <w:t xml:space="preserve">Python, NumPy, scikit-learn, Matplotlib; code in a public GitHub repository.</w:t>
            </w:r>
          </w:p>
        </w:tc>
      </w:tr>
    </w:tbl>
    <w:p>
      <w:pPr>
        <w:pStyle w:val="Heading2"/>
        <w:keepNext/>
        <w:spacing w:after="40" w:before="80"/>
      </w:pPr>
      <w:r>
        <w:rPr>
          <w:rFonts w:ascii="Arial" w:cs="Arial" w:eastAsia="Arial" w:hAnsi="Arial"/>
          <w:b/>
          <w:bCs/>
          <w:color w:val="000000"/>
          <w:sz w:val="21"/>
          <w:szCs w:val="21"/>
        </w:rPr>
        <w:t xml:space="preserve">References</w:t>
      </w:r>
    </w:p>
    <w:p>
      <w:pPr>
        <w:spacing w:after="30" w:line="240"/>
        <w:ind w:left="360" w:hanging="360"/>
      </w:pPr>
      <w:r>
        <w:rPr>
          <w:rFonts w:ascii="Times New Roman" w:cs="Times New Roman" w:eastAsia="Times New Roman" w:hAnsi="Times New Roman"/>
          <w:b w:val="false"/>
          <w:bCs w:val="false"/>
          <w:i w:val="false"/>
          <w:iCs w:val="false"/>
          <w:sz w:val="19"/>
          <w:szCs w:val="19"/>
        </w:rPr>
        <w:t xml:space="preserve">[1] J. D. M. Rennie, L. Shih, J. Teevan and D. R. Karger, “Tackling the Poor Assumptions of Naive Bayes Text Classifiers,” </w:t>
      </w:r>
      <w:r>
        <w:rPr>
          <w:rFonts w:ascii="Times New Roman" w:cs="Times New Roman" w:eastAsia="Times New Roman" w:hAnsi="Times New Roman"/>
          <w:b w:val="false"/>
          <w:bCs w:val="false"/>
          <w:i/>
          <w:iCs/>
          <w:sz w:val="19"/>
          <w:szCs w:val="19"/>
        </w:rPr>
        <w:t xml:space="preserve">Proc. ICML</w:t>
      </w:r>
      <w:r>
        <w:rPr>
          <w:rFonts w:ascii="Times New Roman" w:cs="Times New Roman" w:eastAsia="Times New Roman" w:hAnsi="Times New Roman"/>
          <w:b w:val="false"/>
          <w:bCs w:val="false"/>
          <w:i w:val="false"/>
          <w:iCs w:val="false"/>
          <w:sz w:val="19"/>
          <w:szCs w:val="19"/>
        </w:rPr>
        <w:t xml:space="preserve">, 2003, pp. 616–623.</w:t>
      </w:r>
    </w:p>
    <w:p>
      <w:pPr>
        <w:spacing w:after="30" w:line="240"/>
        <w:ind w:left="360" w:hanging="360"/>
      </w:pPr>
      <w:r>
        <w:rPr>
          <w:rFonts w:ascii="Times New Roman" w:cs="Times New Roman" w:eastAsia="Times New Roman" w:hAnsi="Times New Roman"/>
          <w:b w:val="false"/>
          <w:bCs w:val="false"/>
          <w:i w:val="false"/>
          <w:iCs w:val="false"/>
          <w:sz w:val="19"/>
          <w:szCs w:val="19"/>
        </w:rPr>
        <w:t xml:space="preserve">[2] A. McCallum and K. Nigam, “A Comparison of Event Models for Naive Bayes Text Classification,” </w:t>
      </w:r>
      <w:r>
        <w:rPr>
          <w:rFonts w:ascii="Times New Roman" w:cs="Times New Roman" w:eastAsia="Times New Roman" w:hAnsi="Times New Roman"/>
          <w:b w:val="false"/>
          <w:bCs w:val="false"/>
          <w:i/>
          <w:iCs/>
          <w:sz w:val="19"/>
          <w:szCs w:val="19"/>
        </w:rPr>
        <w:t xml:space="preserve">AAAI-98 Workshop on Learning for Text Categorization</w:t>
      </w:r>
      <w:r>
        <w:rPr>
          <w:rFonts w:ascii="Times New Roman" w:cs="Times New Roman" w:eastAsia="Times New Roman" w:hAnsi="Times New Roman"/>
          <w:b w:val="false"/>
          <w:bCs w:val="false"/>
          <w:i w:val="false"/>
          <w:iCs w:val="false"/>
          <w:sz w:val="19"/>
          <w:szCs w:val="19"/>
        </w:rPr>
        <w:t xml:space="preserve">, 1998.</w:t>
      </w:r>
    </w:p>
    <w:p>
      <w:pPr>
        <w:spacing w:after="30" w:line="240"/>
        <w:ind w:left="360" w:hanging="360"/>
      </w:pPr>
      <w:r>
        <w:rPr>
          <w:rFonts w:ascii="Times New Roman" w:cs="Times New Roman" w:eastAsia="Times New Roman" w:hAnsi="Times New Roman"/>
          <w:b w:val="false"/>
          <w:bCs w:val="false"/>
          <w:i w:val="false"/>
          <w:iCs w:val="false"/>
          <w:sz w:val="19"/>
          <w:szCs w:val="19"/>
        </w:rPr>
        <w:t xml:space="preserve">[3] P. Domingos and M. Pazzani, “Beyond Independence: Conditions for the Optimality of the Simple Bayesian Classifier,” </w:t>
      </w:r>
      <w:r>
        <w:rPr>
          <w:rFonts w:ascii="Times New Roman" w:cs="Times New Roman" w:eastAsia="Times New Roman" w:hAnsi="Times New Roman"/>
          <w:b w:val="false"/>
          <w:bCs w:val="false"/>
          <w:i/>
          <w:iCs/>
          <w:sz w:val="19"/>
          <w:szCs w:val="19"/>
        </w:rPr>
        <w:t xml:space="preserve">Proc. ICML</w:t>
      </w:r>
      <w:r>
        <w:rPr>
          <w:rFonts w:ascii="Times New Roman" w:cs="Times New Roman" w:eastAsia="Times New Roman" w:hAnsi="Times New Roman"/>
          <w:b w:val="false"/>
          <w:bCs w:val="false"/>
          <w:i w:val="false"/>
          <w:iCs w:val="false"/>
          <w:sz w:val="19"/>
          <w:szCs w:val="19"/>
        </w:rPr>
        <w:t xml:space="preserve">, 1996.</w:t>
      </w:r>
    </w:p>
    <w:p>
      <w:pPr>
        <w:spacing w:after="30" w:line="240"/>
        <w:ind w:left="360" w:hanging="360"/>
      </w:pPr>
      <w:r>
        <w:rPr>
          <w:rFonts w:ascii="Times New Roman" w:cs="Times New Roman" w:eastAsia="Times New Roman" w:hAnsi="Times New Roman"/>
          <w:b w:val="false"/>
          <w:bCs w:val="false"/>
          <w:i w:val="false"/>
          <w:iCs w:val="false"/>
          <w:sz w:val="19"/>
          <w:szCs w:val="19"/>
        </w:rPr>
        <w:t xml:space="preserve">[4] T. Joachims, “Text Categorization with Support Vector Machines: Learning with Many Relevant Features,” </w:t>
      </w:r>
      <w:r>
        <w:rPr>
          <w:rFonts w:ascii="Times New Roman" w:cs="Times New Roman" w:eastAsia="Times New Roman" w:hAnsi="Times New Roman"/>
          <w:b w:val="false"/>
          <w:bCs w:val="false"/>
          <w:i/>
          <w:iCs/>
          <w:sz w:val="19"/>
          <w:szCs w:val="19"/>
        </w:rPr>
        <w:t xml:space="preserve">Proc. ECML</w:t>
      </w:r>
      <w:r>
        <w:rPr>
          <w:rFonts w:ascii="Times New Roman" w:cs="Times New Roman" w:eastAsia="Times New Roman" w:hAnsi="Times New Roman"/>
          <w:b w:val="false"/>
          <w:bCs w:val="false"/>
          <w:i w:val="false"/>
          <w:iCs w:val="false"/>
          <w:sz w:val="19"/>
          <w:szCs w:val="19"/>
        </w:rPr>
        <w:t xml:space="preserve">, 1998.</w:t>
      </w:r>
    </w:p>
    <w:sectPr>
      <w:footerReference w:type="default" r:id="rId7"/>
      <w:pgSz w:w="11906" w:h="16838" w:orient="portrait"/>
      <w:pgMar w:top="850" w:right="1020" w:bottom="960" w:left="1020" w:header="708" w:footer="4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6"/>
      </w:tabs>
    </w:pPr>
    <w:r>
      <w:rPr>
        <w:rFonts w:ascii="Arial" w:cs="Arial" w:eastAsia="Arial" w:hAnsi="Arial"/>
        <w:color w:val="666666"/>
        <w:sz w:val="16"/>
        <w:szCs w:val="16"/>
      </w:rPr>
      <w:t xml:space="preserve">AI &amp; Machine Learning (M4010100 / M4020100) — Research Paper Project</w:t>
    </w:r>
    <w:r>
      <w:rPr>
        <w:rFonts w:ascii="Arial" w:cs="Arial" w:eastAsia="Arial" w:hAnsi="Arial"/>
        <w:color w:val="666666"/>
        <w:sz w:val="16"/>
        <w:szCs w:val="16"/>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 Tackling the Poor Assumptions of Naive Bayes Text Classifiers</dc:title>
  <dc:creator>Team</dc:creator>
  <cp:lastModifiedBy>Un-named</cp:lastModifiedBy>
  <cp:revision>1</cp:revision>
  <dcterms:created xsi:type="dcterms:W3CDTF">2026-09-29T09:26:56.989Z</dcterms:created>
  <dcterms:modified xsi:type="dcterms:W3CDTF">2026-09-29T09:26:57.001Z</dcterms:modified>
</cp:coreProperties>
</file>

<file path=docProps/custom.xml><?xml version="1.0" encoding="utf-8"?>
<Properties xmlns="http://schemas.openxmlformats.org/officeDocument/2006/custom-properties" xmlns:vt="http://schemas.openxmlformats.org/officeDocument/2006/docPropsVTypes"/>
</file>