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Marcelo Zeballos Guszmán de Santa Cruz, Bolivia fue un participante en la historia de la Olimpiada Boliviana de Informática (OBI), donde sus habilidades en programación competitiva lo llevaron a desenvolverse en olimpiadas nacionales e internacionales.</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año 2014 participó de la 4ta versión de la Olimpiada Estudiantil Boliviana, obteniendo la medalla de bronce mientras representaba al colegio Cambridge College. Posteriormente clasificó para representar a Bolivia en la Olimpiada Internacional de Informática (IOI), desarrollado en el país de Kazahkhstan, 2015.</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Decidió continuar sus estudios en la Universidad Privada de Santa Cruz (UPSA), donde cursó la carrera de Ingeniería de Sistemas, durante su etapa universitaria, destacó en diversas competencias, como la TecnoUPSA, en la que, junto a su equipo, obtuvo el primer lugar con su proyecto de generación automatizada de contenidos 3D.</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Dentro de la programación competitiva tuvo una participación destacada dentro la ACM-ICPC 2019 que junto a su compañero obtuvieron el primer lugar en Santa Cruz, cuarto lugar a nivel Bolivia y la posición 17 a nivel Latinoamérica. Gracias a su desempeño y habilidades, posteriormente obtuvo una pasantía profesional en la empresa suiza IntelliCard Solutions AG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