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jc w:val="center"/>
      </w:pPr>
      <w:r>
        <w:rPr>
          <w:rFonts w:ascii="Arial" w:cs="Arial" w:eastAsia="Arial" w:hAnsi="Arial"/>
          <w:b/>
          <w:bCs/>
          <w:color w:val="888888"/>
          <w:spacing w:val="160"/>
          <w:sz w:val="20"/>
          <w:szCs w:val="20"/>
        </w:rPr>
        <w:t xml:space="preserve">TYPOGRAPHY STACK DOCUMENT</w:t>
      </w:r>
    </w:p>
    <w:p>
      <w:pPr>
        <w:spacing w:before="60" w:after="0"/>
      </w:pPr>
      <w:r>
        <w:t xml:space="preserve"/>
      </w:r>
    </w:p>
    <w:p>
      <w:pPr>
        <w:jc w:val="center"/>
      </w:pPr>
      <w:r>
        <w:rPr>
          <w:rFonts w:ascii="Arial" w:cs="Arial" w:eastAsia="Arial" w:hAnsi="Arial"/>
          <w:b/>
          <w:bCs/>
          <w:color w:val="E8660A"/>
          <w:sz w:val="68"/>
          <w:szCs w:val="68"/>
        </w:rPr>
        <w:t xml:space="preserve">PS3 — Fund Flow Tracking</w:t>
      </w:r>
    </w:p>
    <w:p>
      <w:pPr>
        <w:jc w:val="center"/>
      </w:pPr>
      <w:r>
        <w:rPr>
          <w:rFonts w:ascii="Arial" w:cs="Arial" w:eastAsia="Arial" w:hAnsi="Arial"/>
          <w:b/>
          <w:bCs/>
          <w:color w:val="1A1A2E"/>
          <w:sz w:val="52"/>
          <w:szCs w:val="52"/>
        </w:rPr>
        <w:t xml:space="preserve">for Fraud Detection</w:t>
      </w:r>
    </w:p>
    <w:p>
      <w:pPr>
        <w:spacing w:before="60" w:after="0"/>
      </w:pPr>
      <w:r>
        <w:t xml:space="preserve"/>
      </w:r>
    </w:p>
    <w:p>
      <w:pPr>
        <w:jc w:val="center"/>
      </w:pPr>
      <w:r>
        <w:rPr>
          <w:rFonts w:ascii="Arial" w:cs="Arial" w:eastAsia="Arial" w:hAnsi="Arial"/>
          <w:color w:val="888888"/>
          <w:sz w:val="21"/>
          <w:szCs w:val="21"/>
        </w:rPr>
        <w:t xml:space="preserve">Complete Font Selection, Scale, Pairing Rules &amp; Implementation Guide</w:t>
      </w:r>
    </w:p>
    <w:p>
      <w:pPr>
        <w:spacing w:before="80" w:after="0"/>
      </w:pPr>
      <w:r>
        <w:t xml:space="preserve"/>
      </w:r>
    </w:p>
    <w:p>
      <w:pPr>
        <w:jc w:val="center"/>
      </w:pPr>
      <w:r>
        <w:rPr>
          <w:rFonts w:ascii="Arial" w:cs="Arial" w:eastAsia="Arial" w:hAnsi="Arial"/>
          <w:color w:val="888888"/>
          <w:sz w:val="20"/>
          <w:szCs w:val="20"/>
        </w:rPr>
        <w:t xml:space="preserve">IDEA 2.0 Hackathon  —  Vidyavihar University  —  v1.0</w:t>
      </w:r>
    </w:p>
    <w:p>
      <w:pPr>
        <w:spacing w:before="120" w:after="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E0E0E0" w:sz="1"/>
              <w:left w:val="single" w:color="E0E0E0" w:sz="1"/>
              <w:bottom w:val="single" w:color="E0E0E0" w:sz="1"/>
              <w:right w:val="single" w:color="E0E0E0" w:sz="1"/>
            </w:tcBorders>
            <w:shd w:fill="EEE9FF" w:val="clear"/>
            <w:tcMar>
              <w:top w:type="dxa" w:w="80"/>
              <w:left w:type="dxa" w:w="140"/>
              <w:bottom w:type="dxa" w:w="80"/>
              <w:right w:type="dxa" w:w="140"/>
            </w:tcMar>
          </w:tcPr>
          <w:p>
            <w:r>
              <w:rPr>
                <w:rFonts w:ascii="Arial" w:cs="Arial" w:eastAsia="Arial" w:hAnsi="Arial"/>
                <w:b/>
                <w:bCs/>
                <w:color w:val="7B5EA7"/>
                <w:sz w:val="19"/>
                <w:szCs w:val="19"/>
              </w:rPr>
              <w:t xml:space="preserve">Document Type</w:t>
            </w:r>
          </w:p>
        </w:tc>
        <w:tc>
          <w:tcPr>
            <w:tcW w:type="dxa" w:w="46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Typography Stack &amp; Font Pairing Guide</w:t>
            </w:r>
          </w:p>
        </w:tc>
      </w:tr>
      <w:tr>
        <w:tc>
          <w:tcPr>
            <w:tcW w:type="dxa" w:w="2600"/>
            <w:tcBorders>
              <w:top w:val="single" w:color="E0E0E0" w:sz="1"/>
              <w:left w:val="single" w:color="E0E0E0" w:sz="1"/>
              <w:bottom w:val="single" w:color="E0E0E0" w:sz="1"/>
              <w:right w:val="single" w:color="E0E0E0" w:sz="1"/>
            </w:tcBorders>
            <w:shd w:fill="EEE9FF" w:val="clear"/>
            <w:tcMar>
              <w:top w:type="dxa" w:w="80"/>
              <w:left w:type="dxa" w:w="140"/>
              <w:bottom w:type="dxa" w:w="80"/>
              <w:right w:type="dxa" w:w="140"/>
            </w:tcMar>
          </w:tcPr>
          <w:p>
            <w:r>
              <w:rPr>
                <w:rFonts w:ascii="Arial" w:cs="Arial" w:eastAsia="Arial" w:hAnsi="Arial"/>
                <w:b/>
                <w:bCs/>
                <w:color w:val="7B5EA7"/>
                <w:sz w:val="19"/>
                <w:szCs w:val="19"/>
              </w:rPr>
              <w:t xml:space="preserve">Scope</w:t>
            </w:r>
          </w:p>
        </w:tc>
        <w:tc>
          <w:tcPr>
            <w:tcW w:type="dxa" w:w="46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PS3 Fund Flow Tracking — All UI screens</w:t>
            </w:r>
          </w:p>
        </w:tc>
      </w:tr>
      <w:tr>
        <w:tc>
          <w:tcPr>
            <w:tcW w:type="dxa" w:w="2600"/>
            <w:tcBorders>
              <w:top w:val="single" w:color="E0E0E0" w:sz="1"/>
              <w:left w:val="single" w:color="E0E0E0" w:sz="1"/>
              <w:bottom w:val="single" w:color="E0E0E0" w:sz="1"/>
              <w:right w:val="single" w:color="E0E0E0" w:sz="1"/>
            </w:tcBorders>
            <w:shd w:fill="EEE9FF" w:val="clear"/>
            <w:tcMar>
              <w:top w:type="dxa" w:w="80"/>
              <w:left w:type="dxa" w:w="140"/>
              <w:bottom w:type="dxa" w:w="80"/>
              <w:right w:type="dxa" w:w="140"/>
            </w:tcMar>
          </w:tcPr>
          <w:p>
            <w:r>
              <w:rPr>
                <w:rFonts w:ascii="Arial" w:cs="Arial" w:eastAsia="Arial" w:hAnsi="Arial"/>
                <w:b/>
                <w:bCs/>
                <w:color w:val="7B5EA7"/>
                <w:sz w:val="19"/>
                <w:szCs w:val="19"/>
              </w:rPr>
              <w:t xml:space="preserve">Fonts Selected</w:t>
            </w:r>
          </w:p>
        </w:tc>
        <w:tc>
          <w:tcPr>
            <w:tcW w:type="dxa" w:w="46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Syne · Space Mono · DM Sans · DM Mono</w:t>
            </w:r>
          </w:p>
        </w:tc>
      </w:tr>
      <w:tr>
        <w:tc>
          <w:tcPr>
            <w:tcW w:type="dxa" w:w="2600"/>
            <w:tcBorders>
              <w:top w:val="single" w:color="E0E0E0" w:sz="1"/>
              <w:left w:val="single" w:color="E0E0E0" w:sz="1"/>
              <w:bottom w:val="single" w:color="E0E0E0" w:sz="1"/>
              <w:right w:val="single" w:color="E0E0E0" w:sz="1"/>
            </w:tcBorders>
            <w:shd w:fill="EEE9FF" w:val="clear"/>
            <w:tcMar>
              <w:top w:type="dxa" w:w="80"/>
              <w:left w:type="dxa" w:w="140"/>
              <w:bottom w:type="dxa" w:w="80"/>
              <w:right w:type="dxa" w:w="140"/>
            </w:tcMar>
          </w:tcPr>
          <w:p>
            <w:r>
              <w:rPr>
                <w:rFonts w:ascii="Arial" w:cs="Arial" w:eastAsia="Arial" w:hAnsi="Arial"/>
                <w:b/>
                <w:bCs/>
                <w:color w:val="7B5EA7"/>
                <w:sz w:val="19"/>
                <w:szCs w:val="19"/>
              </w:rPr>
              <w:t xml:space="preserve">Source</w:t>
            </w:r>
          </w:p>
        </w:tc>
        <w:tc>
          <w:tcPr>
            <w:tcW w:type="dxa" w:w="46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All fonts free on Google Fonts</w:t>
            </w:r>
          </w:p>
        </w:tc>
      </w:tr>
      <w:tr>
        <w:tc>
          <w:tcPr>
            <w:tcW w:type="dxa" w:w="2600"/>
            <w:tcBorders>
              <w:top w:val="single" w:color="E0E0E0" w:sz="1"/>
              <w:left w:val="single" w:color="E0E0E0" w:sz="1"/>
              <w:bottom w:val="single" w:color="E0E0E0" w:sz="1"/>
              <w:right w:val="single" w:color="E0E0E0" w:sz="1"/>
            </w:tcBorders>
            <w:shd w:fill="EEE9FF" w:val="clear"/>
            <w:tcMar>
              <w:top w:type="dxa" w:w="80"/>
              <w:left w:type="dxa" w:w="140"/>
              <w:bottom w:type="dxa" w:w="80"/>
              <w:right w:type="dxa" w:w="140"/>
            </w:tcMar>
          </w:tcPr>
          <w:p>
            <w:r>
              <w:rPr>
                <w:rFonts w:ascii="Arial" w:cs="Arial" w:eastAsia="Arial" w:hAnsi="Arial"/>
                <w:b/>
                <w:bCs/>
                <w:color w:val="7B5EA7"/>
                <w:sz w:val="19"/>
                <w:szCs w:val="19"/>
              </w:rPr>
              <w:t xml:space="preserve">Design References</w:t>
            </w:r>
          </w:p>
        </w:tc>
        <w:tc>
          <w:tcPr>
            <w:tcW w:type="dxa" w:w="46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Dark Finance Dashboard + AceDeal Light UI</w:t>
            </w:r>
          </w:p>
        </w:tc>
      </w:tr>
      <w:tr>
        <w:tc>
          <w:tcPr>
            <w:tcW w:type="dxa" w:w="2600"/>
            <w:tcBorders>
              <w:top w:val="single" w:color="E0E0E0" w:sz="1"/>
              <w:left w:val="single" w:color="E0E0E0" w:sz="1"/>
              <w:bottom w:val="single" w:color="E0E0E0" w:sz="1"/>
              <w:right w:val="single" w:color="E0E0E0" w:sz="1"/>
            </w:tcBorders>
            <w:shd w:fill="EEE9FF" w:val="clear"/>
            <w:tcMar>
              <w:top w:type="dxa" w:w="80"/>
              <w:left w:type="dxa" w:w="140"/>
              <w:bottom w:type="dxa" w:w="80"/>
              <w:right w:type="dxa" w:w="140"/>
            </w:tcMar>
          </w:tcPr>
          <w:p>
            <w:r>
              <w:rPr>
                <w:rFonts w:ascii="Arial" w:cs="Arial" w:eastAsia="Arial" w:hAnsi="Arial"/>
                <w:b/>
                <w:bCs/>
                <w:color w:val="7B5EA7"/>
                <w:sz w:val="19"/>
                <w:szCs w:val="19"/>
              </w:rPr>
              <w:t xml:space="preserve">Version</w:t>
            </w:r>
          </w:p>
        </w:tc>
        <w:tc>
          <w:tcPr>
            <w:tcW w:type="dxa" w:w="46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1.0 — Hackathon Edition</w:t>
            </w:r>
          </w:p>
        </w:tc>
      </w:tr>
    </w:tbl>
    <w:p>
      <w:r>
        <w:br w:type="page"/>
      </w:r>
    </w:p>
    <w:p>
      <w:pPr>
        <w:pStyle w:val="Heading1"/>
        <w:pBdr>
          <w:bottom w:val="single" w:color="E8660A" w:sz="8" w:space="2"/>
        </w:pBdr>
        <w:spacing w:before="440" w:after="100"/>
      </w:pPr>
      <w:r>
        <w:rPr>
          <w:rFonts w:ascii="Arial" w:cs="Arial" w:eastAsia="Arial" w:hAnsi="Arial"/>
          <w:b/>
          <w:bCs/>
          <w:color w:val="1A1A2E"/>
          <w:sz w:val="38"/>
          <w:szCs w:val="38"/>
        </w:rPr>
        <w:t xml:space="preserve">1. Why Typography Matters for This Dashboard</w:t>
      </w:r>
    </w:p>
    <w:p>
      <w:pPr>
        <w:spacing w:before="60" w:after="60"/>
      </w:pPr>
      <w:r>
        <w:rPr>
          <w:rFonts w:ascii="Arial" w:cs="Arial" w:eastAsia="Arial" w:hAnsi="Arial"/>
          <w:color w:val="333333"/>
          <w:sz w:val="20"/>
          <w:szCs w:val="20"/>
        </w:rPr>
        <w:t xml:space="preserve">The PS3 Fund Flow Tracking platform handles two very different cognitive tasks at the same time. Analysts need to read large financial figures at a glance under pressure, and also read dense investigative text and table data during long case review sessions. A single font cannot serve both jobs equally well.</w:t>
      </w:r>
    </w:p>
    <w:p>
      <w:pPr>
        <w:spacing w:before="60" w:after="0"/>
      </w:pPr>
      <w:r>
        <w:t xml:space="preserve"/>
      </w:r>
    </w:p>
    <w:p>
      <w:pPr>
        <w:spacing w:before="60" w:after="60"/>
      </w:pPr>
      <w:r>
        <w:rPr>
          <w:rFonts w:ascii="Arial" w:cs="Arial" w:eastAsia="Arial" w:hAnsi="Arial"/>
          <w:color w:val="333333"/>
          <w:sz w:val="20"/>
          <w:szCs w:val="20"/>
        </w:rPr>
        <w:t xml:space="preserve">The four-font stack below was chosen by matching visual patterns directly observed in the reference screenshots — the dark finance dashboard and the AceDeal light UI — and mapping each font to a specific cognitive role in the interface.</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3320"/>
      </w:tblGrid>
      <w:tr>
        <w:trPr>
          <w:tblHeader/>
        </w:trPr>
        <w:tc>
          <w:tcPr>
            <w:tcW w:type="dxa" w:w="2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Cognitive Task</w:t>
            </w:r>
          </w:p>
        </w:tc>
        <w:tc>
          <w:tcPr>
            <w:tcW w:type="dxa" w:w="28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Reference Image Pattern</w:t>
            </w:r>
          </w:p>
        </w:tc>
        <w:tc>
          <w:tcPr>
            <w:tcW w:type="dxa" w:w="16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Font Assigned</w:t>
            </w:r>
          </w:p>
        </w:tc>
        <w:tc>
          <w:tcPr>
            <w:tcW w:type="dxa" w:w="332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Why</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Scanning large balance figures instantly</w:t>
            </w:r>
          </w:p>
        </w:tc>
        <w:tc>
          <w:tcPr>
            <w:tcW w:type="dxa" w:w="2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Image 1: $5,654.32 and $32,569.32 in large bold monospace</w:t>
            </w:r>
          </w:p>
        </w:tc>
        <w:tc>
          <w:tcPr>
            <w:tcW w:type="dxa" w:w="16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Space Mono</w:t>
            </w:r>
          </w:p>
        </w:tc>
        <w:tc>
          <w:tcPr>
            <w:tcW w:type="dxa" w:w="3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Fixed-width numerals prevent layout shift as live values update</w:t>
            </w:r>
          </w:p>
        </w:tc>
      </w:tr>
      <w:tr>
        <w:tc>
          <w:tcPr>
            <w:tcW w:type="dxa" w:w="2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Reading panel and section titles</w:t>
            </w:r>
          </w:p>
        </w:tc>
        <w:tc>
          <w:tcPr>
            <w:tcW w:type="dxa" w:w="2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Image 1: 'Portfolio Tokens', 'Home' in heavy bold sans</w:t>
            </w:r>
          </w:p>
        </w:tc>
        <w:tc>
          <w:tcPr>
            <w:tcW w:type="dxa" w:w="16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Syne 800</w:t>
            </w:r>
          </w:p>
        </w:tc>
        <w:tc>
          <w:tcPr>
            <w:tcW w:type="dxa" w:w="33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Ultra-geometric weight creates authority and visual hierarchy</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Reading descriptions and table data</w:t>
            </w:r>
          </w:p>
        </w:tc>
        <w:tc>
          <w:tcPr>
            <w:tcW w:type="dxa" w:w="2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Image 2: AceDeal transaction descriptions and timestamps</w:t>
            </w:r>
          </w:p>
        </w:tc>
        <w:tc>
          <w:tcPr>
            <w:tcW w:type="dxa" w:w="16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DM Sans</w:t>
            </w:r>
          </w:p>
        </w:tc>
        <w:tc>
          <w:tcPr>
            <w:tcW w:type="dxa" w:w="3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Neutral, optimised for 12–15px density in data-heavy tables</w:t>
            </w:r>
          </w:p>
        </w:tc>
      </w:tr>
      <w:tr>
        <w:tc>
          <w:tcPr>
            <w:tcW w:type="dxa" w:w="2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Reading badge labels and account IDs</w:t>
            </w:r>
          </w:p>
        </w:tc>
        <w:tc>
          <w:tcPr>
            <w:tcW w:type="dxa" w:w="2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Image 1: 'Withers' pill, Image 2: 'In Progress' status pill</w:t>
            </w:r>
          </w:p>
        </w:tc>
        <w:tc>
          <w:tcPr>
            <w:tcW w:type="dxa" w:w="16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DM Mono</w:t>
            </w:r>
          </w:p>
        </w:tc>
        <w:tc>
          <w:tcPr>
            <w:tcW w:type="dxa" w:w="33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Tight monospaced tracking fits pill containers; IDs align perfectly</w:t>
            </w:r>
          </w:p>
        </w:tc>
      </w:tr>
    </w:tbl>
    <w:p>
      <w:r>
        <w:br w:type="page"/>
      </w:r>
    </w:p>
    <w:p>
      <w:pPr>
        <w:pStyle w:val="Heading1"/>
        <w:pBdr>
          <w:bottom w:val="single" w:color="E8660A" w:sz="8" w:space="2"/>
        </w:pBdr>
        <w:spacing w:before="440" w:after="100"/>
      </w:pPr>
      <w:r>
        <w:rPr>
          <w:rFonts w:ascii="Arial" w:cs="Arial" w:eastAsia="Arial" w:hAnsi="Arial"/>
          <w:b/>
          <w:bCs/>
          <w:color w:val="1A1A2E"/>
          <w:sz w:val="38"/>
          <w:szCs w:val="38"/>
        </w:rPr>
        <w:t xml:space="preserve">2. Font 1 — Syne (Display &amp; Headings)</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E0E0E0" w:sz="1"/>
              <w:left w:val="single" w:color="E0E0E0" w:sz="1"/>
              <w:bottom w:val="single" w:color="E0E0E0" w:sz="1"/>
              <w:right w:val="single" w:color="E0E0E0" w:sz="1"/>
            </w:tcBorders>
            <w:shd w:fill="1A1A2E" w:val="clear"/>
            <w:tcMar>
              <w:top w:type="dxa" w:w="160"/>
              <w:left w:type="dxa" w:w="200"/>
              <w:bottom w:type="dxa" w:w="160"/>
              <w:right w:type="dxa" w:w="200"/>
            </w:tcMar>
            <w:vAlign w:val="center"/>
          </w:tcPr>
          <w:p>
            <w:pPr>
              <w:jc w:val="center"/>
            </w:pPr>
            <w:r>
              <w:rPr>
                <w:rFonts w:ascii="Arial" w:cs="Arial" w:eastAsia="Arial" w:hAnsi="Arial"/>
                <w:b/>
                <w:bCs/>
                <w:color w:val="FFFFFF"/>
                <w:sz w:val="64"/>
                <w:szCs w:val="64"/>
              </w:rPr>
              <w:t xml:space="preserve">Fund Flow</w:t>
            </w:r>
          </w:p>
          <w:p>
            <w:pPr>
              <w:jc w:val="center"/>
            </w:pPr>
            <w:r>
              <w:rPr>
                <w:rFonts w:ascii="Arial" w:cs="Arial" w:eastAsia="Arial" w:hAnsi="Arial"/>
                <w:color w:val="CCCCCC"/>
                <w:sz w:val="16"/>
                <w:szCs w:val="16"/>
              </w:rPr>
              <w:t xml:space="preserve">Syne 800 — Display</w:t>
            </w:r>
          </w:p>
        </w:tc>
        <w:tc>
          <w:tcPr>
            <w:tcW w:type="dxa" w:w="6480"/>
            <w:tcBorders>
              <w:top w:val="single" w:color="E0E0E0" w:sz="1"/>
              <w:left w:val="single" w:color="E0E0E0" w:sz="1"/>
              <w:bottom w:val="single" w:color="E0E0E0" w:sz="1"/>
              <w:right w:val="single" w:color="E0E0E0" w:sz="1"/>
            </w:tcBorders>
            <w:shd w:fill="FAFAFA" w:val="clear"/>
            <w:tcMar>
              <w:top w:type="dxa" w:w="120"/>
              <w:left w:type="dxa" w:w="200"/>
              <w:bottom w:type="dxa" w:w="120"/>
              <w:right w:type="dxa" w:w="200"/>
            </w:tcMar>
            <w:vAlign w:val="center"/>
          </w:tcPr>
          <w:p>
            <w:r>
              <w:rPr>
                <w:rFonts w:ascii="Arial" w:cs="Arial" w:eastAsia="Arial" w:hAnsi="Arial"/>
                <w:color w:val="333333"/>
                <w:sz w:val="19"/>
                <w:szCs w:val="19"/>
              </w:rPr>
              <w:t xml:space="preserve">Syne is a geometric display typeface designed for impactful headlines. Its ultra-bold 800 weight produces the same aggressive visual authority as the large titles in Image 1 ('Premium Plan', 'Home') and the AceDeal logo. It signals that this is a serious, professional platform — not a generic data tool.</w:t>
            </w:r>
          </w:p>
        </w:tc>
      </w:tr>
    </w:tbl>
    <w:p>
      <w:pPr>
        <w:spacing w:before="80" w:after="0"/>
      </w:pPr>
      <w:r>
        <w:t xml:space="preserve"/>
      </w:r>
    </w:p>
    <w:p>
      <w:pPr>
        <w:pStyle w:val="Heading2"/>
        <w:spacing w:before="300" w:after="100"/>
      </w:pPr>
      <w:r>
        <w:rPr>
          <w:rFonts w:ascii="Arial" w:cs="Arial" w:eastAsia="Arial" w:hAnsi="Arial"/>
          <w:b/>
          <w:bCs/>
          <w:color w:val="7B5EA7"/>
          <w:sz w:val="27"/>
          <w:szCs w:val="27"/>
        </w:rPr>
        <w:t xml:space="preserve">2.1  Syne Usage Rules</w:t>
      </w:r>
    </w:p>
    <w:tbl>
      <w:tblPr>
        <w:tblW w:type="dxa" w:w="1052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800"/>
        <w:gridCol w:w="1400"/>
        <w:gridCol w:w="3320"/>
      </w:tblGrid>
      <w:tr>
        <w:trPr>
          <w:tblHeader/>
        </w:trPr>
        <w:tc>
          <w:tcPr>
            <w:tcW w:type="dxa" w:w="20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Element</w:t>
            </w:r>
          </w:p>
        </w:tc>
        <w:tc>
          <w:tcPr>
            <w:tcW w:type="dxa" w:w="10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Weight</w:t>
            </w:r>
          </w:p>
        </w:tc>
        <w:tc>
          <w:tcPr>
            <w:tcW w:type="dxa" w:w="10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Size</w:t>
            </w:r>
          </w:p>
        </w:tc>
        <w:tc>
          <w:tcPr>
            <w:tcW w:type="dxa" w:w="18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Color</w:t>
            </w:r>
          </w:p>
        </w:tc>
        <w:tc>
          <w:tcPr>
            <w:tcW w:type="dxa" w:w="14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Letter Spacing</w:t>
            </w:r>
          </w:p>
        </w:tc>
        <w:tc>
          <w:tcPr>
            <w:tcW w:type="dxa" w:w="332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 Text</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Page / App Title</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800</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56–72px</w:t>
            </w:r>
          </w:p>
        </w:tc>
        <w:tc>
          <w:tcPr>
            <w:tcW w:type="dxa" w:w="1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#E8660A (orange)</w:t>
            </w:r>
          </w:p>
        </w:tc>
        <w:tc>
          <w:tcPr>
            <w:tcW w:type="dxa" w:w="1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−2px</w:t>
            </w:r>
          </w:p>
        </w:tc>
        <w:tc>
          <w:tcPr>
            <w:tcW w:type="dxa" w:w="3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Fund Flow Tracker</w:t>
            </w:r>
          </w:p>
        </w:tc>
      </w:tr>
      <w:tr>
        <w:tc>
          <w:tcPr>
            <w:tcW w:type="dxa" w:w="2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Main Panel Title</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800</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28–36px</w:t>
            </w:r>
          </w:p>
        </w:tc>
        <w:tc>
          <w:tcPr>
            <w:tcW w:type="dxa" w:w="1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#1A1A2E (navy)</w:t>
            </w:r>
          </w:p>
        </w:tc>
        <w:tc>
          <w:tcPr>
            <w:tcW w:type="dxa" w:w="1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−1px</w:t>
            </w:r>
          </w:p>
        </w:tc>
        <w:tc>
          <w:tcPr>
            <w:tcW w:type="dxa" w:w="33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Transaction Graph</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Section Heading</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700</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22–26px</w:t>
            </w:r>
          </w:p>
        </w:tc>
        <w:tc>
          <w:tcPr>
            <w:tcW w:type="dxa" w:w="1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#7B5EA7 (purple)</w:t>
            </w:r>
          </w:p>
        </w:tc>
        <w:tc>
          <w:tcPr>
            <w:tcW w:type="dxa" w:w="1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−0.5px</w:t>
            </w:r>
          </w:p>
        </w:tc>
        <w:tc>
          <w:tcPr>
            <w:tcW w:type="dxa" w:w="3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Alert Queue</w:t>
            </w:r>
          </w:p>
        </w:tc>
      </w:tr>
      <w:tr>
        <w:tc>
          <w:tcPr>
            <w:tcW w:type="dxa" w:w="2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Sub-section Label</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700</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16–18px</w:t>
            </w:r>
          </w:p>
        </w:tc>
        <w:tc>
          <w:tcPr>
            <w:tcW w:type="dxa" w:w="1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#1A1A2E (navy)</w:t>
            </w:r>
          </w:p>
        </w:tc>
        <w:tc>
          <w:tcPr>
            <w:tcW w:type="dxa" w:w="1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0px</w:t>
            </w:r>
          </w:p>
        </w:tc>
        <w:tc>
          <w:tcPr>
            <w:tcW w:type="dxa" w:w="33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Account Details</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Navigation Labels</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700</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13–14px</w:t>
            </w:r>
          </w:p>
        </w:tc>
        <w:tc>
          <w:tcPr>
            <w:tcW w:type="dxa" w:w="1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#888888 (muted)</w:t>
            </w:r>
          </w:p>
        </w:tc>
        <w:tc>
          <w:tcPr>
            <w:tcW w:type="dxa" w:w="1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0.5px</w:t>
            </w:r>
          </w:p>
        </w:tc>
        <w:tc>
          <w:tcPr>
            <w:tcW w:type="dxa" w:w="3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DASHBOARD</w:t>
            </w:r>
          </w:p>
        </w:tc>
      </w:tr>
      <w:tr>
        <w:tc>
          <w:tcPr>
            <w:tcW w:type="dxa" w:w="2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CTA Button Text</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700</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14–16px</w:t>
            </w:r>
          </w:p>
        </w:tc>
        <w:tc>
          <w:tcPr>
            <w:tcW w:type="dxa" w:w="1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#FFFFFF (white)</w:t>
            </w:r>
          </w:p>
        </w:tc>
        <w:tc>
          <w:tcPr>
            <w:tcW w:type="dxa" w:w="1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0.5px</w:t>
            </w:r>
          </w:p>
        </w:tc>
        <w:tc>
          <w:tcPr>
            <w:tcW w:type="dxa" w:w="33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Generate Report</w:t>
            </w:r>
          </w:p>
        </w:tc>
      </w:tr>
    </w:tbl>
    <w:p>
      <w:pPr>
        <w:spacing w:before="80" w:after="0"/>
      </w:pPr>
      <w:r>
        <w:t xml:space="preserve"/>
      </w:r>
    </w:p>
    <w:p>
      <w:pPr>
        <w:pStyle w:val="Heading2"/>
        <w:spacing w:before="300" w:after="100"/>
      </w:pPr>
      <w:r>
        <w:rPr>
          <w:rFonts w:ascii="Arial" w:cs="Arial" w:eastAsia="Arial" w:hAnsi="Arial"/>
          <w:b/>
          <w:bCs/>
          <w:color w:val="7B5EA7"/>
          <w:sz w:val="27"/>
          <w:szCs w:val="27"/>
        </w:rPr>
        <w:t xml:space="preserve">2.2  Syne — What NOT to Do</w:t>
      </w:r>
    </w:p>
    <w:p>
      <w:pPr>
        <w:pStyle w:val="ListParagraph"/>
        <w:numPr>
          <w:ilvl w:val="0"/>
          <w:numId w:val="2"/>
        </w:numPr>
        <w:spacing w:before="40" w:after="40"/>
      </w:pPr>
      <w:r>
        <w:rPr>
          <w:rFonts w:ascii="Arial" w:cs="Arial" w:eastAsia="Arial" w:hAnsi="Arial"/>
          <w:color w:val="333333"/>
          <w:sz w:val="20"/>
          <w:szCs w:val="20"/>
        </w:rPr>
        <w:t xml:space="preserve">Never use Syne below 13px — its geometric forms lose legibility at small sizes</w:t>
      </w:r>
    </w:p>
    <w:p>
      <w:pPr>
        <w:pStyle w:val="ListParagraph"/>
        <w:numPr>
          <w:ilvl w:val="0"/>
          <w:numId w:val="2"/>
        </w:numPr>
        <w:spacing w:before="40" w:after="40"/>
      </w:pPr>
      <w:r>
        <w:rPr>
          <w:rFonts w:ascii="Arial" w:cs="Arial" w:eastAsia="Arial" w:hAnsi="Arial"/>
          <w:color w:val="333333"/>
          <w:sz w:val="20"/>
          <w:szCs w:val="20"/>
        </w:rPr>
        <w:t xml:space="preserve">Never use Syne Regular (400) — the light weight loses its identity entirely</w:t>
      </w:r>
    </w:p>
    <w:p>
      <w:pPr>
        <w:pStyle w:val="ListParagraph"/>
        <w:numPr>
          <w:ilvl w:val="0"/>
          <w:numId w:val="2"/>
        </w:numPr>
        <w:spacing w:before="40" w:after="40"/>
      </w:pPr>
      <w:r>
        <w:rPr>
          <w:rFonts w:ascii="Arial" w:cs="Arial" w:eastAsia="Arial" w:hAnsi="Arial"/>
          <w:color w:val="333333"/>
          <w:sz w:val="20"/>
          <w:szCs w:val="20"/>
        </w:rPr>
        <w:t xml:space="preserve">Never use Syne for body paragraphs or table content — use DM Sans instead</w:t>
      </w:r>
    </w:p>
    <w:p>
      <w:pPr>
        <w:pStyle w:val="ListParagraph"/>
        <w:numPr>
          <w:ilvl w:val="0"/>
          <w:numId w:val="2"/>
        </w:numPr>
        <w:spacing w:before="40" w:after="40"/>
      </w:pPr>
      <w:r>
        <w:rPr>
          <w:rFonts w:ascii="Arial" w:cs="Arial" w:eastAsia="Arial" w:hAnsi="Arial"/>
          <w:color w:val="333333"/>
          <w:sz w:val="20"/>
          <w:szCs w:val="20"/>
        </w:rPr>
        <w:t xml:space="preserve">Never use Syne for financial numbers — Space Mono must handle all numeric data</w:t>
      </w:r>
    </w:p>
    <w:p>
      <w:pPr>
        <w:spacing w:before="60" w:after="0"/>
      </w:pPr>
      <w:r>
        <w:t xml:space="preserve"/>
      </w:r>
    </w:p>
    <w:p>
      <w:pPr>
        <w:pStyle w:val="Heading2"/>
        <w:spacing w:before="300" w:after="100"/>
      </w:pPr>
      <w:r>
        <w:rPr>
          <w:rFonts w:ascii="Arial" w:cs="Arial" w:eastAsia="Arial" w:hAnsi="Arial"/>
          <w:b/>
          <w:bCs/>
          <w:color w:val="7B5EA7"/>
          <w:sz w:val="27"/>
          <w:szCs w:val="27"/>
        </w:rPr>
        <w:t xml:space="preserve">2.3  Google Fonts Import — Syne Only</w:t>
      </w:r>
    </w:p>
    <w:p>
      <w:pPr>
        <w:spacing w:before="40" w:after="40"/>
      </w:pPr>
      <w:r>
        <w:rPr>
          <w:rFonts w:ascii="Courier New" w:cs="Courier New" w:eastAsia="Courier New" w:hAnsi="Courier New"/>
          <w:b/>
          <w:bCs/>
          <w:color w:val="E8660A"/>
          <w:sz w:val="19"/>
          <w:szCs w:val="19"/>
        </w:rPr>
        <w:t xml:space="preserve">@import url('https://fonts.googleapis.com/css2?family=Syne:wght@700;800&amp;display=swap');</w:t>
      </w:r>
    </w:p>
    <w:p>
      <w:pPr>
        <w:spacing w:before="40" w:after="0"/>
      </w:pPr>
      <w:r>
        <w:t xml:space="preserve"/>
      </w:r>
    </w:p>
    <w:p>
      <w:pPr>
        <w:spacing w:before="40" w:after="40"/>
      </w:pPr>
      <w:r>
        <w:rPr>
          <w:rFonts w:ascii="Courier New" w:cs="Courier New" w:eastAsia="Courier New" w:hAnsi="Courier New"/>
          <w:b/>
          <w:bCs/>
          <w:color w:val="E8660A"/>
          <w:sz w:val="19"/>
          <w:szCs w:val="19"/>
        </w:rPr>
        <w:t xml:space="preserve">font-family: 'Syne', sans-serif;</w:t>
      </w:r>
    </w:p>
    <w:p>
      <w:r>
        <w:br w:type="page"/>
      </w:r>
    </w:p>
    <w:p>
      <w:pPr>
        <w:pStyle w:val="Heading1"/>
        <w:pBdr>
          <w:bottom w:val="single" w:color="E8660A" w:sz="8" w:space="2"/>
        </w:pBdr>
        <w:spacing w:before="440" w:after="100"/>
      </w:pPr>
      <w:r>
        <w:rPr>
          <w:rFonts w:ascii="Arial" w:cs="Arial" w:eastAsia="Arial" w:hAnsi="Arial"/>
          <w:b/>
          <w:bCs/>
          <w:color w:val="1A1A2E"/>
          <w:sz w:val="38"/>
          <w:szCs w:val="38"/>
        </w:rPr>
        <w:t xml:space="preserve">3. Font 2 — Space Mono (Financial Numbers)</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E0E0E0" w:sz="1"/>
              <w:left w:val="single" w:color="E0E0E0" w:sz="1"/>
              <w:bottom w:val="single" w:color="E0E0E0" w:sz="1"/>
              <w:right w:val="single" w:color="E0E0E0" w:sz="1"/>
            </w:tcBorders>
            <w:shd w:fill="1A1A1A" w:val="clear"/>
            <w:tcMar>
              <w:top w:type="dxa" w:w="160"/>
              <w:left w:type="dxa" w:w="200"/>
              <w:bottom w:type="dxa" w:w="160"/>
              <w:right w:type="dxa" w:w="200"/>
            </w:tcMar>
            <w:vAlign w:val="center"/>
          </w:tcPr>
          <w:p>
            <w:pPr>
              <w:jc w:val="center"/>
            </w:pPr>
            <w:r>
              <w:rPr>
                <w:rFonts w:ascii="Courier New" w:cs="Courier New" w:eastAsia="Courier New" w:hAnsi="Courier New"/>
                <w:b/>
                <w:bCs/>
                <w:color w:val="E8660A"/>
                <w:sz w:val="60"/>
                <w:szCs w:val="60"/>
              </w:rPr>
              <w:t xml:space="preserve">₹5,654.32</w:t>
            </w:r>
          </w:p>
          <w:p>
            <w:pPr>
              <w:jc w:val="center"/>
            </w:pPr>
            <w:r>
              <w:rPr>
                <w:rFonts w:ascii="Arial" w:cs="Arial" w:eastAsia="Arial" w:hAnsi="Arial"/>
                <w:color w:val="888888"/>
                <w:sz w:val="16"/>
                <w:szCs w:val="16"/>
              </w:rPr>
              <w:t xml:space="preserve">Space Mono 700 — Numbers</w:t>
            </w:r>
          </w:p>
        </w:tc>
        <w:tc>
          <w:tcPr>
            <w:tcW w:type="dxa" w:w="6480"/>
            <w:tcBorders>
              <w:top w:val="single" w:color="E0E0E0" w:sz="1"/>
              <w:left w:val="single" w:color="E0E0E0" w:sz="1"/>
              <w:bottom w:val="single" w:color="E0E0E0" w:sz="1"/>
              <w:right w:val="single" w:color="E0E0E0" w:sz="1"/>
            </w:tcBorders>
            <w:shd w:fill="FAFAFA" w:val="clear"/>
            <w:tcMar>
              <w:top w:type="dxa" w:w="120"/>
              <w:left w:type="dxa" w:w="200"/>
              <w:bottom w:type="dxa" w:w="120"/>
              <w:right w:type="dxa" w:w="200"/>
            </w:tcMar>
            <w:vAlign w:val="center"/>
          </w:tcPr>
          <w:p>
            <w:r>
              <w:rPr>
                <w:rFonts w:ascii="Arial" w:cs="Arial" w:eastAsia="Arial" w:hAnsi="Arial"/>
                <w:color w:val="333333"/>
                <w:sz w:val="19"/>
                <w:szCs w:val="19"/>
              </w:rPr>
              <w:t xml:space="preserve">Space Mono is a fixed-width typeface designed for code and data display. Every digit is exactly the same width — this prevents the number '₹1,234.56' from jumping in width when it updates live to '₹10,000.00'. This is the exact visual treatment used in Image 1 for the '$5,654.32' account balance and '$32,569.32' total profit figure.</w:t>
            </w:r>
          </w:p>
        </w:tc>
      </w:tr>
    </w:tbl>
    <w:p>
      <w:pPr>
        <w:spacing w:before="80" w:after="0"/>
      </w:pPr>
      <w:r>
        <w:t xml:space="preserve"/>
      </w:r>
    </w:p>
    <w:p>
      <w:pPr>
        <w:pStyle w:val="Heading2"/>
        <w:spacing w:before="300" w:after="100"/>
      </w:pPr>
      <w:r>
        <w:rPr>
          <w:rFonts w:ascii="Arial" w:cs="Arial" w:eastAsia="Arial" w:hAnsi="Arial"/>
          <w:b/>
          <w:bCs/>
          <w:color w:val="7B5EA7"/>
          <w:sz w:val="27"/>
          <w:szCs w:val="27"/>
        </w:rPr>
        <w:t xml:space="preserve">3.1  Space Mono Usage Rules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2200"/>
        <w:gridCol w:w="3120"/>
      </w:tblGrid>
      <w:tr>
        <w:trPr>
          <w:tblHeader/>
        </w:trPr>
        <w:tc>
          <w:tcPr>
            <w:tcW w:type="dxa" w:w="24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Element</w:t>
            </w:r>
          </w:p>
        </w:tc>
        <w:tc>
          <w:tcPr>
            <w:tcW w:type="dxa" w:w="10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Weight</w:t>
            </w:r>
          </w:p>
        </w:tc>
        <w:tc>
          <w:tcPr>
            <w:tcW w:type="dxa" w:w="10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Size</w:t>
            </w:r>
          </w:p>
        </w:tc>
        <w:tc>
          <w:tcPr>
            <w:tcW w:type="dxa" w:w="22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Color</w:t>
            </w:r>
          </w:p>
        </w:tc>
        <w:tc>
          <w:tcPr>
            <w:tcW w:type="dxa" w:w="312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Hero Balance / Main KPI</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700</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40–56px</w:t>
            </w:r>
          </w:p>
        </w:tc>
        <w:tc>
          <w:tcPr>
            <w:tcW w:type="dxa" w:w="2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#F0F0F0 on dark / #1A1A2E on light</w:t>
            </w:r>
          </w:p>
        </w:tc>
        <w:tc>
          <w:tcPr>
            <w:tcW w:type="dxa" w:w="31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₹5,654.32</w:t>
            </w:r>
          </w:p>
        </w:tc>
      </w:tr>
      <w:tr>
        <w:tc>
          <w:tcPr>
            <w:tcW w:type="dxa" w:w="2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Secondary KPI Value</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700</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28–36px</w:t>
            </w:r>
          </w:p>
        </w:tc>
        <w:tc>
          <w:tcPr>
            <w:tcW w:type="dxa" w:w="2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#F0F0F0 on dark / #1A1A2E on light</w:t>
            </w:r>
          </w:p>
        </w:tc>
        <w:tc>
          <w:tcPr>
            <w:tcW w:type="dxa" w:w="31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₹32,569.32</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Chart Tooltip Amount</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400</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13–15px</w:t>
            </w:r>
          </w:p>
        </w:tc>
        <w:tc>
          <w:tcPr>
            <w:tcW w:type="dxa" w:w="2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#F0F0F0</w:t>
            </w:r>
          </w:p>
        </w:tc>
        <w:tc>
          <w:tcPr>
            <w:tcW w:type="dxa" w:w="31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₹45,547.00</w:t>
            </w:r>
          </w:p>
        </w:tc>
      </w:tr>
      <w:tr>
        <w:tc>
          <w:tcPr>
            <w:tcW w:type="dxa" w:w="2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Table Amount Column</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400</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13px</w:t>
            </w:r>
          </w:p>
        </w:tc>
        <w:tc>
          <w:tcPr>
            <w:tcW w:type="dxa" w:w="2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#333333</w:t>
            </w:r>
          </w:p>
        </w:tc>
        <w:tc>
          <w:tcPr>
            <w:tcW w:type="dxa" w:w="31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₹21,452.12</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Risk Score Display</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700</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32–40px</w:t>
            </w:r>
          </w:p>
        </w:tc>
        <w:tc>
          <w:tcPr>
            <w:tcW w:type="dxa" w:w="2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Gradient: green→red</w:t>
            </w:r>
          </w:p>
        </w:tc>
        <w:tc>
          <w:tcPr>
            <w:tcW w:type="dxa" w:w="31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74 / 100</w:t>
            </w:r>
          </w:p>
        </w:tc>
      </w:tr>
      <w:tr>
        <w:tc>
          <w:tcPr>
            <w:tcW w:type="dxa" w:w="2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Percentage Delta</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700</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12–14px</w:t>
            </w:r>
          </w:p>
        </w:tc>
        <w:tc>
          <w:tcPr>
            <w:tcW w:type="dxa" w:w="2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#00C48C / #FF4757</w:t>
            </w:r>
          </w:p>
        </w:tc>
        <w:tc>
          <w:tcPr>
            <w:tcW w:type="dxa" w:w="31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 56.32%</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Account / Transaction ID</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400</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11–12px</w:t>
            </w:r>
          </w:p>
        </w:tc>
        <w:tc>
          <w:tcPr>
            <w:tcW w:type="dxa" w:w="2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#888888</w:t>
            </w:r>
          </w:p>
        </w:tc>
        <w:tc>
          <w:tcPr>
            <w:tcW w:type="dxa" w:w="31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TXN-2024-00842</w:t>
            </w:r>
          </w:p>
        </w:tc>
      </w:tr>
      <w:tr>
        <w:tc>
          <w:tcPr>
            <w:tcW w:type="dxa" w:w="2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Timestamp in Detail View</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400</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12px</w:t>
            </w:r>
          </w:p>
        </w:tc>
        <w:tc>
          <w:tcPr>
            <w:tcW w:type="dxa" w:w="2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#888888</w:t>
            </w:r>
          </w:p>
        </w:tc>
        <w:tc>
          <w:tcPr>
            <w:tcW w:type="dxa" w:w="31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14 Mar 2026  23:19</w:t>
            </w:r>
          </w:p>
        </w:tc>
      </w:tr>
    </w:tbl>
    <w:p>
      <w:pPr>
        <w:spacing w:before="80" w:after="0"/>
      </w:pPr>
      <w:r>
        <w:t xml:space="preserve"/>
      </w:r>
    </w:p>
    <w:p>
      <w:pPr>
        <w:pStyle w:val="Heading2"/>
        <w:spacing w:before="300" w:after="100"/>
      </w:pPr>
      <w:r>
        <w:rPr>
          <w:rFonts w:ascii="Arial" w:cs="Arial" w:eastAsia="Arial" w:hAnsi="Arial"/>
          <w:b/>
          <w:bCs/>
          <w:color w:val="7B5EA7"/>
          <w:sz w:val="27"/>
          <w:szCs w:val="27"/>
        </w:rPr>
        <w:t xml:space="preserve">3.2  Number Formatting Standards</w:t>
      </w:r>
    </w:p>
    <w:p>
      <w:pPr>
        <w:pStyle w:val="ListParagraph"/>
        <w:numPr>
          <w:ilvl w:val="0"/>
          <w:numId w:val="2"/>
        </w:numPr>
        <w:spacing w:before="40" w:after="40"/>
      </w:pPr>
      <w:r>
        <w:rPr>
          <w:rFonts w:ascii="Arial" w:cs="Arial" w:eastAsia="Arial" w:hAnsi="Arial"/>
          <w:color w:val="333333"/>
          <w:sz w:val="20"/>
          <w:szCs w:val="20"/>
        </w:rPr>
        <w:t xml:space="preserve">Indian number format for all INR amounts: ₹12,54,320.00 (not ₹1,254,320.00)</w:t>
      </w:r>
    </w:p>
    <w:p>
      <w:pPr>
        <w:pStyle w:val="ListParagraph"/>
        <w:numPr>
          <w:ilvl w:val="0"/>
          <w:numId w:val="2"/>
        </w:numPr>
        <w:spacing w:before="40" w:after="40"/>
      </w:pPr>
      <w:r>
        <w:rPr>
          <w:rFonts w:ascii="Arial" w:cs="Arial" w:eastAsia="Arial" w:hAnsi="Arial"/>
          <w:color w:val="333333"/>
          <w:sz w:val="20"/>
          <w:szCs w:val="20"/>
        </w:rPr>
        <w:t xml:space="preserve">Abbreviated format in graph tooltips and small cards: ₹12.5L, ₹3.2Cr, ₹450K</w:t>
      </w:r>
    </w:p>
    <w:p>
      <w:pPr>
        <w:pStyle w:val="ListParagraph"/>
        <w:numPr>
          <w:ilvl w:val="0"/>
          <w:numId w:val="2"/>
        </w:numPr>
        <w:spacing w:before="40" w:after="40"/>
      </w:pPr>
      <w:r>
        <w:rPr>
          <w:rFonts w:ascii="Arial" w:cs="Arial" w:eastAsia="Arial" w:hAnsi="Arial"/>
          <w:color w:val="333333"/>
          <w:sz w:val="20"/>
          <w:szCs w:val="20"/>
        </w:rPr>
        <w:t xml:space="preserve">Always show sign for delta values: +₹2,340.00 or −₹890.00</w:t>
      </w:r>
    </w:p>
    <w:p>
      <w:pPr>
        <w:pStyle w:val="ListParagraph"/>
        <w:numPr>
          <w:ilvl w:val="0"/>
          <w:numId w:val="2"/>
        </w:numPr>
        <w:spacing w:before="40" w:after="40"/>
      </w:pPr>
      <w:r>
        <w:rPr>
          <w:rFonts w:ascii="Arial" w:cs="Arial" w:eastAsia="Arial" w:hAnsi="Arial"/>
          <w:color w:val="333333"/>
          <w:sz w:val="20"/>
          <w:szCs w:val="20"/>
        </w:rPr>
        <w:t xml:space="preserve">Risk scores always shown as XX / 100 with a space around the slash</w:t>
      </w:r>
    </w:p>
    <w:p>
      <w:pPr>
        <w:pStyle w:val="ListParagraph"/>
        <w:numPr>
          <w:ilvl w:val="0"/>
          <w:numId w:val="2"/>
        </w:numPr>
        <w:spacing w:before="40" w:after="40"/>
      </w:pPr>
      <w:r>
        <w:rPr>
          <w:rFonts w:ascii="Arial" w:cs="Arial" w:eastAsia="Arial" w:hAnsi="Arial"/>
          <w:color w:val="333333"/>
          <w:sz w:val="20"/>
          <w:szCs w:val="20"/>
        </w:rPr>
        <w:t xml:space="preserve">Percentages always show two decimal places: 56.32% not 56%</w:t>
      </w:r>
    </w:p>
    <w:p>
      <w:pPr>
        <w:pStyle w:val="ListParagraph"/>
        <w:numPr>
          <w:ilvl w:val="0"/>
          <w:numId w:val="2"/>
        </w:numPr>
        <w:spacing w:before="40" w:after="40"/>
      </w:pPr>
      <w:r>
        <w:rPr>
          <w:rFonts w:ascii="Arial" w:cs="Arial" w:eastAsia="Arial" w:hAnsi="Arial"/>
          <w:color w:val="333333"/>
          <w:sz w:val="20"/>
          <w:szCs w:val="20"/>
        </w:rPr>
        <w:t xml:space="preserve">Never mix Space Mono and Syne in the same number — all digits must be Space Mono</w:t>
      </w:r>
    </w:p>
    <w:p>
      <w:pPr>
        <w:spacing w:before="60" w:after="0"/>
      </w:pPr>
      <w:r>
        <w:t xml:space="preserve"/>
      </w:r>
    </w:p>
    <w:p>
      <w:pPr>
        <w:pStyle w:val="Heading2"/>
        <w:spacing w:before="300" w:after="100"/>
      </w:pPr>
      <w:r>
        <w:rPr>
          <w:rFonts w:ascii="Arial" w:cs="Arial" w:eastAsia="Arial" w:hAnsi="Arial"/>
          <w:b/>
          <w:bCs/>
          <w:color w:val="7B5EA7"/>
          <w:sz w:val="27"/>
          <w:szCs w:val="27"/>
        </w:rPr>
        <w:t xml:space="preserve">3.3  Google Fonts Import — Space Mono Only</w:t>
      </w:r>
    </w:p>
    <w:p>
      <w:pPr>
        <w:spacing w:before="40" w:after="40"/>
      </w:pPr>
      <w:r>
        <w:rPr>
          <w:rFonts w:ascii="Courier New" w:cs="Courier New" w:eastAsia="Courier New" w:hAnsi="Courier New"/>
          <w:b/>
          <w:bCs/>
          <w:color w:val="E8660A"/>
          <w:sz w:val="19"/>
          <w:szCs w:val="19"/>
        </w:rPr>
        <w:t xml:space="preserve">@import url('https://fonts.googleapis.com/css2?family=Space+Mono:wght@400;700&amp;display=swap');</w:t>
      </w:r>
    </w:p>
    <w:p>
      <w:pPr>
        <w:spacing w:before="40" w:after="0"/>
      </w:pPr>
      <w:r>
        <w:t xml:space="preserve"/>
      </w:r>
    </w:p>
    <w:p>
      <w:pPr>
        <w:spacing w:before="40" w:after="40"/>
      </w:pPr>
      <w:r>
        <w:rPr>
          <w:rFonts w:ascii="Courier New" w:cs="Courier New" w:eastAsia="Courier New" w:hAnsi="Courier New"/>
          <w:b/>
          <w:bCs/>
          <w:color w:val="E8660A"/>
          <w:sz w:val="19"/>
          <w:szCs w:val="19"/>
        </w:rPr>
        <w:t xml:space="preserve">font-family: 'Space Mono', monospace;</w:t>
      </w:r>
    </w:p>
    <w:p>
      <w:pPr>
        <w:spacing w:before="40" w:after="0"/>
      </w:pPr>
      <w:r>
        <w:t xml:space="preserve"/>
      </w:r>
    </w:p>
    <w:p>
      <w:pPr>
        <w:spacing w:before="40" w:after="40"/>
      </w:pPr>
      <w:r>
        <w:rPr>
          <w:rFonts w:ascii="Courier New" w:cs="Courier New" w:eastAsia="Courier New" w:hAnsi="Courier New"/>
          <w:b/>
          <w:bCs/>
          <w:color w:val="E8660A"/>
          <w:sz w:val="19"/>
          <w:szCs w:val="19"/>
        </w:rPr>
        <w:t xml:space="preserve">font-variant-numeric: tabular-nums;  /* Critical for live updates */</w:t>
      </w:r>
    </w:p>
    <w:p>
      <w:r>
        <w:br w:type="page"/>
      </w:r>
    </w:p>
    <w:p>
      <w:pPr>
        <w:pStyle w:val="Heading1"/>
        <w:pBdr>
          <w:bottom w:val="single" w:color="E8660A" w:sz="8" w:space="2"/>
        </w:pBdr>
        <w:spacing w:before="440" w:after="100"/>
      </w:pPr>
      <w:r>
        <w:rPr>
          <w:rFonts w:ascii="Arial" w:cs="Arial" w:eastAsia="Arial" w:hAnsi="Arial"/>
          <w:b/>
          <w:bCs/>
          <w:color w:val="1A1A2E"/>
          <w:sz w:val="38"/>
          <w:szCs w:val="38"/>
        </w:rPr>
        <w:t xml:space="preserve">4. Font 3 — DM Sans (Body &amp; Labels)</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E0E0E0" w:sz="1"/>
              <w:left w:val="single" w:color="E0E0E0" w:sz="1"/>
              <w:bottom w:val="single" w:color="E0E0E0" w:sz="1"/>
              <w:right w:val="single" w:color="E0E0E0" w:sz="1"/>
            </w:tcBorders>
            <w:shd w:fill="F7F5FF" w:val="clear"/>
            <w:tcMar>
              <w:top w:type="dxa" w:w="160"/>
              <w:left w:type="dxa" w:w="200"/>
              <w:bottom w:type="dxa" w:w="160"/>
              <w:right w:type="dxa" w:w="200"/>
            </w:tcMar>
            <w:vAlign w:val="center"/>
          </w:tcPr>
          <w:p>
            <w:pPr>
              <w:jc w:val="center"/>
            </w:pPr>
            <w:r>
              <w:rPr>
                <w:rFonts w:ascii="Arial" w:cs="Arial" w:eastAsia="Arial" w:hAnsi="Arial"/>
                <w:b w:val="false"/>
                <w:bCs w:val="false"/>
                <w:color w:val="333333"/>
                <w:sz w:val="22"/>
                <w:szCs w:val="22"/>
              </w:rPr>
              <w:t xml:space="preserve">Transaction detected between HDFC Savings A/C and dormant corporate account — circular pattern flagged</w:t>
            </w:r>
          </w:p>
          <w:p>
            <w:pPr>
              <w:jc w:val="center"/>
            </w:pPr>
            <w:r>
              <w:rPr>
                <w:rFonts w:ascii="Arial" w:cs="Arial" w:eastAsia="Arial" w:hAnsi="Arial"/>
                <w:color w:val="888888"/>
                <w:sz w:val="16"/>
                <w:szCs w:val="16"/>
              </w:rPr>
              <w:t xml:space="preserve">DM Sans 400 — Body</w:t>
            </w:r>
          </w:p>
        </w:tc>
        <w:tc>
          <w:tcPr>
            <w:tcW w:type="dxa" w:w="6480"/>
            <w:tcBorders>
              <w:top w:val="single" w:color="E0E0E0" w:sz="1"/>
              <w:left w:val="single" w:color="E0E0E0" w:sz="1"/>
              <w:bottom w:val="single" w:color="E0E0E0" w:sz="1"/>
              <w:right w:val="single" w:color="E0E0E0" w:sz="1"/>
            </w:tcBorders>
            <w:shd w:fill="FAFAFA" w:val="clear"/>
            <w:tcMar>
              <w:top w:type="dxa" w:w="120"/>
              <w:left w:type="dxa" w:w="200"/>
              <w:bottom w:type="dxa" w:w="120"/>
              <w:right w:type="dxa" w:w="200"/>
            </w:tcMar>
            <w:vAlign w:val="center"/>
          </w:tcPr>
          <w:p>
            <w:r>
              <w:rPr>
                <w:rFonts w:ascii="Arial" w:cs="Arial" w:eastAsia="Arial" w:hAnsi="Arial"/>
                <w:color w:val="333333"/>
                <w:sz w:val="19"/>
                <w:szCs w:val="19"/>
              </w:rPr>
              <w:t xml:space="preserve">DM Sans is a geometric sans-serif specifically optimised for UI and digital screens. It maintains excellent legibility at 12–15px — the size range used for all table content, card descriptions, timestamps, and form labels. Its slightly condensed proportions allow more content density without crowding, matching the tight information layout seen in both reference dashboards.</w:t>
            </w:r>
          </w:p>
        </w:tc>
      </w:tr>
    </w:tbl>
    <w:p>
      <w:pPr>
        <w:spacing w:before="80" w:after="0"/>
      </w:pPr>
      <w:r>
        <w:t xml:space="preserve"/>
      </w:r>
    </w:p>
    <w:p>
      <w:pPr>
        <w:pStyle w:val="Heading2"/>
        <w:spacing w:before="300" w:after="100"/>
      </w:pPr>
      <w:r>
        <w:rPr>
          <w:rFonts w:ascii="Arial" w:cs="Arial" w:eastAsia="Arial" w:hAnsi="Arial"/>
          <w:b/>
          <w:bCs/>
          <w:color w:val="7B5EA7"/>
          <w:sz w:val="27"/>
          <w:szCs w:val="27"/>
        </w:rPr>
        <w:t xml:space="preserve">4.1  DM Sans Usage Rules</w:t>
      </w:r>
    </w:p>
    <w:tbl>
      <w:tblPr>
        <w:tblW w:type="dxa" w:w="1022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1200"/>
        <w:gridCol w:w="1600"/>
        <w:gridCol w:w="3320"/>
      </w:tblGrid>
      <w:tr>
        <w:trPr>
          <w:tblHeader/>
        </w:trPr>
        <w:tc>
          <w:tcPr>
            <w:tcW w:type="dxa" w:w="22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Element</w:t>
            </w:r>
          </w:p>
        </w:tc>
        <w:tc>
          <w:tcPr>
            <w:tcW w:type="dxa" w:w="10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Weight</w:t>
            </w:r>
          </w:p>
        </w:tc>
        <w:tc>
          <w:tcPr>
            <w:tcW w:type="dxa" w:w="9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Size</w:t>
            </w:r>
          </w:p>
        </w:tc>
        <w:tc>
          <w:tcPr>
            <w:tcW w:type="dxa" w:w="12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Line Height</w:t>
            </w:r>
          </w:p>
        </w:tc>
        <w:tc>
          <w:tcPr>
            <w:tcW w:type="dxa" w:w="16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Color</w:t>
            </w:r>
          </w:p>
        </w:tc>
        <w:tc>
          <w:tcPr>
            <w:tcW w:type="dxa" w:w="332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Card description text</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400</w:t>
            </w:r>
          </w:p>
        </w:tc>
        <w:tc>
          <w:tcPr>
            <w:tcW w:type="dxa" w:w="9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14–15px</w:t>
            </w:r>
          </w:p>
        </w:tc>
        <w:tc>
          <w:tcPr>
            <w:tcW w:type="dxa" w:w="1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1.6</w:t>
            </w:r>
          </w:p>
        </w:tc>
        <w:tc>
          <w:tcPr>
            <w:tcW w:type="dxa" w:w="16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#333333</w:t>
            </w:r>
          </w:p>
        </w:tc>
        <w:tc>
          <w:tcPr>
            <w:tcW w:type="dxa" w:w="3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Unusual outflow from dormant account</w:t>
            </w:r>
          </w:p>
        </w:tc>
      </w:tr>
      <w:tr>
        <w:tc>
          <w:tcPr>
            <w:tcW w:type="dxa" w:w="2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Table body content</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400</w:t>
            </w:r>
          </w:p>
        </w:tc>
        <w:tc>
          <w:tcPr>
            <w:tcW w:type="dxa" w:w="9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13px</w:t>
            </w:r>
          </w:p>
        </w:tc>
        <w:tc>
          <w:tcPr>
            <w:tcW w:type="dxa" w:w="1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1.5</w:t>
            </w:r>
          </w:p>
        </w:tc>
        <w:tc>
          <w:tcPr>
            <w:tcW w:type="dxa" w:w="16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#444444</w:t>
            </w:r>
          </w:p>
        </w:tc>
        <w:tc>
          <w:tcPr>
            <w:tcW w:type="dxa" w:w="33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Transfer via NEFT to Corp A/C</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Timestamp — relative</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300</w:t>
            </w:r>
          </w:p>
        </w:tc>
        <w:tc>
          <w:tcPr>
            <w:tcW w:type="dxa" w:w="9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12px</w:t>
            </w:r>
          </w:p>
        </w:tc>
        <w:tc>
          <w:tcPr>
            <w:tcW w:type="dxa" w:w="1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1.4</w:t>
            </w:r>
          </w:p>
        </w:tc>
        <w:tc>
          <w:tcPr>
            <w:tcW w:type="dxa" w:w="16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#888888</w:t>
            </w:r>
          </w:p>
        </w:tc>
        <w:tc>
          <w:tcPr>
            <w:tcW w:type="dxa" w:w="3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2 minutes ago</w:t>
            </w:r>
          </w:p>
        </w:tc>
      </w:tr>
      <w:tr>
        <w:tc>
          <w:tcPr>
            <w:tcW w:type="dxa" w:w="2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Timestamp — absolute</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300</w:t>
            </w:r>
          </w:p>
        </w:tc>
        <w:tc>
          <w:tcPr>
            <w:tcW w:type="dxa" w:w="9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12px</w:t>
            </w:r>
          </w:p>
        </w:tc>
        <w:tc>
          <w:tcPr>
            <w:tcW w:type="dxa" w:w="1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1.4</w:t>
            </w:r>
          </w:p>
        </w:tc>
        <w:tc>
          <w:tcPr>
            <w:tcW w:type="dxa" w:w="16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#888888</w:t>
            </w:r>
          </w:p>
        </w:tc>
        <w:tc>
          <w:tcPr>
            <w:tcW w:type="dxa" w:w="33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14 Mar 2026, 23:19</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Form field label</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500</w:t>
            </w:r>
          </w:p>
        </w:tc>
        <w:tc>
          <w:tcPr>
            <w:tcW w:type="dxa" w:w="9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12px</w:t>
            </w:r>
          </w:p>
        </w:tc>
        <w:tc>
          <w:tcPr>
            <w:tcW w:type="dxa" w:w="1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1.4</w:t>
            </w:r>
          </w:p>
        </w:tc>
        <w:tc>
          <w:tcPr>
            <w:tcW w:type="dxa" w:w="16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#555555</w:t>
            </w:r>
          </w:p>
        </w:tc>
        <w:tc>
          <w:tcPr>
            <w:tcW w:type="dxa" w:w="3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Account Number</w:t>
            </w:r>
          </w:p>
        </w:tc>
      </w:tr>
      <w:tr>
        <w:tc>
          <w:tcPr>
            <w:tcW w:type="dxa" w:w="2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Input placeholder</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300</w:t>
            </w:r>
          </w:p>
        </w:tc>
        <w:tc>
          <w:tcPr>
            <w:tcW w:type="dxa" w:w="9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13px</w:t>
            </w:r>
          </w:p>
        </w:tc>
        <w:tc>
          <w:tcPr>
            <w:tcW w:type="dxa" w:w="1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1.4</w:t>
            </w:r>
          </w:p>
        </w:tc>
        <w:tc>
          <w:tcPr>
            <w:tcW w:type="dxa" w:w="16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#AAAAAA</w:t>
            </w:r>
          </w:p>
        </w:tc>
        <w:tc>
          <w:tcPr>
            <w:tcW w:type="dxa" w:w="33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Search by account ID or name...</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Alert description</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400</w:t>
            </w:r>
          </w:p>
        </w:tc>
        <w:tc>
          <w:tcPr>
            <w:tcW w:type="dxa" w:w="9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13–14px</w:t>
            </w:r>
          </w:p>
        </w:tc>
        <w:tc>
          <w:tcPr>
            <w:tcW w:type="dxa" w:w="1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1.7</w:t>
            </w:r>
          </w:p>
        </w:tc>
        <w:tc>
          <w:tcPr>
            <w:tcW w:type="dxa" w:w="16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#333333</w:t>
            </w:r>
          </w:p>
        </w:tc>
        <w:tc>
          <w:tcPr>
            <w:tcW w:type="dxa" w:w="3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Round-trip pattern: 4 accounts, 3 hops</w:t>
            </w:r>
          </w:p>
        </w:tc>
      </w:tr>
      <w:tr>
        <w:tc>
          <w:tcPr>
            <w:tcW w:type="dxa" w:w="2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Sidebar nav label</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500</w:t>
            </w:r>
          </w:p>
        </w:tc>
        <w:tc>
          <w:tcPr>
            <w:tcW w:type="dxa" w:w="9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12–13px</w:t>
            </w:r>
          </w:p>
        </w:tc>
        <w:tc>
          <w:tcPr>
            <w:tcW w:type="dxa" w:w="1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1.4</w:t>
            </w:r>
          </w:p>
        </w:tc>
        <w:tc>
          <w:tcPr>
            <w:tcW w:type="dxa" w:w="16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#AAAAAA / active: #E8660A</w:t>
            </w:r>
          </w:p>
        </w:tc>
        <w:tc>
          <w:tcPr>
            <w:tcW w:type="dxa" w:w="33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Dashboard</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Tooltip body text</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400</w:t>
            </w:r>
          </w:p>
        </w:tc>
        <w:tc>
          <w:tcPr>
            <w:tcW w:type="dxa" w:w="9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12px</w:t>
            </w:r>
          </w:p>
        </w:tc>
        <w:tc>
          <w:tcPr>
            <w:tcW w:type="dxa" w:w="1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1.5</w:t>
            </w:r>
          </w:p>
        </w:tc>
        <w:tc>
          <w:tcPr>
            <w:tcW w:type="dxa" w:w="16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#FFFFFF on dark bg</w:t>
            </w:r>
          </w:p>
        </w:tc>
        <w:tc>
          <w:tcPr>
            <w:tcW w:type="dxa" w:w="3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Click to view full transaction trail</w:t>
            </w:r>
          </w:p>
        </w:tc>
      </w:tr>
      <w:tr>
        <w:tc>
          <w:tcPr>
            <w:tcW w:type="dxa" w:w="2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Empty state message</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300</w:t>
            </w:r>
          </w:p>
        </w:tc>
        <w:tc>
          <w:tcPr>
            <w:tcW w:type="dxa" w:w="9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14px</w:t>
            </w:r>
          </w:p>
        </w:tc>
        <w:tc>
          <w:tcPr>
            <w:tcW w:type="dxa" w:w="1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1.8</w:t>
            </w:r>
          </w:p>
        </w:tc>
        <w:tc>
          <w:tcPr>
            <w:tcW w:type="dxa" w:w="16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#888888</w:t>
            </w:r>
          </w:p>
        </w:tc>
        <w:tc>
          <w:tcPr>
            <w:tcW w:type="dxa" w:w="33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No alerts detected in the last 24 hours</w:t>
            </w:r>
          </w:p>
        </w:tc>
      </w:tr>
    </w:tbl>
    <w:p>
      <w:pPr>
        <w:spacing w:before="80" w:after="0"/>
      </w:pPr>
      <w:r>
        <w:t xml:space="preserve"/>
      </w:r>
    </w:p>
    <w:p>
      <w:pPr>
        <w:pStyle w:val="Heading2"/>
        <w:spacing w:before="300" w:after="100"/>
      </w:pPr>
      <w:r>
        <w:rPr>
          <w:rFonts w:ascii="Arial" w:cs="Arial" w:eastAsia="Arial" w:hAnsi="Arial"/>
          <w:b/>
          <w:bCs/>
          <w:color w:val="7B5EA7"/>
          <w:sz w:val="27"/>
          <w:szCs w:val="27"/>
        </w:rPr>
        <w:t xml:space="preserve">4.2  DM Sans — What NOT to Do</w:t>
      </w:r>
    </w:p>
    <w:p>
      <w:pPr>
        <w:pStyle w:val="ListParagraph"/>
        <w:numPr>
          <w:ilvl w:val="0"/>
          <w:numId w:val="2"/>
        </w:numPr>
        <w:spacing w:before="40" w:after="40"/>
      </w:pPr>
      <w:r>
        <w:rPr>
          <w:rFonts w:ascii="Arial" w:cs="Arial" w:eastAsia="Arial" w:hAnsi="Arial"/>
          <w:color w:val="333333"/>
          <w:sz w:val="20"/>
          <w:szCs w:val="20"/>
        </w:rPr>
        <w:t xml:space="preserve">Never use DM Sans for large headings — Syne must own all display-size text</w:t>
      </w:r>
    </w:p>
    <w:p>
      <w:pPr>
        <w:pStyle w:val="ListParagraph"/>
        <w:numPr>
          <w:ilvl w:val="0"/>
          <w:numId w:val="2"/>
        </w:numPr>
        <w:spacing w:before="40" w:after="40"/>
      </w:pPr>
      <w:r>
        <w:rPr>
          <w:rFonts w:ascii="Arial" w:cs="Arial" w:eastAsia="Arial" w:hAnsi="Arial"/>
          <w:color w:val="333333"/>
          <w:sz w:val="20"/>
          <w:szCs w:val="20"/>
        </w:rPr>
        <w:t xml:space="preserve">Never use DM Sans for financial amounts — Space Mono must own all numeric data</w:t>
      </w:r>
    </w:p>
    <w:p>
      <w:pPr>
        <w:pStyle w:val="ListParagraph"/>
        <w:numPr>
          <w:ilvl w:val="0"/>
          <w:numId w:val="2"/>
        </w:numPr>
        <w:spacing w:before="40" w:after="40"/>
      </w:pPr>
      <w:r>
        <w:rPr>
          <w:rFonts w:ascii="Arial" w:cs="Arial" w:eastAsia="Arial" w:hAnsi="Arial"/>
          <w:color w:val="333333"/>
          <w:sz w:val="20"/>
          <w:szCs w:val="20"/>
        </w:rPr>
        <w:t xml:space="preserve">Never use DM Sans Bold 700 for body text — use 500 Medium at most for emphasis</w:t>
      </w:r>
    </w:p>
    <w:p>
      <w:pPr>
        <w:pStyle w:val="ListParagraph"/>
        <w:numPr>
          <w:ilvl w:val="0"/>
          <w:numId w:val="2"/>
        </w:numPr>
        <w:spacing w:before="40" w:after="40"/>
      </w:pPr>
      <w:r>
        <w:rPr>
          <w:rFonts w:ascii="Arial" w:cs="Arial" w:eastAsia="Arial" w:hAnsi="Arial"/>
          <w:color w:val="333333"/>
          <w:sz w:val="20"/>
          <w:szCs w:val="20"/>
        </w:rPr>
        <w:t xml:space="preserve">Never set body text below 12px — readability breaks on dashboard density</w:t>
      </w:r>
    </w:p>
    <w:p>
      <w:pPr>
        <w:spacing w:before="60" w:after="0"/>
      </w:pPr>
      <w:r>
        <w:t xml:space="preserve"/>
      </w:r>
    </w:p>
    <w:p>
      <w:pPr>
        <w:pStyle w:val="Heading2"/>
        <w:spacing w:before="300" w:after="100"/>
      </w:pPr>
      <w:r>
        <w:rPr>
          <w:rFonts w:ascii="Arial" w:cs="Arial" w:eastAsia="Arial" w:hAnsi="Arial"/>
          <w:b/>
          <w:bCs/>
          <w:color w:val="7B5EA7"/>
          <w:sz w:val="27"/>
          <w:szCs w:val="27"/>
        </w:rPr>
        <w:t xml:space="preserve">4.3  Google Fonts Import — DM Sans Only</w:t>
      </w:r>
    </w:p>
    <w:p>
      <w:pPr>
        <w:spacing w:before="40" w:after="40"/>
      </w:pPr>
      <w:r>
        <w:rPr>
          <w:rFonts w:ascii="Courier New" w:cs="Courier New" w:eastAsia="Courier New" w:hAnsi="Courier New"/>
          <w:b/>
          <w:bCs/>
          <w:color w:val="E8660A"/>
          <w:sz w:val="19"/>
          <w:szCs w:val="19"/>
        </w:rPr>
        <w:t xml:space="preserve">@import url('https://fonts.googleapis.com/css2?family=DM+Sans:wght@300;400;500&amp;display=swap');</w:t>
      </w:r>
    </w:p>
    <w:p>
      <w:pPr>
        <w:spacing w:before="40" w:after="0"/>
      </w:pPr>
      <w:r>
        <w:t xml:space="preserve"/>
      </w:r>
    </w:p>
    <w:p>
      <w:pPr>
        <w:spacing w:before="40" w:after="40"/>
      </w:pPr>
      <w:r>
        <w:rPr>
          <w:rFonts w:ascii="Courier New" w:cs="Courier New" w:eastAsia="Courier New" w:hAnsi="Courier New"/>
          <w:b/>
          <w:bCs/>
          <w:color w:val="E8660A"/>
          <w:sz w:val="19"/>
          <w:szCs w:val="19"/>
        </w:rPr>
        <w:t xml:space="preserve">font-family: 'DM Sans', sans-serif;</w:t>
      </w:r>
    </w:p>
    <w:p>
      <w:r>
        <w:br w:type="page"/>
      </w:r>
    </w:p>
    <w:p>
      <w:pPr>
        <w:pStyle w:val="Heading1"/>
        <w:pBdr>
          <w:bottom w:val="single" w:color="E8660A" w:sz="8" w:space="2"/>
        </w:pBdr>
        <w:spacing w:before="440" w:after="100"/>
      </w:pPr>
      <w:r>
        <w:rPr>
          <w:rFonts w:ascii="Arial" w:cs="Arial" w:eastAsia="Arial" w:hAnsi="Arial"/>
          <w:b/>
          <w:bCs/>
          <w:color w:val="1A1A2E"/>
          <w:sz w:val="38"/>
          <w:szCs w:val="38"/>
        </w:rPr>
        <w:t xml:space="preserve">5. Font 4 — DM Mono (Badges, Tags &amp; IDs)</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E0E0E0" w:sz="1"/>
              <w:left w:val="single" w:color="E0E0E0" w:sz="1"/>
              <w:bottom w:val="single" w:color="E0E0E0" w:sz="1"/>
              <w:right w:val="single" w:color="E0E0E0" w:sz="1"/>
            </w:tcBorders>
            <w:shd w:fill="FFF0F0" w:val="clear"/>
            <w:tcMar>
              <w:top w:type="dxa" w:w="160"/>
              <w:left w:type="dxa" w:w="200"/>
              <w:bottom w:type="dxa" w:w="160"/>
              <w:right w:type="dxa" w:w="200"/>
            </w:tcMar>
            <w:vAlign w:val="center"/>
          </w:tcPr>
          <w:p>
            <w:pPr>
              <w:jc w:val="center"/>
            </w:pPr>
            <w:r>
              <w:rPr>
                <w:rFonts w:ascii="Courier New" w:cs="Courier New" w:eastAsia="Courier New" w:hAnsi="Courier New"/>
                <w:b/>
                <w:bCs/>
                <w:color w:val="FF4757"/>
                <w:sz w:val="28"/>
                <w:szCs w:val="28"/>
              </w:rPr>
              <w:t xml:space="preserve">HIGH RISK</w:t>
            </w:r>
          </w:p>
          <w:p>
            <w:pPr>
              <w:jc w:val="center"/>
            </w:pPr>
            <w:r>
              <w:rPr>
                <w:rFonts w:ascii="Arial" w:cs="Arial" w:eastAsia="Arial" w:hAnsi="Arial"/>
                <w:color w:val="888888"/>
                <w:sz w:val="16"/>
                <w:szCs w:val="16"/>
              </w:rPr>
              <w:t xml:space="preserve">DM Mono 500 — Badge</w:t>
            </w:r>
          </w:p>
        </w:tc>
        <w:tc>
          <w:tcPr>
            <w:tcW w:type="dxa" w:w="6480"/>
            <w:tcBorders>
              <w:top w:val="single" w:color="E0E0E0" w:sz="1"/>
              <w:left w:val="single" w:color="E0E0E0" w:sz="1"/>
              <w:bottom w:val="single" w:color="E0E0E0" w:sz="1"/>
              <w:right w:val="single" w:color="E0E0E0" w:sz="1"/>
            </w:tcBorders>
            <w:shd w:fill="FAFAFA" w:val="clear"/>
            <w:tcMar>
              <w:top w:type="dxa" w:w="120"/>
              <w:left w:type="dxa" w:w="200"/>
              <w:bottom w:type="dxa" w:w="120"/>
              <w:right w:type="dxa" w:w="200"/>
            </w:tcMar>
            <w:vAlign w:val="center"/>
          </w:tcPr>
          <w:p>
            <w:r>
              <w:rPr>
                <w:rFonts w:ascii="Arial" w:cs="Arial" w:eastAsia="Arial" w:hAnsi="Arial"/>
                <w:color w:val="333333"/>
                <w:sz w:val="19"/>
                <w:szCs w:val="19"/>
              </w:rPr>
              <w:t xml:space="preserve">DM Mono is the monospaced companion to DM Sans — designed by the same foundry to work together. It is used for all pill badges (HIGH / MEDIUM / LOW risk), status tags (OPEN / IN REVIEW / CLOSED), account IDs, transaction hashes, and any code-like content. Its tight tracking and consistent character widths make pill labels perfectly balanced inside their containers, matching the 'Withers' badge style in Image 1 and the 'In Progress' status pill in Image 2.</w:t>
            </w:r>
          </w:p>
        </w:tc>
      </w:tr>
    </w:tbl>
    <w:p>
      <w:pPr>
        <w:spacing w:before="80" w:after="0"/>
      </w:pPr>
      <w:r>
        <w:t xml:space="preserve"/>
      </w:r>
    </w:p>
    <w:p>
      <w:pPr>
        <w:pStyle w:val="Heading2"/>
        <w:spacing w:before="300" w:after="100"/>
      </w:pPr>
      <w:r>
        <w:rPr>
          <w:rFonts w:ascii="Arial" w:cs="Arial" w:eastAsia="Arial" w:hAnsi="Arial"/>
          <w:b/>
          <w:bCs/>
          <w:color w:val="7B5EA7"/>
          <w:sz w:val="27"/>
          <w:szCs w:val="27"/>
        </w:rPr>
        <w:t xml:space="preserve">5.1  DM Mono Usage Rules</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1200"/>
        <w:gridCol w:w="1800"/>
        <w:gridCol w:w="3020"/>
      </w:tblGrid>
      <w:tr>
        <w:trPr>
          <w:tblHeader/>
        </w:trPr>
        <w:tc>
          <w:tcPr>
            <w:tcW w:type="dxa" w:w="24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Element</w:t>
            </w:r>
          </w:p>
        </w:tc>
        <w:tc>
          <w:tcPr>
            <w:tcW w:type="dxa" w:w="10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Weight</w:t>
            </w:r>
          </w:p>
        </w:tc>
        <w:tc>
          <w:tcPr>
            <w:tcW w:type="dxa" w:w="9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Size</w:t>
            </w:r>
          </w:p>
        </w:tc>
        <w:tc>
          <w:tcPr>
            <w:tcW w:type="dxa" w:w="12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Transform</w:t>
            </w:r>
          </w:p>
        </w:tc>
        <w:tc>
          <w:tcPr>
            <w:tcW w:type="dxa" w:w="18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Spacing</w:t>
            </w:r>
          </w:p>
        </w:tc>
        <w:tc>
          <w:tcPr>
            <w:tcW w:type="dxa" w:w="302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Risk badge — CRITICAL</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500</w:t>
            </w:r>
          </w:p>
        </w:tc>
        <w:tc>
          <w:tcPr>
            <w:tcW w:type="dxa" w:w="9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10px</w:t>
            </w:r>
          </w:p>
        </w:tc>
        <w:tc>
          <w:tcPr>
            <w:tcW w:type="dxa" w:w="1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UPPERCASE</w:t>
            </w:r>
          </w:p>
        </w:tc>
        <w:tc>
          <w:tcPr>
            <w:tcW w:type="dxa" w:w="1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letter-spacing: 1.5px</w:t>
            </w:r>
          </w:p>
        </w:tc>
        <w:tc>
          <w:tcPr>
            <w:tcW w:type="dxa" w:w="30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CRITICAL</w:t>
            </w:r>
          </w:p>
        </w:tc>
      </w:tr>
      <w:tr>
        <w:tc>
          <w:tcPr>
            <w:tcW w:type="dxa" w:w="2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Risk badge — HIGH</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500</w:t>
            </w:r>
          </w:p>
        </w:tc>
        <w:tc>
          <w:tcPr>
            <w:tcW w:type="dxa" w:w="9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10px</w:t>
            </w:r>
          </w:p>
        </w:tc>
        <w:tc>
          <w:tcPr>
            <w:tcW w:type="dxa" w:w="1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UPPERCASE</w:t>
            </w:r>
          </w:p>
        </w:tc>
        <w:tc>
          <w:tcPr>
            <w:tcW w:type="dxa" w:w="1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letter-spacing: 1.5px</w:t>
            </w:r>
          </w:p>
        </w:tc>
        <w:tc>
          <w:tcPr>
            <w:tcW w:type="dxa" w:w="30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HIGH</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Risk badge — MEDIUM</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500</w:t>
            </w:r>
          </w:p>
        </w:tc>
        <w:tc>
          <w:tcPr>
            <w:tcW w:type="dxa" w:w="9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10px</w:t>
            </w:r>
          </w:p>
        </w:tc>
        <w:tc>
          <w:tcPr>
            <w:tcW w:type="dxa" w:w="1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UPPERCASE</w:t>
            </w:r>
          </w:p>
        </w:tc>
        <w:tc>
          <w:tcPr>
            <w:tcW w:type="dxa" w:w="1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letter-spacing: 1.5px</w:t>
            </w:r>
          </w:p>
        </w:tc>
        <w:tc>
          <w:tcPr>
            <w:tcW w:type="dxa" w:w="30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MEDIUM</w:t>
            </w:r>
          </w:p>
        </w:tc>
      </w:tr>
      <w:tr>
        <w:tc>
          <w:tcPr>
            <w:tcW w:type="dxa" w:w="2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Risk badge — LOW</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500</w:t>
            </w:r>
          </w:p>
        </w:tc>
        <w:tc>
          <w:tcPr>
            <w:tcW w:type="dxa" w:w="9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10px</w:t>
            </w:r>
          </w:p>
        </w:tc>
        <w:tc>
          <w:tcPr>
            <w:tcW w:type="dxa" w:w="1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UPPERCASE</w:t>
            </w:r>
          </w:p>
        </w:tc>
        <w:tc>
          <w:tcPr>
            <w:tcW w:type="dxa" w:w="1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letter-spacing: 1.5px</w:t>
            </w:r>
          </w:p>
        </w:tc>
        <w:tc>
          <w:tcPr>
            <w:tcW w:type="dxa" w:w="30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LOW</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Case status — OPEN</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500</w:t>
            </w:r>
          </w:p>
        </w:tc>
        <w:tc>
          <w:tcPr>
            <w:tcW w:type="dxa" w:w="9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10px</w:t>
            </w:r>
          </w:p>
        </w:tc>
        <w:tc>
          <w:tcPr>
            <w:tcW w:type="dxa" w:w="1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UPPERCASE</w:t>
            </w:r>
          </w:p>
        </w:tc>
        <w:tc>
          <w:tcPr>
            <w:tcW w:type="dxa" w:w="1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letter-spacing: 1.5px</w:t>
            </w:r>
          </w:p>
        </w:tc>
        <w:tc>
          <w:tcPr>
            <w:tcW w:type="dxa" w:w="30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OPEN</w:t>
            </w:r>
          </w:p>
        </w:tc>
      </w:tr>
      <w:tr>
        <w:tc>
          <w:tcPr>
            <w:tcW w:type="dxa" w:w="2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Case status — IN REVIEW</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500</w:t>
            </w:r>
          </w:p>
        </w:tc>
        <w:tc>
          <w:tcPr>
            <w:tcW w:type="dxa" w:w="9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10px</w:t>
            </w:r>
          </w:p>
        </w:tc>
        <w:tc>
          <w:tcPr>
            <w:tcW w:type="dxa" w:w="1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UPPERCASE</w:t>
            </w:r>
          </w:p>
        </w:tc>
        <w:tc>
          <w:tcPr>
            <w:tcW w:type="dxa" w:w="1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letter-spacing: 1.5px</w:t>
            </w:r>
          </w:p>
        </w:tc>
        <w:tc>
          <w:tcPr>
            <w:tcW w:type="dxa" w:w="30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IN REVIEW</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Case status — ESCALATED</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500</w:t>
            </w:r>
          </w:p>
        </w:tc>
        <w:tc>
          <w:tcPr>
            <w:tcW w:type="dxa" w:w="9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10px</w:t>
            </w:r>
          </w:p>
        </w:tc>
        <w:tc>
          <w:tcPr>
            <w:tcW w:type="dxa" w:w="1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UPPERCASE</w:t>
            </w:r>
          </w:p>
        </w:tc>
        <w:tc>
          <w:tcPr>
            <w:tcW w:type="dxa" w:w="1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letter-spacing: 1.5px</w:t>
            </w:r>
          </w:p>
        </w:tc>
        <w:tc>
          <w:tcPr>
            <w:tcW w:type="dxa" w:w="30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ESCALATED</w:t>
            </w:r>
          </w:p>
        </w:tc>
      </w:tr>
      <w:tr>
        <w:tc>
          <w:tcPr>
            <w:tcW w:type="dxa" w:w="2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Case status — CLOSED</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500</w:t>
            </w:r>
          </w:p>
        </w:tc>
        <w:tc>
          <w:tcPr>
            <w:tcW w:type="dxa" w:w="9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10px</w:t>
            </w:r>
          </w:p>
        </w:tc>
        <w:tc>
          <w:tcPr>
            <w:tcW w:type="dxa" w:w="1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UPPERCASE</w:t>
            </w:r>
          </w:p>
        </w:tc>
        <w:tc>
          <w:tcPr>
            <w:tcW w:type="dxa" w:w="1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letter-spacing: 1.5px</w:t>
            </w:r>
          </w:p>
        </w:tc>
        <w:tc>
          <w:tcPr>
            <w:tcW w:type="dxa" w:w="30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CLOSED</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Account / transaction ID</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400</w:t>
            </w:r>
          </w:p>
        </w:tc>
        <w:tc>
          <w:tcPr>
            <w:tcW w:type="dxa" w:w="9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11–12px</w:t>
            </w:r>
          </w:p>
        </w:tc>
        <w:tc>
          <w:tcPr>
            <w:tcW w:type="dxa" w:w="1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None</w:t>
            </w:r>
          </w:p>
        </w:tc>
        <w:tc>
          <w:tcPr>
            <w:tcW w:type="dxa" w:w="1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letter-spacing: 0.5px</w:t>
            </w:r>
          </w:p>
        </w:tc>
        <w:tc>
          <w:tcPr>
            <w:tcW w:type="dxa" w:w="30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TXN-2024-00842</w:t>
            </w:r>
          </w:p>
        </w:tc>
      </w:tr>
      <w:tr>
        <w:tc>
          <w:tcPr>
            <w:tcW w:type="dxa" w:w="2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Code snippets / API</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400</w:t>
            </w:r>
          </w:p>
        </w:tc>
        <w:tc>
          <w:tcPr>
            <w:tcW w:type="dxa" w:w="9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12–13px</w:t>
            </w:r>
          </w:p>
        </w:tc>
        <w:tc>
          <w:tcPr>
            <w:tcW w:type="dxa" w:w="1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None</w:t>
            </w:r>
          </w:p>
        </w:tc>
        <w:tc>
          <w:tcPr>
            <w:tcW w:type="dxa" w:w="1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Normal</w:t>
            </w:r>
          </w:p>
        </w:tc>
        <w:tc>
          <w:tcPr>
            <w:tcW w:type="dxa" w:w="30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neo4j+s://xxxx.io</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Graph node label</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400</w:t>
            </w:r>
          </w:p>
        </w:tc>
        <w:tc>
          <w:tcPr>
            <w:tcW w:type="dxa" w:w="9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10px</w:t>
            </w:r>
          </w:p>
        </w:tc>
        <w:tc>
          <w:tcPr>
            <w:tcW w:type="dxa" w:w="1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None</w:t>
            </w:r>
          </w:p>
        </w:tc>
        <w:tc>
          <w:tcPr>
            <w:tcW w:type="dxa" w:w="1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Normal</w:t>
            </w:r>
          </w:p>
        </w:tc>
        <w:tc>
          <w:tcPr>
            <w:tcW w:type="dxa" w:w="30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A/C 4829</w:t>
            </w:r>
          </w:p>
        </w:tc>
      </w:tr>
      <w:tr>
        <w:tc>
          <w:tcPr>
            <w:tcW w:type="dxa" w:w="2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Chart axis tick</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400</w:t>
            </w:r>
          </w:p>
        </w:tc>
        <w:tc>
          <w:tcPr>
            <w:tcW w:type="dxa" w:w="9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11px</w:t>
            </w:r>
          </w:p>
        </w:tc>
        <w:tc>
          <w:tcPr>
            <w:tcW w:type="dxa" w:w="1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None</w:t>
            </w:r>
          </w:p>
        </w:tc>
        <w:tc>
          <w:tcPr>
            <w:tcW w:type="dxa" w:w="1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Normal</w:t>
            </w:r>
          </w:p>
        </w:tc>
        <w:tc>
          <w:tcPr>
            <w:tcW w:type="dxa" w:w="30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₹30K / Jan</w:t>
            </w:r>
          </w:p>
        </w:tc>
      </w:tr>
    </w:tbl>
    <w:p>
      <w:pPr>
        <w:spacing w:before="80" w:after="0"/>
      </w:pPr>
      <w:r>
        <w:t xml:space="preserve"/>
      </w:r>
    </w:p>
    <w:p>
      <w:pPr>
        <w:pStyle w:val="Heading2"/>
        <w:spacing w:before="300" w:after="100"/>
      </w:pPr>
      <w:r>
        <w:rPr>
          <w:rFonts w:ascii="Arial" w:cs="Arial" w:eastAsia="Arial" w:hAnsi="Arial"/>
          <w:b/>
          <w:bCs/>
          <w:color w:val="7B5EA7"/>
          <w:sz w:val="27"/>
          <w:szCs w:val="27"/>
        </w:rPr>
        <w:t xml:space="preserve">5.2  Google Fonts Import — DM Mono Only</w:t>
      </w:r>
    </w:p>
    <w:p>
      <w:pPr>
        <w:spacing w:before="40" w:after="40"/>
      </w:pPr>
      <w:r>
        <w:rPr>
          <w:rFonts w:ascii="Courier New" w:cs="Courier New" w:eastAsia="Courier New" w:hAnsi="Courier New"/>
          <w:b/>
          <w:bCs/>
          <w:color w:val="E8660A"/>
          <w:sz w:val="19"/>
          <w:szCs w:val="19"/>
        </w:rPr>
        <w:t xml:space="preserve">@import url('https://fonts.googleapis.com/css2?family=DM+Mono:wght@400;500&amp;display=swap');</w:t>
      </w:r>
    </w:p>
    <w:p>
      <w:pPr>
        <w:spacing w:before="40" w:after="0"/>
      </w:pPr>
      <w:r>
        <w:t xml:space="preserve"/>
      </w:r>
    </w:p>
    <w:p>
      <w:pPr>
        <w:spacing w:before="40" w:after="40"/>
      </w:pPr>
      <w:r>
        <w:rPr>
          <w:rFonts w:ascii="Courier New" w:cs="Courier New" w:eastAsia="Courier New" w:hAnsi="Courier New"/>
          <w:b/>
          <w:bCs/>
          <w:color w:val="E8660A"/>
          <w:sz w:val="19"/>
          <w:szCs w:val="19"/>
        </w:rPr>
        <w:t xml:space="preserve">font-family: 'DM Mono', monospace;</w:t>
      </w:r>
    </w:p>
    <w:p>
      <w:r>
        <w:br w:type="page"/>
      </w:r>
    </w:p>
    <w:p>
      <w:pPr>
        <w:pStyle w:val="Heading1"/>
        <w:pBdr>
          <w:bottom w:val="single" w:color="E8660A" w:sz="8" w:space="2"/>
        </w:pBdr>
        <w:spacing w:before="440" w:after="100"/>
      </w:pPr>
      <w:r>
        <w:rPr>
          <w:rFonts w:ascii="Arial" w:cs="Arial" w:eastAsia="Arial" w:hAnsi="Arial"/>
          <w:b/>
          <w:bCs/>
          <w:color w:val="1A1A2E"/>
          <w:sz w:val="38"/>
          <w:szCs w:val="38"/>
        </w:rPr>
        <w:t xml:space="preserve">6. Complete Google Fonts Import</w:t>
      </w:r>
    </w:p>
    <w:p>
      <w:pPr>
        <w:spacing w:before="60" w:after="60"/>
      </w:pPr>
      <w:r>
        <w:rPr>
          <w:rFonts w:ascii="Arial" w:cs="Arial" w:eastAsia="Arial" w:hAnsi="Arial"/>
          <w:color w:val="333333"/>
          <w:sz w:val="20"/>
          <w:szCs w:val="20"/>
        </w:rPr>
        <w:t xml:space="preserve">Single import line — loads all four fonts in one HTTP request. Place this at the top of your CSS file or inside the &lt;head&gt; of your HTML.</w:t>
      </w:r>
    </w:p>
    <w:p>
      <w:pPr>
        <w:spacing w:before="80" w:after="0"/>
      </w:pPr>
      <w:r>
        <w:t xml:space="preserve"/>
      </w:r>
    </w:p>
    <w:p>
      <w:pPr>
        <w:pStyle w:val="Heading2"/>
        <w:spacing w:before="300" w:after="100"/>
      </w:pPr>
      <w:r>
        <w:rPr>
          <w:rFonts w:ascii="Arial" w:cs="Arial" w:eastAsia="Arial" w:hAnsi="Arial"/>
          <w:b/>
          <w:bCs/>
          <w:color w:val="7B5EA7"/>
          <w:sz w:val="27"/>
          <w:szCs w:val="27"/>
        </w:rPr>
        <w:t xml:space="preserve">6.1  Single-Line Import</w:t>
      </w:r>
    </w:p>
    <w:p>
      <w:pPr>
        <w:shd w:fill="1A1A1A" w:val="clear"/>
        <w:spacing w:before="20" w:after="20"/>
        <w:ind w:left="200" w:right="200"/>
      </w:pPr>
      <w:r>
        <w:rPr>
          <w:rFonts w:ascii="Courier New" w:cs="Courier New" w:eastAsia="Courier New" w:hAnsi="Courier New"/>
          <w:b/>
          <w:bCs/>
          <w:color w:val="E8660A"/>
          <w:sz w:val="17"/>
          <w:szCs w:val="17"/>
        </w:rPr>
        <w:t xml:space="preserve">@import url('https://fonts.googleapis.com/css2?family=Syne:wght@700;800&amp;family=Space+Mono:wght@400;700&amp;family=DM+Sans:wght@300;400;500&amp;family=DM+Mono:wght@400;500&amp;display=swap');</w:t>
      </w:r>
    </w:p>
    <w:p>
      <w:pPr>
        <w:spacing w:before="80" w:after="0"/>
      </w:pPr>
      <w:r>
        <w:t xml:space="preserve"/>
      </w:r>
    </w:p>
    <w:p>
      <w:pPr>
        <w:pStyle w:val="Heading2"/>
        <w:spacing w:before="300" w:after="100"/>
      </w:pPr>
      <w:r>
        <w:rPr>
          <w:rFonts w:ascii="Arial" w:cs="Arial" w:eastAsia="Arial" w:hAnsi="Arial"/>
          <w:b/>
          <w:bCs/>
          <w:color w:val="7B5EA7"/>
          <w:sz w:val="27"/>
          <w:szCs w:val="27"/>
        </w:rPr>
        <w:t xml:space="preserve">6.2  CSS Custom Properties (Root Variables)</w:t>
      </w:r>
    </w:p>
    <w:p>
      <w:pPr>
        <w:spacing w:before="60" w:after="60"/>
      </w:pPr>
      <w:r>
        <w:rPr>
          <w:rFonts w:ascii="Arial" w:cs="Arial" w:eastAsia="Arial" w:hAnsi="Arial"/>
          <w:color w:val="333333"/>
          <w:sz w:val="20"/>
          <w:szCs w:val="20"/>
        </w:rPr>
        <w:t xml:space="preserve">Paste these into your :root block. Reference these variables everywhere — never hard-code font-family strings in component styles.</w:t>
      </w:r>
    </w:p>
    <w:p>
      <w:pPr>
        <w:spacing w:before="60" w:after="0"/>
      </w:pPr>
      <w:r>
        <w:t xml:space="preserve"/>
      </w:r>
    </w:p>
    <w:p>
      <w:pPr>
        <w:shd w:fill="111111" w:val="clear"/>
        <w:spacing w:before="20" w:after="20"/>
        <w:ind w:left="200" w:right="200"/>
      </w:pPr>
      <w:r>
        <w:rPr>
          <w:rFonts w:ascii="Courier New" w:cs="Courier New" w:eastAsia="Courier New" w:hAnsi="Courier New"/>
          <w:b w:val="false"/>
          <w:bCs w:val="false"/>
          <w:color w:val="00C48C"/>
          <w:sz w:val="16"/>
          <w:szCs w:val="16"/>
        </w:rPr>
        <w:t xml:space="preserve">:root {
  /* Font Families */
  --font-display:  'Syne', sans-serif;
  --font-number:   'Space Mono', monospace;
  --font-body:     'DM Sans', sans-serif;
  --font-badge:    'DM Mono', monospace;
  /* Type Scale */
  --text-hero:     60px;
  --text-h1:       36px;
  --text-h2:       26px;
  --text-h3:       20px;
  --text-metric-xl:52px;
  --text-metric-lg:40px;
  --text-metric-md:28px;
  --text-body-lg:  15px;
  --text-body:     14px;
  --text-body-sm:  13px;
  --text-label:    12px;
  --text-badge:    10px;
  --text-caption:  11px;
  /* Font Weights */
  --weight-black:  800;
  --weight-bold:   700;
  --weight-medium: 500;
  --weight-regular:400;
  --weight-light:  300;
}</w:t>
      </w:r>
    </w:p>
    <w:p>
      <w:r>
        <w:br w:type="page"/>
      </w:r>
    </w:p>
    <w:p>
      <w:pPr>
        <w:pStyle w:val="Heading1"/>
        <w:pBdr>
          <w:bottom w:val="single" w:color="E8660A" w:sz="8" w:space="2"/>
        </w:pBdr>
        <w:spacing w:before="440" w:after="100"/>
      </w:pPr>
      <w:r>
        <w:rPr>
          <w:rFonts w:ascii="Arial" w:cs="Arial" w:eastAsia="Arial" w:hAnsi="Arial"/>
          <w:b/>
          <w:bCs/>
          <w:color w:val="1A1A2E"/>
          <w:sz w:val="38"/>
          <w:szCs w:val="38"/>
        </w:rPr>
        <w:t xml:space="preserve">7. Ready-to-Use CSS Classes</w:t>
      </w:r>
    </w:p>
    <w:p>
      <w:pPr>
        <w:spacing w:before="60" w:after="60"/>
      </w:pPr>
      <w:r>
        <w:rPr>
          <w:rFonts w:ascii="Arial" w:cs="Arial" w:eastAsia="Arial" w:hAnsi="Arial"/>
          <w:color w:val="333333"/>
          <w:sz w:val="20"/>
          <w:szCs w:val="20"/>
        </w:rPr>
        <w:t xml:space="preserve">Copy these directly into your stylesheet. Each class corresponds to a specific UI element.</w:t>
      </w:r>
    </w:p>
    <w:p>
      <w:pPr>
        <w:spacing w:before="80" w:after="0"/>
      </w:pPr>
      <w:r>
        <w:t xml:space="preserve"/>
      </w:r>
    </w:p>
    <w:p>
      <w:pPr>
        <w:pStyle w:val="Heading2"/>
        <w:spacing w:before="300" w:after="100"/>
      </w:pPr>
      <w:r>
        <w:rPr>
          <w:rFonts w:ascii="Arial" w:cs="Arial" w:eastAsia="Arial" w:hAnsi="Arial"/>
          <w:b/>
          <w:bCs/>
          <w:color w:val="7B5EA7"/>
          <w:sz w:val="27"/>
          <w:szCs w:val="27"/>
        </w:rPr>
        <w:t xml:space="preserve">7.1  Heading &amp; Display Classes</w:t>
      </w:r>
    </w:p>
    <w:p>
      <w:pPr>
        <w:shd w:fill="111111" w:val="clear"/>
        <w:spacing w:before="20" w:after="20"/>
        <w:ind w:left="200" w:right="200"/>
      </w:pPr>
      <w:r>
        <w:rPr>
          <w:rFonts w:ascii="Courier New" w:cs="Courier New" w:eastAsia="Courier New" w:hAnsi="Courier New"/>
          <w:color w:val="F5A623"/>
          <w:sz w:val="16"/>
          <w:szCs w:val="16"/>
        </w:rPr>
        <w:t xml:space="preserve">/* App / Hero Title */
.text-hero {
  font-family: var(--font-display);
  font-size: var(--text-hero);
  font-weight: var(--weight-black);
  color: #E8660A;
  letter-spacing: -2px;
  line-height: 1;
}
/* Panel Title (e.g. 'Transaction Graph') */
.text-panel-title {
  font-family: var(--font-display);
  font-size: var(--text-h1);
  font-weight: var(--weight-black);
  color: #1A1A2E;
  letter-spacing: -1px;
}
/* Section Heading (e.g. 'Alert Queue') */
.text-section {
  font-family: var(--font-display);
  font-size: var(--text-h2);
  font-weight: var(--weight-bold);
  color: #7B5EA7;
  letter-spacing: -0.5px;
}</w:t>
      </w:r>
    </w:p>
    <w:p>
      <w:pPr>
        <w:spacing w:before="80" w:after="0"/>
      </w:pPr>
      <w:r>
        <w:t xml:space="preserve"/>
      </w:r>
    </w:p>
    <w:p>
      <w:pPr>
        <w:pStyle w:val="Heading2"/>
        <w:spacing w:before="300" w:after="100"/>
      </w:pPr>
      <w:r>
        <w:rPr>
          <w:rFonts w:ascii="Arial" w:cs="Arial" w:eastAsia="Arial" w:hAnsi="Arial"/>
          <w:b/>
          <w:bCs/>
          <w:color w:val="7B5EA7"/>
          <w:sz w:val="27"/>
          <w:szCs w:val="27"/>
        </w:rPr>
        <w:t xml:space="preserve">7.2  Financial Number Classes</w:t>
      </w:r>
    </w:p>
    <w:p>
      <w:pPr>
        <w:shd w:fill="111111" w:val="clear"/>
        <w:spacing w:before="20" w:after="20"/>
        <w:ind w:left="200" w:right="200"/>
      </w:pPr>
      <w:r>
        <w:rPr>
          <w:rFonts w:ascii="Courier New" w:cs="Courier New" w:eastAsia="Courier New" w:hAnsi="Courier New"/>
          <w:color w:val="4F9EFF"/>
          <w:sz w:val="16"/>
          <w:szCs w:val="16"/>
        </w:rPr>
        <w:t xml:space="preserve">/* Hero balance — e.g. ₹5,654.32 */
.text-balance {
  font-family: var(--font-number);
  font-size: var(--text-metric-xl);
  font-weight: var(--weight-bold);
  color: #F0F0F0;
  font-variant-numeric: tabular-nums;
  letter-spacing: -1px;
}
/* KPI metric value — e.g. ₹32,569.32 */
.text-metric {
  font-family: var(--font-number);
  font-size: var(--text-metric-lg);
  font-weight: var(--weight-bold);
  color: #F0F0F0;
  font-variant-numeric: tabular-nums;
}
/* Delta / percentage — e.g. +56.32% */
.text-delta-up   { font-family:var(--font-number); font-size:12px; font-weight:700; color:#00C48C; }
.text-delta-down { font-family:var(--font-number); font-size:12px; font-weight:700; color:#FF4757; }
/* Transaction ID */
.text-txn-id {
  font-family: var(--font-badge);
  font-size: 11px;
  font-weight: var(--weight-regular);
  color: #888888;
  letter-spacing: 0.5px;
}</w:t>
      </w:r>
    </w:p>
    <w:p>
      <w:pPr>
        <w:spacing w:before="80" w:after="0"/>
      </w:pPr>
      <w:r>
        <w:t xml:space="preserve"/>
      </w:r>
    </w:p>
    <w:p>
      <w:pPr>
        <w:pStyle w:val="Heading2"/>
        <w:spacing w:before="300" w:after="100"/>
      </w:pPr>
      <w:r>
        <w:rPr>
          <w:rFonts w:ascii="Arial" w:cs="Arial" w:eastAsia="Arial" w:hAnsi="Arial"/>
          <w:b/>
          <w:bCs/>
          <w:color w:val="7B5EA7"/>
          <w:sz w:val="27"/>
          <w:szCs w:val="27"/>
        </w:rPr>
        <w:t xml:space="preserve">7.3  Badge &amp; Status Pill Classes</w:t>
      </w:r>
    </w:p>
    <w:p>
      <w:pPr>
        <w:shd w:fill="111111" w:val="clear"/>
        <w:spacing w:before="20" w:after="20"/>
        <w:ind w:left="200" w:right="200"/>
      </w:pPr>
      <w:r>
        <w:rPr>
          <w:rFonts w:ascii="Courier New" w:cs="Courier New" w:eastAsia="Courier New" w:hAnsi="Courier New"/>
          <w:color w:val="00C48C"/>
          <w:sz w:val="16"/>
          <w:szCs w:val="16"/>
        </w:rPr>
        <w:t xml:space="preserve">/* Base badge */
.badge {
  font-family: var(--font-badge);
  font-size: var(--text-badge);
  font-weight: var(--weight-medium);
  text-transform: uppercase;
  letter-spacing: 1.5px;
  padding: 3px 10px;
  border-radius: 4px;
  border: 1px solid;
  display: inline-flex;
  align-items: center;
}
/* Risk level variants */
.badge-critical { color:#FF4757; background:#FF475715; border-color:#FF475740; }
.badge-high     { color:#E8660A; background:#E8660A15; border-color:#E8660A40; }
.badge-medium   { color:#F5A623; background:#F5A62315; border-color:#F5A62340; }
.badge-low      { color:#00C48C; background:#00C48C15; border-color:#00C48C40; }
/* Case status variants */
.badge-open      { color:#4F9EFF; background:#4F9EFF15; border-color:#4F9EFF40; }
.badge-review    { color:#7B5EA7; background:#7B5EA715; border-color:#7B5EA740; }
.badge-escalated { color:#FF4757; background:#FF475715; border-color:#FF475740; }
.badge-closed    { color:#888888; background:#88888815; border-color:#88888840; }</w:t>
      </w:r>
    </w:p>
    <w:p>
      <w:r>
        <w:br w:type="page"/>
      </w:r>
    </w:p>
    <w:p>
      <w:pPr>
        <w:pStyle w:val="Heading1"/>
        <w:pBdr>
          <w:bottom w:val="single" w:color="E8660A" w:sz="8" w:space="2"/>
        </w:pBdr>
        <w:spacing w:before="440" w:after="100"/>
      </w:pPr>
      <w:r>
        <w:rPr>
          <w:rFonts w:ascii="Arial" w:cs="Arial" w:eastAsia="Arial" w:hAnsi="Arial"/>
          <w:b/>
          <w:bCs/>
          <w:color w:val="1A1A2E"/>
          <w:sz w:val="38"/>
          <w:szCs w:val="38"/>
        </w:rPr>
        <w:t xml:space="preserve">8. Tailwind CSS Configuration</w:t>
      </w:r>
    </w:p>
    <w:p>
      <w:pPr>
        <w:spacing w:before="60" w:after="60"/>
      </w:pPr>
      <w:r>
        <w:rPr>
          <w:rFonts w:ascii="Arial" w:cs="Arial" w:eastAsia="Arial" w:hAnsi="Arial"/>
          <w:color w:val="333333"/>
          <w:sz w:val="20"/>
          <w:szCs w:val="20"/>
        </w:rPr>
        <w:t xml:space="preserve">If your team is using Tailwind CSS (recommended), extend the theme with these tokens in tailwind.config.js:</w:t>
      </w:r>
    </w:p>
    <w:p>
      <w:pPr>
        <w:spacing w:before="80" w:after="0"/>
      </w:pPr>
      <w:r>
        <w:t xml:space="preserve"/>
      </w:r>
    </w:p>
    <w:p>
      <w:pPr>
        <w:shd w:fill="111111" w:val="clear"/>
        <w:spacing w:before="20" w:after="20"/>
        <w:ind w:left="200" w:right="200"/>
      </w:pPr>
      <w:r>
        <w:rPr>
          <w:rFonts w:ascii="Courier New" w:cs="Courier New" w:eastAsia="Courier New" w:hAnsi="Courier New"/>
          <w:color w:val="F5A623"/>
          <w:sz w:val="16"/>
          <w:szCs w:val="16"/>
        </w:rPr>
        <w:t xml:space="preserve">// tailwind.config.js
module.exports = {
  theme: {
    extend: {
      fontFamily: {
        display: ['Syne', 'sans-serif'],
        number:  ['Space Mono', 'monospace'],
        body:    ['DM Sans', 'sans-serif'],
        badge:   ['DM Mono', 'monospace'],
      },
      fontSize: {
        'hero':    ['60px',  { lineHeight:'1',   letterSpacing:'-2px'  }],
        'h1':      ['36px',  { lineHeight:'1.1', letterSpacing:'-1px'  }],
        'h2':      ['26px',  { lineHeight:'1.2', letterSpacing:'-0.5px'}],
        'metric':  ['40px',  { lineHeight:'1',   letterSpacing:'-1px'  }],
        'metric-sm':['28px', { lineHeight:'1.1', letterSpacing:'-0.5px'}],
        'body':    ['14px',  { lineHeight:'1.6', letterSpacing:'0'     }],
        'body-sm': ['13px',  { lineHeight:'1.5', letterSpacing:'0'     }],
        'label':   ['12px',  { lineHeight:'1.4', letterSpacing:'0'     }],
        'badge':   ['10px',  { lineHeight:'1',   letterSpacing:'1.5px' }],
        'caption': ['11px',  { lineHeight:'1.4', letterSpacing:'0.5px' }],
      },
    },
  },
};</w:t>
      </w:r>
    </w:p>
    <w:p>
      <w:pPr>
        <w:spacing w:before="80" w:after="0"/>
      </w:pPr>
      <w:r>
        <w:t xml:space="preserve"/>
      </w:r>
    </w:p>
    <w:p>
      <w:pPr>
        <w:pStyle w:val="Heading2"/>
        <w:spacing w:before="300" w:after="100"/>
      </w:pPr>
      <w:r>
        <w:rPr>
          <w:rFonts w:ascii="Arial" w:cs="Arial" w:eastAsia="Arial" w:hAnsi="Arial"/>
          <w:b/>
          <w:bCs/>
          <w:color w:val="7B5EA7"/>
          <w:sz w:val="27"/>
          <w:szCs w:val="27"/>
        </w:rPr>
        <w:t xml:space="preserve">8.1  Tailwind Usage Examples</w:t>
      </w:r>
    </w:p>
    <w:p>
      <w:pPr>
        <w:shd w:fill="111111" w:val="clear"/>
        <w:spacing w:before="20" w:after="20"/>
        <w:ind w:left="200" w:right="200"/>
      </w:pPr>
      <w:r>
        <w:rPr>
          <w:rFonts w:ascii="Courier New" w:cs="Courier New" w:eastAsia="Courier New" w:hAnsi="Courier New"/>
          <w:color w:val="88CCFF"/>
          <w:sz w:val="16"/>
          <w:szCs w:val="16"/>
        </w:rPr>
        <w:t xml:space="preserve">&lt;!-- Hero balance number --&gt;
&lt;span class="font-number text-metric font-bold tabular-nums text-white"&gt;
  ₹5,654.32
&lt;/span&gt;
&lt;!-- Panel title --&gt;
&lt;h2 class="font-display text-h2 font-black text-navy tracking-tight"&gt;
  Transaction Graph
&lt;/h2&gt;
&lt;!-- Risk badge --&gt;
&lt;span class="font-badge text-badge font-medium uppercase tracking-widest
             px-2.5 py-0.5 rounded border badge-high"&gt;
  HIGH
&lt;/span&gt;
&lt;!-- Transaction description --&gt;
&lt;p class="font-body text-body text-gray-400 leading-relaxed"&gt;
  Circular pattern detected across 4 accounts
&lt;/p&gt;</w:t>
      </w:r>
    </w:p>
    <w:p>
      <w:r>
        <w:br w:type="page"/>
      </w:r>
    </w:p>
    <w:p>
      <w:pPr>
        <w:pStyle w:val="Heading1"/>
        <w:pBdr>
          <w:bottom w:val="single" w:color="E8660A" w:sz="8" w:space="2"/>
        </w:pBdr>
        <w:spacing w:before="440" w:after="100"/>
      </w:pPr>
      <w:r>
        <w:rPr>
          <w:rFonts w:ascii="Arial" w:cs="Arial" w:eastAsia="Arial" w:hAnsi="Arial"/>
          <w:b/>
          <w:bCs/>
          <w:color w:val="1A1A2E"/>
          <w:sz w:val="38"/>
          <w:szCs w:val="38"/>
        </w:rPr>
        <w:t xml:space="preserve">9. Font Pairing Rules &amp; Anti-Patterns</w:t>
      </w:r>
    </w:p>
    <w:p>
      <w:pPr>
        <w:spacing w:before="60" w:after="0"/>
      </w:pPr>
      <w:r>
        <w:t xml:space="preserve"/>
      </w:r>
    </w:p>
    <w:p>
      <w:pPr>
        <w:pStyle w:val="Heading2"/>
        <w:spacing w:before="300" w:after="100"/>
      </w:pPr>
      <w:r>
        <w:rPr>
          <w:rFonts w:ascii="Arial" w:cs="Arial" w:eastAsia="Arial" w:hAnsi="Arial"/>
          <w:b/>
          <w:bCs/>
          <w:color w:val="7B5EA7"/>
          <w:sz w:val="27"/>
          <w:szCs w:val="27"/>
        </w:rPr>
        <w:t xml:space="preserve">9.1  Correct Pairings — Always Do This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120"/>
      </w:tblGrid>
      <w:tr>
        <w:trPr>
          <w:tblHeader/>
        </w:trPr>
        <w:tc>
          <w:tcPr>
            <w:tcW w:type="dxa" w:w="18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Context</w:t>
            </w:r>
          </w:p>
        </w:tc>
        <w:tc>
          <w:tcPr>
            <w:tcW w:type="dxa" w:w="28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Font Combination</w:t>
            </w:r>
          </w:p>
        </w:tc>
        <w:tc>
          <w:tcPr>
            <w:tcW w:type="dxa" w:w="512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KPI card</w:t>
            </w:r>
          </w:p>
        </w:tc>
        <w:tc>
          <w:tcPr>
            <w:tcW w:type="dxa" w:w="2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Syne 700 label + Space Mono 700 value</w:t>
            </w:r>
          </w:p>
        </w:tc>
        <w:tc>
          <w:tcPr>
            <w:tcW w:type="dxa" w:w="51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TOTAL ALERTS / 247</w:t>
            </w:r>
          </w:p>
        </w:tc>
      </w:tr>
      <w:tr>
        <w:tc>
          <w:tcPr>
            <w:tcW w:type="dxa" w:w="1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Alert feed item</w:t>
            </w:r>
          </w:p>
        </w:tc>
        <w:tc>
          <w:tcPr>
            <w:tcW w:type="dxa" w:w="2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Syne 700 title + DM Sans 400 description + DM Mono badge</w:t>
            </w:r>
          </w:p>
        </w:tc>
        <w:tc>
          <w:tcPr>
            <w:tcW w:type="dxa" w:w="51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Round-trip detected · 4 hops · HIGH</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Transaction table</w:t>
            </w:r>
          </w:p>
        </w:tc>
        <w:tc>
          <w:tcPr>
            <w:tcW w:type="dxa" w:w="2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DM Mono for amount column + DM Sans for all other columns</w:t>
            </w:r>
          </w:p>
        </w:tc>
        <w:tc>
          <w:tcPr>
            <w:tcW w:type="dxa" w:w="51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₹21,452.12 in mono; 'NEFT Transfer' in DM Sans</w:t>
            </w:r>
          </w:p>
        </w:tc>
      </w:tr>
      <w:tr>
        <w:tc>
          <w:tcPr>
            <w:tcW w:type="dxa" w:w="1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Graph node tooltip</w:t>
            </w:r>
          </w:p>
        </w:tc>
        <w:tc>
          <w:tcPr>
            <w:tcW w:type="dxa" w:w="2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Space Mono for amount + DM Sans for label</w:t>
            </w:r>
          </w:p>
        </w:tc>
        <w:tc>
          <w:tcPr>
            <w:tcW w:type="dxa" w:w="51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A/C 4829 · ₹3.2L · suspicious</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Navigation item</w:t>
            </w:r>
          </w:p>
        </w:tc>
        <w:tc>
          <w:tcPr>
            <w:tcW w:type="dxa" w:w="2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Syne 700 for active + DM Sans 500 for inactive</w:t>
            </w:r>
          </w:p>
        </w:tc>
        <w:tc>
          <w:tcPr>
            <w:tcW w:type="dxa" w:w="51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DASHBOARD (active) vs Investigations (inactive)</w:t>
            </w:r>
          </w:p>
        </w:tc>
      </w:tr>
      <w:tr>
        <w:tc>
          <w:tcPr>
            <w:tcW w:type="dxa" w:w="1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Button</w:t>
            </w:r>
          </w:p>
        </w:tc>
        <w:tc>
          <w:tcPr>
            <w:tcW w:type="dxa" w:w="2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Syne 700 always</w:t>
            </w:r>
          </w:p>
        </w:tc>
        <w:tc>
          <w:tcPr>
            <w:tcW w:type="dxa" w:w="51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Generate STR Report  |  Exchange</w:t>
            </w:r>
          </w:p>
        </w:tc>
      </w:tr>
    </w:tbl>
    <w:p>
      <w:pPr>
        <w:spacing w:before="80" w:after="0"/>
      </w:pPr>
      <w:r>
        <w:t xml:space="preserve"/>
      </w:r>
    </w:p>
    <w:p>
      <w:pPr>
        <w:pStyle w:val="Heading2"/>
        <w:spacing w:before="300" w:after="100"/>
      </w:pPr>
      <w:r>
        <w:rPr>
          <w:rFonts w:ascii="Arial" w:cs="Arial" w:eastAsia="Arial" w:hAnsi="Arial"/>
          <w:b/>
          <w:bCs/>
          <w:color w:val="7B5EA7"/>
          <w:sz w:val="27"/>
          <w:szCs w:val="27"/>
        </w:rPr>
        <w:t xml:space="preserve">9.2  Anti-Patterns — Never Do This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20"/>
      </w:tblGrid>
      <w:tr>
        <w:trPr>
          <w:tblHeader/>
        </w:trPr>
        <w:tc>
          <w:tcPr>
            <w:tcW w:type="dxa" w:w="24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Anti-Pattern</w:t>
            </w:r>
          </w:p>
        </w:tc>
        <w:tc>
          <w:tcPr>
            <w:tcW w:type="dxa" w:w="26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Why It Breaks</w:t>
            </w:r>
          </w:p>
        </w:tc>
        <w:tc>
          <w:tcPr>
            <w:tcW w:type="dxa" w:w="432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Correct Fix</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Using Arial or Inter instead of DM Sans</w:t>
            </w:r>
          </w:p>
        </w:tc>
        <w:tc>
          <w:tcPr>
            <w:tcW w:type="dxa" w:w="26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Generic look — loses the fintech identity entirely</w:t>
            </w:r>
          </w:p>
        </w:tc>
        <w:tc>
          <w:tcPr>
            <w:tcW w:type="dxa" w:w="4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Replace with DM Sans 400 at same size</w:t>
            </w:r>
          </w:p>
        </w:tc>
      </w:tr>
      <w:tr>
        <w:tc>
          <w:tcPr>
            <w:tcW w:type="dxa" w:w="2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Using Syne for body paragraphs</w:t>
            </w:r>
          </w:p>
        </w:tc>
        <w:tc>
          <w:tcPr>
            <w:tcW w:type="dxa" w:w="26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Syne at 13px becomes illegible; its geometric forms need space</w:t>
            </w:r>
          </w:p>
        </w:tc>
        <w:tc>
          <w:tcPr>
            <w:tcW w:type="dxa" w:w="43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Use DM Sans 400 for all body text</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Using DM Sans for financial amounts</w:t>
            </w:r>
          </w:p>
        </w:tc>
        <w:tc>
          <w:tcPr>
            <w:tcW w:type="dxa" w:w="26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Proportional spacing causes layout shift on live updates</w:t>
            </w:r>
          </w:p>
        </w:tc>
        <w:tc>
          <w:tcPr>
            <w:tcW w:type="dxa" w:w="4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Use Space Mono with tabular-nums always</w:t>
            </w:r>
          </w:p>
        </w:tc>
      </w:tr>
      <w:tr>
        <w:tc>
          <w:tcPr>
            <w:tcW w:type="dxa" w:w="2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Using Space Mono for headings</w:t>
            </w:r>
          </w:p>
        </w:tc>
        <w:tc>
          <w:tcPr>
            <w:tcW w:type="dxa" w:w="26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Too heavy and mechanical for display — loses elegance</w:t>
            </w:r>
          </w:p>
        </w:tc>
        <w:tc>
          <w:tcPr>
            <w:tcW w:type="dxa" w:w="43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Use Syne 800 for all display/heading text</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Mixing Space Mono and DM Mono in same number</w:t>
            </w:r>
          </w:p>
        </w:tc>
        <w:tc>
          <w:tcPr>
            <w:tcW w:type="dxa" w:w="26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Inconsistent width rhythm — looks broken</w:t>
            </w:r>
          </w:p>
        </w:tc>
        <w:tc>
          <w:tcPr>
            <w:tcW w:type="dxa" w:w="4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Pick one: Space Mono for numbers, DM Mono for badges only</w:t>
            </w:r>
          </w:p>
        </w:tc>
      </w:tr>
      <w:tr>
        <w:tc>
          <w:tcPr>
            <w:tcW w:type="dxa" w:w="24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Using font-weight 400 for Syne</w:t>
            </w:r>
          </w:p>
        </w:tc>
        <w:tc>
          <w:tcPr>
            <w:tcW w:type="dxa" w:w="26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Thin weight loses all visual authority</w:t>
            </w:r>
          </w:p>
        </w:tc>
        <w:tc>
          <w:tcPr>
            <w:tcW w:type="dxa" w:w="43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Always use 700 or 800 for Syne</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Setting letter-spacing on Space Mono numbers</w:t>
            </w:r>
          </w:p>
        </w:tc>
        <w:tc>
          <w:tcPr>
            <w:tcW w:type="dxa" w:w="26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Monospace already has fixed spacing — adding more looks wrong</w:t>
            </w:r>
          </w:p>
        </w:tc>
        <w:tc>
          <w:tcPr>
            <w:tcW w:type="dxa" w:w="4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Use letter-spacing: 0 or -1px only for Space Mono</w:t>
            </w:r>
          </w:p>
        </w:tc>
      </w:tr>
    </w:tbl>
    <w:p>
      <w:r>
        <w:br w:type="page"/>
      </w:r>
    </w:p>
    <w:p>
      <w:pPr>
        <w:pStyle w:val="Heading1"/>
        <w:pBdr>
          <w:bottom w:val="single" w:color="E8660A" w:sz="8" w:space="2"/>
        </w:pBdr>
        <w:spacing w:before="440" w:after="100"/>
      </w:pPr>
      <w:r>
        <w:rPr>
          <w:rFonts w:ascii="Arial" w:cs="Arial" w:eastAsia="Arial" w:hAnsi="Arial"/>
          <w:b/>
          <w:bCs/>
          <w:color w:val="1A1A2E"/>
          <w:sz w:val="38"/>
          <w:szCs w:val="38"/>
        </w:rPr>
        <w:t xml:space="preserve">10. Quick Reference Card</w:t>
      </w:r>
    </w:p>
    <w:p>
      <w:pPr>
        <w:spacing w:before="60" w:after="60"/>
      </w:pPr>
      <w:r>
        <w:rPr>
          <w:rFonts w:ascii="Arial" w:cs="Arial" w:eastAsia="Arial" w:hAnsi="Arial"/>
          <w:color w:val="333333"/>
          <w:sz w:val="20"/>
          <w:szCs w:val="20"/>
        </w:rPr>
        <w:t xml:space="preserve">Tear-out reference for the team during the hackathon build.</w:t>
      </w:r>
    </w:p>
    <w:p>
      <w:pPr>
        <w:spacing w:before="80" w:after="0"/>
      </w:pPr>
      <w:r>
        <w:t xml:space="preserve"/>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300"/>
        <w:gridCol w:w="1000"/>
        <w:gridCol w:w="2200"/>
        <w:gridCol w:w="2520"/>
      </w:tblGrid>
      <w:tr>
        <w:trPr>
          <w:tblHeader/>
        </w:trPr>
        <w:tc>
          <w:tcPr>
            <w:tcW w:type="dxa" w:w="15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Font</w:t>
            </w:r>
          </w:p>
        </w:tc>
        <w:tc>
          <w:tcPr>
            <w:tcW w:type="dxa" w:w="18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Role</w:t>
            </w:r>
          </w:p>
        </w:tc>
        <w:tc>
          <w:tcPr>
            <w:tcW w:type="dxa" w:w="13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Weights</w:t>
            </w:r>
          </w:p>
        </w:tc>
        <w:tc>
          <w:tcPr>
            <w:tcW w:type="dxa" w:w="1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Min Size</w:t>
            </w:r>
          </w:p>
        </w:tc>
        <w:tc>
          <w:tcPr>
            <w:tcW w:type="dxa" w:w="22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Key Property</w:t>
            </w:r>
          </w:p>
        </w:tc>
        <w:tc>
          <w:tcPr>
            <w:tcW w:type="dxa" w:w="252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Never Use For</w:t>
            </w:r>
          </w:p>
        </w:tc>
      </w:tr>
      <w:tr>
        <w:tc>
          <w:tcPr>
            <w:tcW w:type="dxa" w:w="15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Syne</w:t>
            </w:r>
          </w:p>
        </w:tc>
        <w:tc>
          <w:tcPr>
            <w:tcW w:type="dxa" w:w="1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Headings, titles, buttons</w:t>
            </w:r>
          </w:p>
        </w:tc>
        <w:tc>
          <w:tcPr>
            <w:tcW w:type="dxa" w:w="13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700, 800</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13px</w:t>
            </w:r>
          </w:p>
        </w:tc>
        <w:tc>
          <w:tcPr>
            <w:tcW w:type="dxa" w:w="2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letter-spacing: -1px to -2px</w:t>
            </w:r>
          </w:p>
        </w:tc>
        <w:tc>
          <w:tcPr>
            <w:tcW w:type="dxa" w:w="25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Body text, numbers</w:t>
            </w:r>
          </w:p>
        </w:tc>
      </w:tr>
      <w:tr>
        <w:tc>
          <w:tcPr>
            <w:tcW w:type="dxa" w:w="15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Space Mono</w:t>
            </w:r>
          </w:p>
        </w:tc>
        <w:tc>
          <w:tcPr>
            <w:tcW w:type="dxa" w:w="1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All financial amounts, scores, IDs</w:t>
            </w:r>
          </w:p>
        </w:tc>
        <w:tc>
          <w:tcPr>
            <w:tcW w:type="dxa" w:w="13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400, 700</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11px</w:t>
            </w:r>
          </w:p>
        </w:tc>
        <w:tc>
          <w:tcPr>
            <w:tcW w:type="dxa" w:w="2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font-variant-numeric: tabular-nums</w:t>
            </w:r>
          </w:p>
        </w:tc>
        <w:tc>
          <w:tcPr>
            <w:tcW w:type="dxa" w:w="25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Headings, body paragraphs</w:t>
            </w:r>
          </w:p>
        </w:tc>
      </w:tr>
      <w:tr>
        <w:tc>
          <w:tcPr>
            <w:tcW w:type="dxa" w:w="15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DM Sans</w:t>
            </w:r>
          </w:p>
        </w:tc>
        <w:tc>
          <w:tcPr>
            <w:tcW w:type="dxa" w:w="18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Body copy, tables, descriptions, labels</w:t>
            </w:r>
          </w:p>
        </w:tc>
        <w:tc>
          <w:tcPr>
            <w:tcW w:type="dxa" w:w="13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300, 400, 500</w:t>
            </w:r>
          </w:p>
        </w:tc>
        <w:tc>
          <w:tcPr>
            <w:tcW w:type="dxa" w:w="10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12px</w:t>
            </w:r>
          </w:p>
        </w:tc>
        <w:tc>
          <w:tcPr>
            <w:tcW w:type="dxa" w:w="22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line-height: 1.6 for readability</w:t>
            </w:r>
          </w:p>
        </w:tc>
        <w:tc>
          <w:tcPr>
            <w:tcW w:type="dxa" w:w="25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vAlign w:val="center"/>
          </w:tcPr>
          <w:p>
            <w:r>
              <w:rPr>
                <w:rFonts w:ascii="Arial" w:cs="Arial" w:eastAsia="Arial" w:hAnsi="Arial"/>
                <w:color w:val="333333"/>
                <w:sz w:val="19"/>
                <w:szCs w:val="19"/>
              </w:rPr>
              <w:t xml:space="preserve">Display headings, numbers</w:t>
            </w:r>
          </w:p>
        </w:tc>
      </w:tr>
      <w:tr>
        <w:tc>
          <w:tcPr>
            <w:tcW w:type="dxa" w:w="15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DM Mono</w:t>
            </w:r>
          </w:p>
        </w:tc>
        <w:tc>
          <w:tcPr>
            <w:tcW w:type="dxa" w:w="18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Badge labels, status tags, code</w:t>
            </w:r>
          </w:p>
        </w:tc>
        <w:tc>
          <w:tcPr>
            <w:tcW w:type="dxa" w:w="13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400, 500</w:t>
            </w:r>
          </w:p>
        </w:tc>
        <w:tc>
          <w:tcPr>
            <w:tcW w:type="dxa" w:w="10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10px</w:t>
            </w:r>
          </w:p>
        </w:tc>
        <w:tc>
          <w:tcPr>
            <w:tcW w:type="dxa" w:w="220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text-transform: uppercase + letter-spacing: 1.5px</w:t>
            </w:r>
          </w:p>
        </w:tc>
        <w:tc>
          <w:tcPr>
            <w:tcW w:type="dxa" w:w="2520"/>
            <w:tcBorders>
              <w:top w:val="single" w:color="E0E0E0" w:sz="1"/>
              <w:left w:val="single" w:color="E0E0E0" w:sz="1"/>
              <w:bottom w:val="single" w:color="E0E0E0" w:sz="1"/>
              <w:right w:val="single" w:color="E0E0E0" w:sz="1"/>
            </w:tcBorders>
            <w:shd w:fill="F8F5FF" w:val="clear"/>
            <w:tcMar>
              <w:top w:type="dxa" w:w="90"/>
              <w:left w:type="dxa" w:w="140"/>
              <w:bottom w:type="dxa" w:w="90"/>
              <w:right w:type="dxa" w:w="140"/>
            </w:tcMar>
            <w:vAlign w:val="center"/>
          </w:tcPr>
          <w:p>
            <w:r>
              <w:rPr>
                <w:rFonts w:ascii="Arial" w:cs="Arial" w:eastAsia="Arial" w:hAnsi="Arial"/>
                <w:color w:val="333333"/>
                <w:sz w:val="19"/>
                <w:szCs w:val="19"/>
              </w:rPr>
              <w:t xml:space="preserve">Large headings, paragraphs</w:t>
            </w:r>
          </w:p>
        </w:tc>
      </w:tr>
    </w:tbl>
    <w:p>
      <w:pPr>
        <w:spacing w:before="80" w:after="0"/>
      </w:pPr>
      <w:r>
        <w:t xml:space="preserve"/>
      </w:r>
    </w:p>
    <w:p>
      <w:pPr>
        <w:pStyle w:val="Heading2"/>
        <w:spacing w:before="300" w:after="100"/>
      </w:pPr>
      <w:r>
        <w:rPr>
          <w:rFonts w:ascii="Arial" w:cs="Arial" w:eastAsia="Arial" w:hAnsi="Arial"/>
          <w:b/>
          <w:bCs/>
          <w:color w:val="7B5EA7"/>
          <w:sz w:val="27"/>
          <w:szCs w:val="27"/>
        </w:rPr>
        <w:t xml:space="preserve">10.1  One-Line Summary</w:t>
      </w:r>
    </w:p>
    <w:p>
      <w:pPr>
        <w:shd w:fill="F7F5FF" w:val="clear"/>
        <w:spacing w:before="80" w:after="80"/>
        <w:ind w:left="200" w:right="200"/>
      </w:pPr>
      <w:r>
        <w:rPr>
          <w:rFonts w:ascii="Arial" w:cs="Arial" w:eastAsia="Arial" w:hAnsi="Arial"/>
          <w:b/>
          <w:bCs/>
          <w:color w:val="E8660A"/>
          <w:sz w:val="22"/>
          <w:szCs w:val="22"/>
        </w:rPr>
        <w:t xml:space="preserve">Syne</w:t>
      </w:r>
      <w:r>
        <w:rPr>
          <w:rFonts w:ascii="Arial" w:cs="Arial" w:eastAsia="Arial" w:hAnsi="Arial"/>
          <w:color w:val="333333"/>
          <w:sz w:val="21"/>
          <w:szCs w:val="21"/>
        </w:rPr>
        <w:t xml:space="preserve"> owns the titles.  </w:t>
      </w:r>
      <w:r>
        <w:rPr>
          <w:rFonts w:ascii="Courier New" w:cs="Courier New" w:eastAsia="Courier New" w:hAnsi="Courier New"/>
          <w:b/>
          <w:bCs/>
          <w:color w:val="F5A623"/>
          <w:sz w:val="22"/>
          <w:szCs w:val="22"/>
        </w:rPr>
        <w:t xml:space="preserve">Space Mono</w:t>
      </w:r>
      <w:r>
        <w:rPr>
          <w:rFonts w:ascii="Arial" w:cs="Arial" w:eastAsia="Arial" w:hAnsi="Arial"/>
          <w:color w:val="333333"/>
          <w:sz w:val="21"/>
          <w:szCs w:val="21"/>
        </w:rPr>
        <w:t xml:space="preserve"> owns the numbers.  </w:t>
      </w:r>
      <w:r>
        <w:rPr>
          <w:rFonts w:ascii="Arial" w:cs="Arial" w:eastAsia="Arial" w:hAnsi="Arial"/>
          <w:b/>
          <w:bCs/>
          <w:color w:val="7B5EA7"/>
          <w:sz w:val="22"/>
          <w:szCs w:val="22"/>
        </w:rPr>
        <w:t xml:space="preserve">DM Sans</w:t>
      </w:r>
      <w:r>
        <w:rPr>
          <w:rFonts w:ascii="Arial" w:cs="Arial" w:eastAsia="Arial" w:hAnsi="Arial"/>
          <w:color w:val="333333"/>
          <w:sz w:val="21"/>
          <w:szCs w:val="21"/>
        </w:rPr>
        <w:t xml:space="preserve"> owns the content.  </w:t>
      </w:r>
      <w:r>
        <w:rPr>
          <w:rFonts w:ascii="Courier New" w:cs="Courier New" w:eastAsia="Courier New" w:hAnsi="Courier New"/>
          <w:b/>
          <w:bCs/>
          <w:color w:val="00C48C"/>
          <w:sz w:val="22"/>
          <w:szCs w:val="22"/>
        </w:rPr>
        <w:t xml:space="preserve">DM Mono</w:t>
      </w:r>
      <w:r>
        <w:rPr>
          <w:rFonts w:ascii="Arial" w:cs="Arial" w:eastAsia="Arial" w:hAnsi="Arial"/>
          <w:color w:val="333333"/>
          <w:sz w:val="21"/>
          <w:szCs w:val="21"/>
        </w:rPr>
        <w:t xml:space="preserve"> owns the badges.</w:t>
      </w:r>
    </w:p>
    <w:p>
      <w:pPr>
        <w:spacing w:before="200" w:after="0"/>
      </w:pPr>
      <w:r>
        <w:t xml:space="preserve"/>
      </w:r>
    </w:p>
    <w:p>
      <w:pPr>
        <w:jc w:val="center"/>
      </w:pPr>
      <w:r>
        <w:rPr>
          <w:rFonts w:ascii="Arial" w:cs="Arial" w:eastAsia="Arial" w:hAnsi="Arial"/>
          <w:b/>
          <w:bCs/>
          <w:color w:val="888888"/>
          <w:sz w:val="18"/>
          <w:szCs w:val="18"/>
        </w:rPr>
        <w:t xml:space="preserve">END OF DOCUMENT  —  PS3 Typography Stack v1.0</w:t>
      </w:r>
    </w:p>
    <w:p>
      <w:pPr>
        <w:spacing w:before="40" w:after="0"/>
      </w:pPr>
      <w:r>
        <w:t xml:space="preserve"/>
      </w:r>
    </w:p>
    <w:p>
      <w:pPr>
        <w:jc w:val="center"/>
      </w:pPr>
      <w:r>
        <w:rPr>
          <w:rFonts w:ascii="Arial" w:cs="Arial" w:eastAsia="Arial" w:hAnsi="Arial"/>
          <w:color w:val="888888"/>
          <w:sz w:val="16"/>
          <w:szCs w:val="16"/>
        </w:rPr>
        <w:t xml:space="preserve">IDEA 2.0 Hackathon  |  Vidyavihar University</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3" w:space="1"/>
      </w:pBdr>
      <w:jc w:val="center"/>
    </w:pPr>
    <w:r>
      <w:rPr>
        <w:rFonts w:ascii="Arial" w:cs="Arial" w:eastAsia="Arial" w:hAnsi="Arial"/>
        <w:color w:val="888888"/>
        <w:sz w:val="17"/>
        <w:szCs w:val="17"/>
      </w:rPr>
      <w:t xml:space="preserve">IDEA 2.0  •  Typography Stack v1.0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60A" w:sz="3" w:space="1"/>
      </w:pBdr>
      <w:jc w:val="right"/>
    </w:pPr>
    <w:r>
      <w:rPr>
        <w:rFonts w:ascii="Arial" w:cs="Arial" w:eastAsia="Arial" w:hAnsi="Arial"/>
        <w:color w:val="888888"/>
        <w:sz w:val="17"/>
        <w:szCs w:val="17"/>
      </w:rPr>
      <w:t xml:space="preserve">PS3 — Fund Flow Tracking  |  Typography Stack Document  |  IDEA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00"/>
      <w:outlineLvl w:val="0"/>
    </w:pPr>
    <w:rPr>
      <w:rFonts w:ascii="Arial" w:cs="Arial" w:eastAsia="Arial" w:hAnsi="Arial"/>
      <w:b/>
      <w:bCs/>
      <w:color w:val="1A1A2E"/>
      <w:sz w:val="38"/>
      <w:szCs w:val="38"/>
    </w:rPr>
  </w:style>
  <w:style w:type="paragraph" w:styleId="Heading2">
    <w:name w:val="Heading 2"/>
    <w:basedOn w:val="Normal"/>
    <w:next w:val="Normal"/>
    <w:qFormat/>
    <w:pPr>
      <w:spacing w:before="300" w:after="100"/>
      <w:outlineLvl w:val="1"/>
    </w:pPr>
    <w:rPr>
      <w:rFonts w:ascii="Arial" w:cs="Arial" w:eastAsia="Arial" w:hAnsi="Arial"/>
      <w:b/>
      <w:bCs/>
      <w:color w:val="7B5EA7"/>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2026-03-14T18:07:57.655Z</dcterms:created>
  <dcterms:modified xsi:type="dcterms:W3CDTF">2026-03-14T18:07:57.656Z</dcterms:modified>
</cp:coreProperties>
</file>

<file path=docProps/custom.xml><?xml version="1.0" encoding="utf-8"?>
<Properties xmlns="http://schemas.openxmlformats.org/officeDocument/2006/custom-properties" xmlns:vt="http://schemas.openxmlformats.org/officeDocument/2006/docPropsVTypes"/>
</file>