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4"/>
          <w:szCs w:val="44"/>
        </w:rPr>
        <w:t xml:space="preserve">Transportation Cost Optimization</w:t>
      </w:r>
    </w:p>
    <w:p>
      <w:pPr>
        <w:spacing w:after="60"/>
        <w:jc w:val="center"/>
      </w:pPr>
      <w:r>
        <w:rPr>
          <w:rFonts w:ascii="Arial" w:cs="Arial" w:eastAsia="Arial" w:hAnsi="Arial"/>
          <w:color w:val="404040"/>
          <w:sz w:val="24"/>
          <w:szCs w:val="24"/>
        </w:rPr>
        <w:t xml:space="preserve">Linear Programming Formulation, Simplex Method &amp; Gurobi Solution Report</w:t>
      </w:r>
    </w:p>
    <w:p>
      <w:pPr>
        <w:spacing w:after="300"/>
        <w:jc w:val="center"/>
      </w:pPr>
      <w:r>
        <w:rPr>
          <w:rFonts w:ascii="Arial" w:cs="Arial" w:eastAsia="Arial" w:hAnsi="Arial"/>
          <w:i/>
          <w:iCs/>
          <w:color w:val="808080"/>
          <w:sz w:val="18"/>
          <w:szCs w:val="18"/>
        </w:rPr>
        <w:t xml:space="preserve">Model: widgets  |  5 Production Plants -&gt; 6 Distribution Centers  |  Solver: Gurobi 13.0.2</w:t>
      </w:r>
    </w:p>
    <w:p>
      <w:pPr>
        <w:pBdr>
          <w:bottom w:val="single" w:color="1F4E79" w:sz="6" w:space="1"/>
        </w:pBdr>
        <w:spacing w:after="240" w:before="120"/>
      </w:pPr>
    </w:p>
    <w:p>
      <w:pPr>
        <w:pStyle w:val="Heading1"/>
      </w:pPr>
      <w:r>
        <w:t xml:space="preserve">1. Problem Overview</w:t>
      </w:r>
    </w:p>
    <w:p>
      <w:pPr>
        <w:spacing w:after="160"/>
      </w:pPr>
      <w:r>
        <w:t xml:space="preserve">This report documents a classic transportation problem solved with a linear program (LP) and optimized using Gurobi's simplex-based solver. A company operates five production plants that ship widgets to six regional distribution centers. Each plant-to-center route has a fixed per-unit shipping cost, and the goal is to decide how many units to ship along each route in order to minimize total transportation cost, while respecting supply availability at each plant and demand requirements at each center.</w:t>
      </w:r>
    </w:p>
    <w:p>
      <w:pPr>
        <w:pStyle w:val="Heading2"/>
      </w:pPr>
      <w:r>
        <w:t xml:space="preserve">1.1 Network Nodes</w:t>
      </w:r>
    </w:p>
    <w:p>
      <w:pPr>
        <w:pStyle w:val="ListParagraph"/>
        <w:numPr>
          <w:ilvl w:val="0"/>
          <w:numId w:val="2"/>
        </w:numPr>
        <w:spacing w:after="80"/>
      </w:pPr>
      <w:r>
        <w:rPr>
          <w:b/>
          <w:bCs/>
        </w:rPr>
        <w:t xml:space="preserve">Production plants (supply nodes): </w:t>
      </w:r>
      <w:r>
        <w:t xml:space="preserve">Baltimore, Cleveland, Little Rock, Birmingham, Charleston</w:t>
      </w:r>
    </w:p>
    <w:p>
      <w:pPr>
        <w:pStyle w:val="ListParagraph"/>
        <w:numPr>
          <w:ilvl w:val="0"/>
          <w:numId w:val="2"/>
        </w:numPr>
        <w:spacing w:after="80"/>
      </w:pPr>
      <w:r>
        <w:rPr>
          <w:b/>
          <w:bCs/>
        </w:rPr>
        <w:t xml:space="preserve">Distribution centers (demand nodes): </w:t>
      </w:r>
      <w:r>
        <w:t xml:space="preserve">Columbia, Indianapolis, Lexington, Nashville, Richmond, St. Louis</w:t>
      </w:r>
    </w:p>
    <w:p>
      <w:pPr>
        <w:pStyle w:val="Heading2"/>
      </w:pPr>
      <w:r>
        <w:t xml:space="preserve">1.2 Business Rules</w:t>
      </w:r>
    </w:p>
    <w:p>
      <w:pPr>
        <w:pStyle w:val="ListParagraph"/>
        <w:numPr>
          <w:ilvl w:val="0"/>
          <w:numId w:val="2"/>
        </w:numPr>
        <w:spacing w:after="80"/>
      </w:pPr>
      <w:r>
        <w:t xml:space="preserve">Each plant may ship between 50% and 100% of its available supply (plants are not required to run at full capacity, but must ship at least half of what they produce).</w:t>
      </w:r>
    </w:p>
    <w:p>
      <w:pPr>
        <w:pStyle w:val="ListParagraph"/>
        <w:numPr>
          <w:ilvl w:val="0"/>
          <w:numId w:val="2"/>
        </w:numPr>
        <w:spacing w:after="80"/>
      </w:pPr>
      <w:r>
        <w:t xml:space="preserve">Each distribution center must receive between 75% and 100% of its demand (centers must be substantially supplied, but slight under-fulfillment is tolerated).</w:t>
      </w:r>
    </w:p>
    <w:p>
      <w:pPr>
        <w:pStyle w:val="ListParagraph"/>
        <w:numPr>
          <w:ilvl w:val="0"/>
          <w:numId w:val="2"/>
        </w:numPr>
        <w:spacing w:after="80"/>
      </w:pPr>
      <w:r>
        <w:t xml:space="preserve">All shipment quantities are continuous and non-negative.</w:t>
      </w:r>
    </w:p>
    <w:p>
      <w:pPr>
        <w:pStyle w:val="Heading1"/>
      </w:pPr>
      <w:r>
        <w:t xml:space="preserve">2. Unit Shipping Cost Matrix</w:t>
      </w:r>
    </w:p>
    <w:p>
      <w:pPr>
        <w:spacing w:after="160"/>
      </w:pPr>
      <w:r>
        <w:t xml:space="preserve">The table below gives the cost ($) of shipping one unit from each plant (rows) to each distribution center (columns).</w:t>
      </w:r>
    </w:p>
    <w:tbl>
      <w:tblPr>
        <w:tblW w:type="dxa" w:w="9362"/>
        <w:tblBorders>
          <w:top w:val="single" w:color="auto" w:sz="4"/>
          <w:left w:val="single" w:color="auto" w:sz="4"/>
          <w:bottom w:val="single" w:color="auto" w:sz="4"/>
          <w:right w:val="single" w:color="auto" w:sz="4"/>
          <w:insideH w:val="single" w:color="auto" w:sz="4"/>
          <w:insideV w:val="single" w:color="auto" w:sz="4"/>
        </w:tblBorders>
      </w:tblPr>
      <w:tblGrid>
        <w:gridCol w:w="1700"/>
        <w:gridCol w:w="1227"/>
        <w:gridCol w:w="1227"/>
        <w:gridCol w:w="1227"/>
        <w:gridCol w:w="1227"/>
        <w:gridCol w:w="1227"/>
        <w:gridCol w:w="1227"/>
      </w:tblGrid>
      <w:t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Plant \ Center</w:t>
            </w:r>
          </w:p>
        </w:tc>
        <w:tc>
          <w:tcPr>
            <w:tcW w:type="dxa" w:w="122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Columbia</w:t>
            </w:r>
          </w:p>
        </w:tc>
        <w:tc>
          <w:tcPr>
            <w:tcW w:type="dxa" w:w="122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Indianapolis</w:t>
            </w:r>
          </w:p>
        </w:tc>
        <w:tc>
          <w:tcPr>
            <w:tcW w:type="dxa" w:w="122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Lexington</w:t>
            </w:r>
          </w:p>
        </w:tc>
        <w:tc>
          <w:tcPr>
            <w:tcW w:type="dxa" w:w="122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Nashville</w:t>
            </w:r>
          </w:p>
        </w:tc>
        <w:tc>
          <w:tcPr>
            <w:tcW w:type="dxa" w:w="122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Richmond</w:t>
            </w:r>
          </w:p>
        </w:tc>
        <w:tc>
          <w:tcPr>
            <w:tcW w:type="dxa" w:w="122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St. Louis</w:t>
            </w:r>
          </w:p>
        </w:tc>
      </w:tr>
      <w:tr>
        <w:tc>
          <w:tcPr>
            <w:tcW w:type="dxa" w:w="17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Baltimore</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62</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58</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72</w:t>
            </w:r>
          </w:p>
        </w:tc>
      </w:tr>
      <w:tr>
        <w:tc>
          <w:tcPr>
            <w:tcW w:type="dxa" w:w="17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Cleveland</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42</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30</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38</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52</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48</w:t>
            </w:r>
          </w:p>
        </w:tc>
      </w:tr>
      <w:tr>
        <w:tc>
          <w:tcPr>
            <w:tcW w:type="dxa" w:w="17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Little Rock</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60</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70</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40</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85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38</w:t>
            </w:r>
          </w:p>
        </w:tc>
      </w:tr>
      <w:tr>
        <w:tc>
          <w:tcPr>
            <w:tcW w:type="dxa" w:w="17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Birmingham</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65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62</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75</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52</w:t>
            </w:r>
          </w:p>
        </w:tc>
      </w:tr>
      <w:tr>
        <w:tc>
          <w:tcPr>
            <w:tcW w:type="dxa" w:w="17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Charleston</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30</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68</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40</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50</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28</w:t>
            </w:r>
          </w:p>
        </w:tc>
        <w:tc>
          <w:tcPr>
            <w:tcW w:type="dxa" w:w="122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78</w:t>
            </w:r>
          </w:p>
        </w:tc>
      </w:tr>
    </w:tbl>
    <w:p>
      <w:pPr>
        <w:spacing w:after="80" w:before="240"/>
      </w:pPr>
      <w:r>
        <w:rPr>
          <w:rFonts w:ascii="Arial" w:cs="Arial" w:eastAsia="Arial" w:hAnsi="Arial"/>
          <w:b/>
          <w:bCs/>
        </w:rPr>
        <w:t xml:space="preserve">Supply and Demand</w:t>
      </w:r>
    </w:p>
    <w:tbl>
      <w:tblPr>
        <w:tblW w:type="dxa" w:w="9362"/>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2"/>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Plant</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Supply</w:t>
            </w:r>
          </w:p>
        </w:tc>
        <w:tc>
          <w:tcPr>
            <w:tcW w:type="dxa" w:w="4562"/>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Min. Required Shipment (50%)</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Baltimore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400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200</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Cleveland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450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225</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Little Rock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350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175</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Birmingham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400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200</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Charleston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300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150</w:t>
            </w:r>
          </w:p>
        </w:tc>
      </w:tr>
    </w:tbl>
    <w:p>
      <w:pPr>
        <w:spacing w:after="80" w:before="240"/>
      </w:pPr>
    </w:p>
    <w:tbl>
      <w:tblPr>
        <w:tblW w:type="dxa" w:w="9362"/>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2"/>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Center</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Demand</w:t>
            </w:r>
          </w:p>
        </w:tc>
        <w:tc>
          <w:tcPr>
            <w:tcW w:type="dxa" w:w="4562"/>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Min. Required Receipt (75%)</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Columbia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250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187.5</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Indianapolis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300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225</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Lexington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200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150</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Nashville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350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262.5</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Richmond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250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187.5</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St. Louis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300</w:t>
            </w:r>
          </w:p>
        </w:tc>
        <w:tc>
          <w:tcPr>
            <w:tcW w:type="dxa" w:w="4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225</w:t>
            </w:r>
          </w:p>
        </w:tc>
      </w:tr>
    </w:tbl>
    <w:p>
      <w:pPr>
        <w:pStyle w:val="Heading1"/>
      </w:pPr>
      <w:r>
        <w:t xml:space="preserve">3. Optimization Formula (Mathematical Formulation)</w:t>
      </w:r>
    </w:p>
    <w:p>
      <w:pPr>
        <w:spacing w:after="160"/>
      </w:pPr>
      <w:r>
        <w:t xml:space="preserve">Let P be the set of production plants and D be the set of distribution centers. For each plant i in P and center j in D, define the decision variable:</w:t>
      </w:r>
    </w:p>
    <w:p>
      <w:pPr>
        <w:spacing w:after="160"/>
        <w:jc w:val="center"/>
      </w:pPr>
      <w:r>
        <w:rPr>
          <w:rFonts w:ascii="Cambria Math" w:cs="Cambria Math" w:eastAsia="Cambria Math" w:hAnsi="Cambria Math"/>
          <w:i/>
          <w:iCs/>
        </w:rPr>
        <w:t xml:space="preserve">x</w:t>
      </w:r>
      <w:r>
        <w:rPr>
          <w:i/>
          <w:iCs/>
          <w:vertAlign w:val="subscript"/>
        </w:rPr>
        <w:t xml:space="preserve">ij</w:t>
      </w:r>
      <w:r>
        <w:rPr>
          <w:rFonts w:ascii="Arial" w:cs="Arial" w:eastAsia="Arial" w:hAnsi="Arial"/>
        </w:rPr>
        <w:t xml:space="preserve">  =  number of units shipped from plant i to center j</w:t>
      </w:r>
    </w:p>
    <w:p>
      <w:pPr>
        <w:pStyle w:val="Heading2"/>
      </w:pPr>
      <w:r>
        <w:t xml:space="preserve">3.1 Objective Function</w:t>
      </w:r>
    </w:p>
    <w:p>
      <w:pPr>
        <w:spacing w:after="160"/>
      </w:pPr>
      <w:r>
        <w:t xml:space="preserve">Minimize total shipping cost across the entire network:</w:t>
      </w:r>
    </w:p>
    <w:p>
      <w:pPr>
        <w:spacing w:after="160"/>
        <w:jc w:val="center"/>
      </w:pPr>
      <w:r>
        <w:rPr>
          <w:rFonts w:ascii="Cambria Math" w:cs="Cambria Math" w:eastAsia="Cambria Math" w:hAnsi="Cambria Math"/>
          <w:b/>
          <w:bCs/>
        </w:rPr>
        <w:t xml:space="preserve">Minimize   Z = </w:t>
      </w:r>
      <w:r>
        <w:rPr>
          <w:rFonts w:ascii="Cambria Math" w:cs="Cambria Math" w:eastAsia="Cambria Math" w:hAnsi="Cambria Math"/>
          <w:sz w:val="28"/>
          <w:szCs w:val="28"/>
        </w:rPr>
        <w:t xml:space="preserve">ΣΣ </w:t>
      </w:r>
      <w:r>
        <w:rPr>
          <w:rFonts w:ascii="Cambria Math" w:cs="Cambria Math" w:eastAsia="Cambria Math" w:hAnsi="Cambria Math"/>
          <w:i/>
          <w:iCs/>
        </w:rPr>
        <w:t xml:space="preserve">c</w:t>
      </w:r>
      <w:r>
        <w:rPr>
          <w:i/>
          <w:iCs/>
          <w:vertAlign w:val="subscript"/>
        </w:rPr>
        <w:t xml:space="preserve">ij</w:t>
      </w:r>
      <w:r>
        <w:rPr>
          <w:rFonts w:ascii="Cambria Math" w:cs="Cambria Math" w:eastAsia="Cambria Math" w:hAnsi="Cambria Math"/>
          <w:i/>
          <w:iCs/>
        </w:rPr>
        <w:t xml:space="preserve"> · x</w:t>
      </w:r>
      <w:r>
        <w:rPr>
          <w:i/>
          <w:iCs/>
          <w:vertAlign w:val="subscript"/>
        </w:rPr>
        <w:t xml:space="preserve">ij</w:t>
      </w:r>
      <w:r>
        <w:rPr>
          <w:rFonts w:ascii="Arial" w:cs="Arial" w:eastAsia="Arial" w:hAnsi="Arial"/>
        </w:rPr>
        <w:t xml:space="preserve">      for all i ∈ P, j ∈ D</w:t>
      </w:r>
    </w:p>
    <w:p>
      <w:pPr>
        <w:spacing w:after="160"/>
      </w:pPr>
      <w:r>
        <w:t xml:space="preserve">where c_ij is the per-unit shipping cost from plant i to center j, taken from the cost matrix in Section 2.</w:t>
      </w:r>
    </w:p>
    <w:p>
      <w:pPr>
        <w:pStyle w:val="Heading2"/>
      </w:pPr>
      <w:r>
        <w:t xml:space="preserve">3.2 Constraints</w:t>
      </w:r>
    </w:p>
    <w:p>
      <w:pPr>
        <w:spacing w:after="160"/>
      </w:pPr>
      <w:r>
        <w:rPr>
          <w:b/>
          <w:bCs/>
        </w:rPr>
        <w:t xml:space="preserve">Supply ceiling (plant i cannot ship more than it produces):</w:t>
      </w:r>
    </w:p>
    <w:p>
      <w:pPr>
        <w:spacing w:after="160"/>
        <w:jc w:val="center"/>
      </w:pPr>
      <w:r>
        <w:rPr>
          <w:rFonts w:ascii="Cambria Math" w:cs="Cambria Math" w:eastAsia="Cambria Math" w:hAnsi="Cambria Math"/>
          <w:i/>
          <w:iCs/>
        </w:rPr>
        <w:t xml:space="preserve">Σⱼ x</w:t>
      </w:r>
      <w:r>
        <w:rPr>
          <w:i/>
          <w:iCs/>
          <w:vertAlign w:val="subscript"/>
        </w:rPr>
        <w:t xml:space="preserve">ij</w:t>
      </w:r>
      <w:r>
        <w:rPr>
          <w:rFonts w:ascii="Cambria Math" w:cs="Cambria Math" w:eastAsia="Cambria Math" w:hAnsi="Cambria Math"/>
        </w:rPr>
        <w:t xml:space="preserve">  ≤  supply</w:t>
      </w:r>
      <w:r>
        <w:rPr>
          <w:i/>
          <w:iCs/>
          <w:vertAlign w:val="subscript"/>
        </w:rPr>
        <w:t xml:space="preserve">i</w:t>
      </w:r>
      <w:r>
        <w:t xml:space="preserve">      ∀ i ∈ P</w:t>
      </w:r>
    </w:p>
    <w:p>
      <w:pPr>
        <w:spacing w:after="160"/>
      </w:pPr>
      <w:r>
        <w:rPr>
          <w:b/>
          <w:bCs/>
        </w:rPr>
        <w:t xml:space="preserve">Supply floor (plant i must ship at least 50% of its capacity):</w:t>
      </w:r>
    </w:p>
    <w:p>
      <w:pPr>
        <w:spacing w:after="160"/>
        <w:jc w:val="center"/>
      </w:pPr>
      <w:r>
        <w:rPr>
          <w:rFonts w:ascii="Cambria Math" w:cs="Cambria Math" w:eastAsia="Cambria Math" w:hAnsi="Cambria Math"/>
          <w:i/>
          <w:iCs/>
        </w:rPr>
        <w:t xml:space="preserve">Σⱼ x</w:t>
      </w:r>
      <w:r>
        <w:rPr>
          <w:i/>
          <w:iCs/>
          <w:vertAlign w:val="subscript"/>
        </w:rPr>
        <w:t xml:space="preserve">ij</w:t>
      </w:r>
      <w:r>
        <w:rPr>
          <w:rFonts w:ascii="Cambria Math" w:cs="Cambria Math" w:eastAsia="Cambria Math" w:hAnsi="Cambria Math"/>
        </w:rPr>
        <w:t xml:space="preserve">  ≥  0.5 · supply</w:t>
      </w:r>
      <w:r>
        <w:rPr>
          <w:i/>
          <w:iCs/>
          <w:vertAlign w:val="subscript"/>
        </w:rPr>
        <w:t xml:space="preserve">i</w:t>
      </w:r>
      <w:r>
        <w:t xml:space="preserve">      ∀ i ∈ P</w:t>
      </w:r>
    </w:p>
    <w:p>
      <w:pPr>
        <w:spacing w:after="160"/>
      </w:pPr>
      <w:r>
        <w:rPr>
          <w:b/>
          <w:bCs/>
        </w:rPr>
        <w:t xml:space="preserve">Demand ceiling (center j cannot receive more than it needs):</w:t>
      </w:r>
    </w:p>
    <w:p>
      <w:pPr>
        <w:spacing w:after="160"/>
        <w:jc w:val="center"/>
      </w:pPr>
      <w:r>
        <w:rPr>
          <w:rFonts w:ascii="Cambria Math" w:cs="Cambria Math" w:eastAsia="Cambria Math" w:hAnsi="Cambria Math"/>
          <w:i/>
          <w:iCs/>
        </w:rPr>
        <w:t xml:space="preserve">Σᵢ x</w:t>
      </w:r>
      <w:r>
        <w:rPr>
          <w:i/>
          <w:iCs/>
          <w:vertAlign w:val="subscript"/>
        </w:rPr>
        <w:t xml:space="preserve">ij</w:t>
      </w:r>
      <w:r>
        <w:rPr>
          <w:rFonts w:ascii="Cambria Math" w:cs="Cambria Math" w:eastAsia="Cambria Math" w:hAnsi="Cambria Math"/>
        </w:rPr>
        <w:t xml:space="preserve">  ≤  demand</w:t>
      </w:r>
      <w:r>
        <w:rPr>
          <w:i/>
          <w:iCs/>
          <w:vertAlign w:val="subscript"/>
        </w:rPr>
        <w:t xml:space="preserve">j</w:t>
      </w:r>
      <w:r>
        <w:t xml:space="preserve">      ∀ j ∈ D</w:t>
      </w:r>
    </w:p>
    <w:p>
      <w:pPr>
        <w:spacing w:after="160"/>
      </w:pPr>
      <w:r>
        <w:rPr>
          <w:b/>
          <w:bCs/>
        </w:rPr>
        <w:t xml:space="preserve">Demand floor (center j must receive at least 75% of its requirement):</w:t>
      </w:r>
    </w:p>
    <w:p>
      <w:pPr>
        <w:spacing w:after="160"/>
        <w:jc w:val="center"/>
      </w:pPr>
      <w:r>
        <w:rPr>
          <w:rFonts w:ascii="Cambria Math" w:cs="Cambria Math" w:eastAsia="Cambria Math" w:hAnsi="Cambria Math"/>
          <w:i/>
          <w:iCs/>
        </w:rPr>
        <w:t xml:space="preserve">Σᵢ x</w:t>
      </w:r>
      <w:r>
        <w:rPr>
          <w:i/>
          <w:iCs/>
          <w:vertAlign w:val="subscript"/>
        </w:rPr>
        <w:t xml:space="preserve">ij</w:t>
      </w:r>
      <w:r>
        <w:rPr>
          <w:rFonts w:ascii="Cambria Math" w:cs="Cambria Math" w:eastAsia="Cambria Math" w:hAnsi="Cambria Math"/>
        </w:rPr>
        <w:t xml:space="preserve">  ≥  0.75 · demand</w:t>
      </w:r>
      <w:r>
        <w:rPr>
          <w:i/>
          <w:iCs/>
          <w:vertAlign w:val="subscript"/>
        </w:rPr>
        <w:t xml:space="preserve">j</w:t>
      </w:r>
      <w:r>
        <w:t xml:space="preserve">      ∀ j ∈ D</w:t>
      </w:r>
    </w:p>
    <w:p>
      <w:pPr>
        <w:spacing w:after="160"/>
      </w:pPr>
      <w:r>
        <w:rPr>
          <w:b/>
          <w:bCs/>
        </w:rPr>
        <w:t xml:space="preserve">Non-negativity:</w:t>
      </w:r>
    </w:p>
    <w:p>
      <w:pPr>
        <w:spacing w:after="160"/>
        <w:jc w:val="center"/>
      </w:pPr>
      <w:r>
        <w:rPr>
          <w:rFonts w:ascii="Cambria Math" w:cs="Cambria Math" w:eastAsia="Cambria Math" w:hAnsi="Cambria Math"/>
          <w:i/>
          <w:iCs/>
        </w:rPr>
        <w:t xml:space="preserve">x</w:t>
      </w:r>
      <w:r>
        <w:rPr>
          <w:i/>
          <w:iCs/>
          <w:vertAlign w:val="subscript"/>
        </w:rPr>
        <w:t xml:space="preserve">ij</w:t>
      </w:r>
      <w:r>
        <w:t xml:space="preserve">  ≥  0      ∀ i ∈ P, j ∈ D</w:t>
      </w:r>
    </w:p>
    <w:p>
      <w:pPr>
        <w:spacing w:after="160"/>
      </w:pPr>
      <w:r>
        <w:t xml:space="preserve">This is a bounded-supply / bounded-demand transportation problem: a special case of a linear program with 5 × 6 = 30 decision variables and 20 inequality constraints (4 per plant/center group: a max and min for each of the 5 plants, plus a max and min for each of the 6 centers = 22 constraints, matching the 22 rows reported by Gurobi's presolve).</w:t>
      </w:r>
    </w:p>
    <w:p>
      <w:pPr>
        <w:pStyle w:val="Heading1"/>
      </w:pPr>
      <w:r>
        <w:t xml:space="preserve">4. Solving via the Simplex Method</w:t>
      </w:r>
    </w:p>
    <w:p>
      <w:pPr>
        <w:spacing w:after="160"/>
      </w:pPr>
      <w:r>
        <w:t xml:space="preserve">Gurobi's optimizer (as shown in the solver log) used a primal simplex algorithm to solve this LP. The simplex method is the classical technique for solving linear programs of this form, and it proceeds as follows:</w:t>
      </w:r>
    </w:p>
    <w:p>
      <w:pPr>
        <w:pStyle w:val="Heading2"/>
      </w:pPr>
      <w:r>
        <w:t xml:space="preserve">4.1 Standard Form Conversion</w:t>
      </w:r>
    </w:p>
    <w:p>
      <w:pPr>
        <w:spacing w:after="160"/>
      </w:pPr>
      <w:r>
        <w:t xml:space="preserve">Each inequality constraint is converted to an equality by adding a non-negative slack or surplus variable. For example, a ≤ constraint Σx_ij ≤ supply_i becomes Σx_ij + s_i = supply_i, and a ≥ constraint Σx_ij ≥ 0.5·supply_i becomes Σx_ij − s_i' = 0.5·supply_i. This produces a system of linear equations in standard form: Minimize cᵀx subject to Ax = b, x ≥ 0.</w:t>
      </w:r>
    </w:p>
    <w:p>
      <w:pPr>
        <w:pStyle w:val="Heading2"/>
      </w:pPr>
      <w:r>
        <w:t xml:space="preserve">4.2 Basic Feasible Solution</w:t>
      </w:r>
    </w:p>
    <w:p>
      <w:pPr>
        <w:spacing w:after="160"/>
      </w:pPr>
      <w:r>
        <w:t xml:space="preserve">The simplex method starts at an initial basic feasible solution (a vertex of the feasible polyhedron defined by the constraints) and represents the system as a tableau of coefficients, with the slack/surplus variables forming the initial basis.</w:t>
      </w:r>
    </w:p>
    <w:p>
      <w:pPr>
        <w:pStyle w:val="Heading2"/>
      </w:pPr>
      <w:r>
        <w:t xml:space="preserve">4.3 Iterative Pivoting</w:t>
      </w:r>
    </w:p>
    <w:p>
      <w:pPr>
        <w:spacing w:after="160"/>
      </w:pPr>
      <w:r>
        <w:t xml:space="preserve">At each iteration, the algorithm:</w:t>
      </w:r>
    </w:p>
    <w:p>
      <w:pPr>
        <w:pStyle w:val="ListParagraph"/>
        <w:numPr>
          <w:ilvl w:val="0"/>
          <w:numId w:val="2"/>
        </w:numPr>
        <w:spacing w:after="80"/>
      </w:pPr>
      <w:r>
        <w:t xml:space="preserve">Computes reduced costs for all non-basic variables to identify whether the current solution is optimal.</w:t>
      </w:r>
    </w:p>
    <w:p>
      <w:pPr>
        <w:pStyle w:val="ListParagraph"/>
        <w:numPr>
          <w:ilvl w:val="0"/>
          <w:numId w:val="2"/>
        </w:numPr>
        <w:spacing w:after="80"/>
      </w:pPr>
      <w:r>
        <w:t xml:space="preserve">If a non-basic variable has a negative reduced cost (for minimization), it is a candidate to enter the basis because increasing it would reduce the objective.</w:t>
      </w:r>
    </w:p>
    <w:p>
      <w:pPr>
        <w:pStyle w:val="ListParagraph"/>
        <w:numPr>
          <w:ilvl w:val="0"/>
          <w:numId w:val="2"/>
        </w:numPr>
        <w:spacing w:after="80"/>
      </w:pPr>
      <w:r>
        <w:t xml:space="preserve">Performs a ratio test to determine which basic variable must leave the basis to keep the solution feasible, then pivots to move to an adjacent, better vertex.</w:t>
      </w:r>
    </w:p>
    <w:p>
      <w:pPr>
        <w:pStyle w:val="ListParagraph"/>
        <w:numPr>
          <w:ilvl w:val="0"/>
          <w:numId w:val="2"/>
        </w:numPr>
        <w:spacing w:after="80"/>
      </w:pPr>
      <w:r>
        <w:t xml:space="preserve">Repeats until no entering variable can further improve the objective — this is the optimality condition.</w:t>
      </w:r>
    </w:p>
    <w:p>
      <w:pPr>
        <w:pStyle w:val="Heading2"/>
      </w:pPr>
      <w:r>
        <w:t xml:space="preserve">4.4 Solver Trace from this Model</w:t>
      </w:r>
    </w:p>
    <w:p>
      <w:pPr>
        <w:spacing w:after="160"/>
      </w:pPr>
      <w:r>
        <w:t xml:space="preserve">The Gurobi log for this model confirms the simplex steps taken on the actual problem:</w:t>
      </w:r>
    </w:p>
    <w:tbl>
      <w:tblPr>
        <w:tblW w:type="dxa" w:w="9362"/>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2"/>
      </w:tblGrid>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Iteration</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Objective Value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Primal Inf.</w:t>
            </w:r>
          </w:p>
        </w:tc>
        <w:tc>
          <w:tcPr>
            <w:tcW w:type="dxa" w:w="2362"/>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Dual Inf.</w:t>
            </w:r>
          </w:p>
        </w:tc>
      </w:tr>
      <w:tr>
        <w:tc>
          <w:tcPr>
            <w:tcW w:type="dxa" w:w="1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0.0000000</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273.4375</w:t>
            </w:r>
          </w:p>
        </w:tc>
        <w:tc>
          <w:tcPr>
            <w:tcW w:type="dxa" w:w="23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0.0000000</w:t>
            </w:r>
          </w:p>
        </w:tc>
      </w:tr>
      <w:tr>
        <w:tc>
          <w:tcPr>
            <w:tcW w:type="dxa" w:w="1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center"/>
            </w:pPr>
            <w:r>
              <w:rPr>
                <w:b w:val="false"/>
                <w:bCs w:val="false"/>
                <w:color w:val="000000"/>
                <w:sz w:val="20"/>
                <w:szCs w:val="20"/>
              </w:rPr>
              <w:t xml:space="preserve">14 (final)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39,625.0000000</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0.0000000</w:t>
            </w:r>
          </w:p>
        </w:tc>
        <w:tc>
          <w:tcPr>
            <w:tcW w:type="dxa" w:w="23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0.0000000</w:t>
            </w:r>
          </w:p>
        </w:tc>
      </w:tr>
    </w:tbl>
    <w:p>
      <w:pPr>
        <w:spacing w:after="160"/>
      </w:pPr>
      <w:r>
        <w:rPr>
          <w:i w:val="false"/>
          <w:iCs w:val="false"/>
        </w:rPr>
        <w:t xml:space="preserve">Gurobi's presolve first removed 11 redundant rows, reducing the model from 22 to 11 active constraints (41 columns after adding slacks) before running the primal simplex method. The algorithm converged from an initial infeasible basis (primal infeasibility 273.4375) to a feasible, optimal basis in 14 pivot iterations, reaching an objective value of 39,625.0 in roughly 0.02 seconds.</w:t>
      </w:r>
    </w:p>
    <w:p>
      <w:pPr>
        <w:pStyle w:val="Heading2"/>
      </w:pPr>
      <w:r>
        <w:t xml:space="preserve">4.5 Why Simplex Guarantees Optimality Here</w:t>
      </w:r>
    </w:p>
    <w:p>
      <w:pPr>
        <w:spacing w:after="160"/>
      </w:pPr>
      <w:r>
        <w:t xml:space="preserve">Because the objective and all constraints are linear and the feasible region is a bounded, convex polyhedron, the optimal solution (if one exists) always occurs at a vertex of that polyhedron. The simplex method only moves between adjacent vertices that improve the objective, so when it can no longer find an improving adjacent vertex, the current vertex is provably the global optimum — not just a local one. This is what allows Gurobi to report "Optimal objective 3.9625000e+04" with certainty.</w:t>
      </w:r>
    </w:p>
    <w:p>
      <w:pPr>
        <w:pStyle w:val="Heading1"/>
      </w:pPr>
      <w:r>
        <w:t xml:space="preserve">5. Optimal Solution</w:t>
      </w:r>
    </w:p>
    <w:p>
      <w:pPr>
        <w:spacing w:after="160"/>
      </w:pPr>
      <w:r>
        <w:t xml:space="preserve">The simplex algorithm converged to a global optimum with a minimum total transportation cost of $39,625. Only 7 of the 30 possible plant-to-center routes are used in the optimal plan — a typical and efficient feature of transportation LP solutions.</w:t>
      </w:r>
    </w:p>
    <w:p>
      <w:pPr>
        <w:pStyle w:val="Heading2"/>
      </w:pPr>
      <w:r>
        <w:t xml:space="preserve">5.1 Optimal Shipment Plan</w:t>
      </w:r>
    </w:p>
    <w:tbl>
      <w:tblPr>
        <w:tblW w:type="dxa" w:w="10362"/>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1500"/>
        <w:gridCol w:w="1562"/>
      </w:tblGrid>
      <w:tr>
        <w:tc>
          <w:tcPr>
            <w:tcW w:type="dxa" w:w="5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Route (Plant → Center)</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Units Shipped</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Unit Cost ($)</w:t>
            </w:r>
          </w:p>
        </w:tc>
        <w:tc>
          <w:tcPr>
            <w:tcW w:type="dxa" w:w="1562"/>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Route Cost ($)</w:t>
            </w:r>
          </w:p>
        </w:tc>
      </w:tr>
      <w:tr>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Baltimore → Columbia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12.5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35</w:t>
            </w:r>
          </w:p>
        </w:tc>
        <w:tc>
          <w:tcPr>
            <w:tcW w:type="dxa" w:w="1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437.5</w:t>
            </w:r>
          </w:p>
        </w:tc>
      </w:tr>
      <w:tr>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Baltimore → Richmond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187.5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1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3,750</w:t>
            </w:r>
          </w:p>
        </w:tc>
      </w:tr>
      <w:tr>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Cleveland → Indianapolis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225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30</w:t>
            </w:r>
          </w:p>
        </w:tc>
        <w:tc>
          <w:tcPr>
            <w:tcW w:type="dxa" w:w="1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6,750</w:t>
            </w:r>
          </w:p>
        </w:tc>
      </w:tr>
      <w:tr>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Cleveland → Lexington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38</w:t>
            </w:r>
          </w:p>
        </w:tc>
        <w:tc>
          <w:tcPr>
            <w:tcW w:type="dxa" w:w="1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5,700</w:t>
            </w:r>
          </w:p>
        </w:tc>
      </w:tr>
      <w:tr>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Little Rock → St. Louis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225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38</w:t>
            </w:r>
          </w:p>
        </w:tc>
        <w:tc>
          <w:tcPr>
            <w:tcW w:type="dxa" w:w="1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8,550</w:t>
            </w:r>
          </w:p>
        </w:tc>
      </w:tr>
      <w:tr>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Birmingham → Nashville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262.5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35</w:t>
            </w:r>
          </w:p>
        </w:tc>
        <w:tc>
          <w:tcPr>
            <w:tcW w:type="dxa" w:w="1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9,187.5</w:t>
            </w:r>
          </w:p>
        </w:tc>
      </w:tr>
      <w:tr>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color w:val="000000"/>
                <w:sz w:val="20"/>
                <w:szCs w:val="20"/>
              </w:rPr>
              <w:t xml:space="preserve">Charleston → Columbia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175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30</w:t>
            </w:r>
          </w:p>
        </w:tc>
        <w:tc>
          <w:tcPr>
            <w:tcW w:type="dxa" w:w="15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5,250</w:t>
            </w:r>
          </w:p>
        </w:tc>
      </w:tr>
      <w:tr>
        <w:tc>
          <w:tcPr>
            <w:tcW w:type="dxa" w:w="5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left"/>
            </w:pPr>
            <w:r>
              <w:rPr>
                <w:b/>
                <w:bCs/>
                <w:color w:val="FFFFFF"/>
                <w:sz w:val="20"/>
                <w:szCs w:val="20"/>
              </w:rPr>
              <w:t xml:space="preserve">TOTAL</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562"/>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$39,625</w:t>
            </w:r>
          </w:p>
        </w:tc>
      </w:tr>
    </w:tbl>
    <w:p>
      <w:pPr>
        <w:pStyle w:val="Heading2"/>
      </w:pPr>
      <w:r>
        <w:t xml:space="preserve">5.2 Plant Utilization</w:t>
      </w:r>
    </w:p>
    <w:p>
      <w:pPr>
        <w:spacing w:after="160"/>
      </w:pPr>
      <w:r>
        <w:t xml:space="preserve">Utilization shows how much of each plant's supply was actually shipped out, relative to its maximum capacity.</w:t>
      </w:r>
    </w:p>
    <w:tbl>
      <w:tblPr>
        <w:tblW w:type="dxa" w:w="11722"/>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gridCol w:w="2362"/>
      </w:tblGrid>
      <w:t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Plant</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Supply</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Shipped</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Remaining</w:t>
            </w:r>
          </w:p>
        </w:tc>
        <w:tc>
          <w:tcPr>
            <w:tcW w:type="dxa" w:w="2362"/>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Utilization</w:t>
            </w:r>
          </w:p>
        </w:tc>
      </w:tr>
      <w:tr>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b w:val="false"/>
                <w:bCs w:val="false"/>
                <w:color w:val="000000"/>
                <w:sz w:val="20"/>
                <w:szCs w:val="20"/>
              </w:rPr>
              <w:t xml:space="preserve">Baltimore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400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200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200</w:t>
            </w:r>
          </w:p>
        </w:tc>
        <w:tc>
          <w:tcPr>
            <w:tcW w:type="dxa" w:w="23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50.0%</w:t>
            </w:r>
          </w:p>
        </w:tc>
      </w:tr>
      <w:tr>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b w:val="false"/>
                <w:bCs w:val="false"/>
                <w:color w:val="000000"/>
                <w:sz w:val="20"/>
                <w:szCs w:val="20"/>
              </w:rPr>
              <w:t xml:space="preserve">Cleveland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450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375</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75</w:t>
            </w:r>
          </w:p>
        </w:tc>
        <w:tc>
          <w:tcPr>
            <w:tcW w:type="dxa" w:w="23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83.3%</w:t>
            </w:r>
          </w:p>
        </w:tc>
      </w:tr>
      <w:tr>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b w:val="false"/>
                <w:bCs w:val="false"/>
                <w:color w:val="000000"/>
                <w:sz w:val="20"/>
                <w:szCs w:val="20"/>
              </w:rPr>
              <w:t xml:space="preserve">Little Rock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350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225</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125</w:t>
            </w:r>
          </w:p>
        </w:tc>
        <w:tc>
          <w:tcPr>
            <w:tcW w:type="dxa" w:w="23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64.3%</w:t>
            </w:r>
          </w:p>
        </w:tc>
      </w:tr>
      <w:tr>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b w:val="false"/>
                <w:bCs w:val="false"/>
                <w:color w:val="000000"/>
                <w:sz w:val="20"/>
                <w:szCs w:val="20"/>
              </w:rPr>
              <w:t xml:space="preserve">Birmingham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400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262.5</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137.5</w:t>
            </w:r>
          </w:p>
        </w:tc>
        <w:tc>
          <w:tcPr>
            <w:tcW w:type="dxa" w:w="23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65.6%</w:t>
            </w:r>
          </w:p>
        </w:tc>
      </w:tr>
      <w:tr>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center"/>
          </w:tcPr>
          <w:p>
            <w:pPr>
              <w:jc w:val="left"/>
            </w:pPr>
            <w:r>
              <w:rPr>
                <w:b w:val="false"/>
                <w:bCs w:val="false"/>
                <w:color w:val="000000"/>
                <w:sz w:val="20"/>
                <w:szCs w:val="20"/>
              </w:rPr>
              <w:t xml:space="preserve">Charleston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300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175</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125</w:t>
            </w:r>
          </w:p>
        </w:tc>
        <w:tc>
          <w:tcPr>
            <w:tcW w:type="dxa" w:w="236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color w:val="000000"/>
                <w:sz w:val="20"/>
                <w:szCs w:val="20"/>
              </w:rPr>
              <w:t xml:space="preserve">58.3%</w:t>
            </w:r>
          </w:p>
        </w:tc>
      </w:tr>
    </w:tbl>
    <w:p>
      <w:pPr>
        <w:pStyle w:val="Heading2"/>
      </w:pPr>
      <w:r>
        <w:t xml:space="preserve">5.3 Key Insights</w:t>
      </w:r>
    </w:p>
    <w:p>
      <w:pPr>
        <w:pStyle w:val="ListParagraph"/>
        <w:numPr>
          <w:ilvl w:val="0"/>
          <w:numId w:val="2"/>
        </w:numPr>
        <w:spacing w:after="80"/>
      </w:pPr>
      <w:r>
        <w:t xml:space="preserve">Baltimore and Cleveland route to nearby low-cost centers (Richmond at $20/unit and Indianapolis at $30/unit), keeping average cost low.</w:t>
      </w:r>
    </w:p>
    <w:p>
      <w:pPr>
        <w:pStyle w:val="ListParagraph"/>
        <w:numPr>
          <w:ilvl w:val="0"/>
          <w:numId w:val="2"/>
        </w:numPr>
        <w:spacing w:after="80"/>
      </w:pPr>
      <w:r>
        <w:t xml:space="preserve">Baltimore ships only at its minimum required level (50% utilization), since its cheapest lanes (Richmond, Columbia) become expensive once demand there is satisfied.</w:t>
      </w:r>
    </w:p>
    <w:p>
      <w:pPr>
        <w:pStyle w:val="ListParagraph"/>
        <w:numPr>
          <w:ilvl w:val="0"/>
          <w:numId w:val="2"/>
        </w:numPr>
        <w:spacing w:after="80"/>
      </w:pPr>
      <w:r>
        <w:t xml:space="preserve">Cleveland operates at its highest utilization (83.3%), reflecting its competitive rates to Indianapolis and Lexington.</w:t>
      </w:r>
    </w:p>
    <w:p>
      <w:pPr>
        <w:pStyle w:val="ListParagraph"/>
        <w:numPr>
          <w:ilvl w:val="0"/>
          <w:numId w:val="2"/>
        </w:numPr>
        <w:spacing w:after="80"/>
      </w:pPr>
      <w:r>
        <w:t xml:space="preserve">No plant ships to every center — the optimal plan concentrates volume on the cheapest viable lanes rather than spreading shipments evenly.</w:t>
      </w:r>
    </w:p>
    <w:p>
      <w:pPr>
        <w:pStyle w:val="ListParagraph"/>
        <w:numPr>
          <w:ilvl w:val="0"/>
          <w:numId w:val="2"/>
        </w:numPr>
        <w:spacing w:after="80"/>
      </w:pPr>
      <w:r>
        <w:t xml:space="preserve">All distribution centers receive within their allowed 75%–100% demand band, and all plants ship within their 50%–100% supply band, satisfying every business rule at minimum cost.</w:t>
      </w:r>
    </w:p>
    <w:p>
      <w:pPr>
        <w:pStyle w:val="Heading1"/>
      </w:pPr>
      <w:r>
        <w:t xml:space="preserve">6. Conclusion</w:t>
      </w:r>
    </w:p>
    <w:p>
      <w:pPr>
        <w:spacing w:after="160"/>
      </w:pPr>
      <w:r>
        <w:t xml:space="preserve">The linear programming model successfully identifies the minimum-cost shipment plan across the 5-plant, 6-center distribution network. Gurobi's primal simplex implementation solved the 30-variable, 22-constraint LP to provable global optimality in 14 iterations, arriving at a total cost of $39,625. This formulation and solution approach can be directly extended to larger networks, additional cost components (e.g., fixed shipping fees), or re-solved periodically as supply, demand, or cost data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Transportation Optimization Report</w:t>
    </w:r>
    <w:r>
      <w:rPr>
        <w:color w:val="808080"/>
        <w:sz w:val="16"/>
        <w:szCs w:val="16"/>
      </w:rPr>
      <w:t xml:space="preserve">	Gurobi LP / Simplex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2026-06-30T04:52:03.551Z</dcterms:created>
  <dcterms:modified xsi:type="dcterms:W3CDTF">2026-06-30T04:52:03.551Z</dcterms:modified>
</cp:coreProperties>
</file>

<file path=docProps/custom.xml><?xml version="1.0" encoding="utf-8"?>
<Properties xmlns="http://schemas.openxmlformats.org/officeDocument/2006/custom-properties" xmlns:vt="http://schemas.openxmlformats.org/officeDocument/2006/docPropsVTypes"/>
</file>