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Executive Summary: Predictive Churn Risk Scoring for Bank Customers</w:t>
      </w:r>
    </w:p>
    <w:p/>
    <w:p>
      <w:r>
        <w:t>Audience: Government and policy stakeholders</w:t>
      </w:r>
    </w:p>
    <w:p>
      <w:r>
        <w:t>Dataset: 10,000 European bank customers | Churn rate: 20.37% | Best model: XGBoost</w:t>
      </w:r>
    </w:p>
    <w:p>
      <w:pPr>
        <w:pStyle w:val="Heading1"/>
      </w:pPr>
      <w:r>
        <w:t>Purpose</w:t>
      </w:r>
    </w:p>
    <w:p>
      <w:r>
        <w:t>This project builds a predictive churn intelligence system that helps a bank identify customers likely to leave before they actually churn. The system supports proactive retention, efficient campaign targeting, and explainable customer-risk decisions.</w:t>
      </w:r>
    </w:p>
    <w:p>
      <w:pPr>
        <w:pStyle w:val="Heading1"/>
      </w:pPr>
      <w:r>
        <w:t>Why This Matters</w:t>
      </w:r>
    </w:p>
    <w:p>
      <w:pPr>
        <w:pStyle w:val="ListBullet"/>
      </w:pPr>
      <w:r>
        <w:t>Customer churn reduces lifetime value, revenue stability, and competitiveness.</w:t>
      </w:r>
    </w:p>
    <w:p>
      <w:pPr>
        <w:pStyle w:val="ListBullet"/>
      </w:pPr>
      <w:r>
        <w:t>Reactive retention campaigns are costly because they act after customer dissatisfaction has already escalated.</w:t>
      </w:r>
    </w:p>
    <w:p>
      <w:pPr>
        <w:pStyle w:val="ListBullet"/>
      </w:pPr>
      <w:r>
        <w:t>Risk scoring enables earlier and more targeted customer engagement.</w:t>
      </w:r>
    </w:p>
    <w:p>
      <w:pPr>
        <w:pStyle w:val="ListBullet"/>
      </w:pPr>
      <w:r>
        <w:t>Explainability improves trust, auditability, and responsible use of machine learning in financial services.</w:t>
      </w:r>
    </w:p>
    <w:p>
      <w:pPr>
        <w:pStyle w:val="Heading1"/>
      </w:pPr>
      <w:r>
        <w:t>Methodology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Dropped identifiers, encoded categories, scaled numerical variables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Feature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Created balance-to-salary, product-density, engagement-product, and age-tenure interactions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Modeling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Compared Logistic Regression, Decision Tree, Random Forest, Gradient Boosting, and XGBoost where 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Used accuracy, precision, recall, F1-score, ROC-AUC, and confusion matrix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Delivered Streamlit app with risk calculator, feature importance, probability distribution, what-if simulator</w:t>
            </w:r>
          </w:p>
        </w:tc>
      </w:tr>
    </w:tbl>
    <w:p>
      <w:pPr>
        <w:pStyle w:val="Heading1"/>
      </w:pPr>
      <w:r>
        <w:t>Key Results</w:t>
      </w:r>
    </w:p>
    <w:p>
      <w:r>
        <w:rPr>
          <w:b/>
        </w:rPr>
        <w:t>Model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0.8695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0.7897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0.4889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0.6039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0.8691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0.8700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0.7928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0.4889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0.6049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0.8682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0.8320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0.5723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0.6904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0.6258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0.8641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Decision Tree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0.7570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0.4452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0.7887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0.5691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0.8384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0.7095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0.3827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0.6978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0.4943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0.7759</w:t>
            </w:r>
          </w:p>
        </w:tc>
      </w:tr>
    </w:tbl>
    <w:p>
      <w:r>
        <w:t>The selected model is XGBoost. It achieved ROC-AUC 0.869 on the holdout test set. A tuned churn-flag threshold of 0.252 was selected to reduce false positive churn alarms while preserving practical churn detection.</w:t>
      </w:r>
    </w:p>
    <w:p>
      <w:r>
        <w:drawing>
          <wp:inline xmlns:a="http://schemas.openxmlformats.org/drawingml/2006/main" xmlns:pic="http://schemas.openxmlformats.org/drawingml/2006/picture">
            <wp:extent cx="5212080" cy="3764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Top churn drivers identified by the final model</w:t>
      </w:r>
    </w:p>
    <w:p>
      <w:r>
        <w:drawing>
          <wp:inline xmlns:a="http://schemas.openxmlformats.org/drawingml/2006/main" xmlns:pic="http://schemas.openxmlformats.org/drawingml/2006/picture">
            <wp:extent cx="5212080" cy="3362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obabilit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6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Distribution of predicted churn probability across customers</w:t>
      </w:r>
    </w:p>
    <w:p>
      <w:r>
        <w:br w:type="page"/>
      </w:r>
    </w:p>
    <w:p>
      <w:pPr>
        <w:pStyle w:val="Heading1"/>
      </w:pPr>
      <w:r>
        <w:t>Operational Risk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Risk Band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Probability Range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Recommended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Below 30%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Normal loyalty monitoring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30% to 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Targeted engagement campaign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Above 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Immediate retention outreach and personalized intervention</w:t>
            </w:r>
          </w:p>
        </w:tc>
      </w:tr>
    </w:tbl>
    <w:p>
      <w:pPr>
        <w:pStyle w:val="Heading1"/>
      </w:pPr>
      <w:r>
        <w:t>Policy and Governance Recommendations</w:t>
      </w:r>
    </w:p>
    <w:p>
      <w:pPr>
        <w:pStyle w:val="ListBullet"/>
      </w:pPr>
      <w:r>
        <w:t>Use churn scores as decision-support tools, not as fully automated customer treatment decisions.</w:t>
      </w:r>
    </w:p>
    <w:p>
      <w:pPr>
        <w:pStyle w:val="ListBullet"/>
      </w:pPr>
      <w:r>
        <w:t>Review high-risk cases with human oversight before expensive or sensitive interventions.</w:t>
      </w:r>
    </w:p>
    <w:p>
      <w:pPr>
        <w:pStyle w:val="ListBullet"/>
      </w:pPr>
      <w:r>
        <w:t>Monitor false positives because incorrect churn flags can waste retention budget and create unnecessary customer contact.</w:t>
      </w:r>
    </w:p>
    <w:p>
      <w:pPr>
        <w:pStyle w:val="ListBullet"/>
      </w:pPr>
      <w:r>
        <w:t>Audit model performance across geography and gender segments to prevent unfair or uneven outcomes.</w:t>
      </w:r>
    </w:p>
    <w:p>
      <w:pPr>
        <w:pStyle w:val="ListBullet"/>
      </w:pPr>
      <w:r>
        <w:t>Refresh the model periodically as customer behavior and economic conditions change.</w:t>
      </w:r>
    </w:p>
    <w:p>
      <w:pPr>
        <w:pStyle w:val="Heading1"/>
      </w:pPr>
      <w:r>
        <w:t>Conclusion</w:t>
      </w:r>
    </w:p>
    <w:p>
      <w:r>
        <w:t>The project delivers a practical churn intelligence framework that moves banks from reactive churn reporting to proactive risk-based retention. It combines prediction, explainability, risk scoring, and what-if simulation in one deployable Streamlit application.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