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Executive Summary</w:t>
        <w:br/>
        <w:t>Product Line Profitability &amp; Margin Performance Analysis</w:t>
        <w:br/>
        <w:t>Nassau Candy Distributor</w:t>
      </w:r>
    </w:p>
    <w:p>
      <w:r>
        <w:t>Audience: Government stakeholders, oversight bodies, and senior decision makers</w:t>
      </w:r>
    </w:p>
    <w:p>
      <w:r>
        <w:t>Period covered: 2024-01-02 to 2025-12-31</w:t>
      </w:r>
    </w:p>
    <w:p>
      <w:pPr>
        <w:pStyle w:val="Heading1"/>
      </w:pPr>
      <w:r>
        <w:t>Purpose</w:t>
      </w:r>
    </w:p>
    <w:p>
      <w:r>
        <w:t>This executive summary translates the product profitability analysis into decision-ready insights for stakeholders who need a clear view of financial performance, margin risk, and portfolio dependency. The goal is to support evidence-based pricing, sourcing, promotion, and product rationalization decisions.</w:t>
      </w:r>
    </w:p>
    <w:p>
      <w:pPr>
        <w:pStyle w:val="Heading1"/>
      </w:pPr>
      <w:r>
        <w:t>Headline Findings</w:t>
      </w:r>
    </w:p>
    <w:p>
      <w:pPr>
        <w:pStyle w:val="ListBullet"/>
      </w:pPr>
      <w:r>
        <w:t>The distributor generated $141,783.63 in sales and $93,442.80 in gross profit, with an overall gross margin of 65.91%.</w:t>
      </w:r>
    </w:p>
    <w:p>
      <w:pPr>
        <w:pStyle w:val="ListBullet"/>
      </w:pPr>
      <w:r>
        <w:t>Chocolate is the dominant financial engine, contributing 92.88% of revenue and 95.06% of profit.</w:t>
      </w:r>
    </w:p>
    <w:p>
      <w:pPr>
        <w:pStyle w:val="ListBullet"/>
      </w:pPr>
      <w:r>
        <w:t>Only 5 products produce more than 80% of revenue, and only 5 products produce more than 80% of profit, creating concentration risk.</w:t>
      </w:r>
    </w:p>
    <w:p>
      <w:pPr>
        <w:pStyle w:val="ListBullet"/>
      </w:pPr>
      <w:r>
        <w:t>Wonka Bar -Scrumdiddlyumptious is the top gross-profit product, while Everlasting Gobstopper has the highest margin but limited scale.</w:t>
      </w:r>
    </w:p>
    <w:p>
      <w:pPr>
        <w:pStyle w:val="ListBullet"/>
      </w:pPr>
      <w:r>
        <w:t>Kazookles is the highest-risk product by margin, with only 7.69% gross margin.</w:t>
      </w:r>
    </w:p>
    <w:p>
      <w:pPr>
        <w:pStyle w:val="Heading1"/>
      </w:pPr>
      <w:r>
        <w:t>KPI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KPI</w:t>
            </w:r>
          </w:p>
        </w:tc>
        <w:tc>
          <w:tcPr>
            <w:tcW w:type="dxa" w:w="5112"/>
            <w:vAlign w:val="center"/>
            <w:shd w:fill="D9EAF7"/>
          </w:tcPr>
          <w:p>
            <w:r/>
            <w:r>
              <w:rPr>
                <w:b/>
                <w:sz w:val="17"/>
              </w:rPr>
              <w:t>Value</w:t>
            </w:r>
          </w:p>
        </w:tc>
      </w:tr>
      <w:tr>
        <w:tc>
          <w:tcPr>
            <w:tcW w:type="dxa" w:w="5112"/>
            <w:vAlign w:val="center"/>
          </w:tcPr>
          <w:p>
            <w:r/>
            <w:r>
              <w:rPr>
                <w:b w:val="0"/>
                <w:sz w:val="17"/>
              </w:rPr>
              <w:t>Sales</w:t>
            </w:r>
          </w:p>
        </w:tc>
        <w:tc>
          <w:tcPr>
            <w:tcW w:type="dxa" w:w="5112"/>
            <w:vAlign w:val="center"/>
          </w:tcPr>
          <w:p>
            <w:r/>
            <w:r>
              <w:rPr>
                <w:b w:val="0"/>
                <w:sz w:val="17"/>
              </w:rPr>
              <w:t>$141,783.63</w:t>
            </w:r>
          </w:p>
        </w:tc>
      </w:tr>
      <w:tr>
        <w:tc>
          <w:tcPr>
            <w:tcW w:type="dxa" w:w="5112"/>
            <w:vAlign w:val="center"/>
          </w:tcPr>
          <w:p>
            <w:r/>
            <w:r>
              <w:rPr>
                <w:b w:val="0"/>
                <w:sz w:val="17"/>
              </w:rPr>
              <w:t>Gross Profit</w:t>
            </w:r>
          </w:p>
        </w:tc>
        <w:tc>
          <w:tcPr>
            <w:tcW w:type="dxa" w:w="5112"/>
            <w:vAlign w:val="center"/>
          </w:tcPr>
          <w:p>
            <w:r/>
            <w:r>
              <w:rPr>
                <w:b w:val="0"/>
                <w:sz w:val="17"/>
              </w:rPr>
              <w:t>$93,442.80</w:t>
            </w:r>
          </w:p>
        </w:tc>
      </w:tr>
      <w:tr>
        <w:tc>
          <w:tcPr>
            <w:tcW w:type="dxa" w:w="5112"/>
            <w:vAlign w:val="center"/>
          </w:tcPr>
          <w:p>
            <w:r/>
            <w:r>
              <w:rPr>
                <w:b w:val="0"/>
                <w:sz w:val="17"/>
              </w:rPr>
              <w:t>Cost</w:t>
            </w:r>
          </w:p>
        </w:tc>
        <w:tc>
          <w:tcPr>
            <w:tcW w:type="dxa" w:w="5112"/>
            <w:vAlign w:val="center"/>
          </w:tcPr>
          <w:p>
            <w:r/>
            <w:r>
              <w:rPr>
                <w:b w:val="0"/>
                <w:sz w:val="17"/>
              </w:rPr>
              <w:t>$48,340.83</w:t>
            </w:r>
          </w:p>
        </w:tc>
      </w:tr>
      <w:tr>
        <w:tc>
          <w:tcPr>
            <w:tcW w:type="dxa" w:w="5112"/>
            <w:vAlign w:val="center"/>
          </w:tcPr>
          <w:p>
            <w:r/>
            <w:r>
              <w:rPr>
                <w:b w:val="0"/>
                <w:sz w:val="17"/>
              </w:rPr>
              <w:t>Units</w:t>
            </w:r>
          </w:p>
        </w:tc>
        <w:tc>
          <w:tcPr>
            <w:tcW w:type="dxa" w:w="5112"/>
            <w:vAlign w:val="center"/>
          </w:tcPr>
          <w:p>
            <w:r/>
            <w:r>
              <w:rPr>
                <w:b w:val="0"/>
                <w:sz w:val="17"/>
              </w:rPr>
              <w:t>38,654</w:t>
            </w:r>
          </w:p>
        </w:tc>
      </w:tr>
      <w:tr>
        <w:tc>
          <w:tcPr>
            <w:tcW w:type="dxa" w:w="5112"/>
            <w:vAlign w:val="center"/>
          </w:tcPr>
          <w:p>
            <w:r/>
            <w:r>
              <w:rPr>
                <w:b w:val="0"/>
                <w:sz w:val="17"/>
              </w:rPr>
              <w:t>Overall Gross Margin</w:t>
            </w:r>
          </w:p>
        </w:tc>
        <w:tc>
          <w:tcPr>
            <w:tcW w:type="dxa" w:w="5112"/>
            <w:vAlign w:val="center"/>
          </w:tcPr>
          <w:p>
            <w:r/>
            <w:r>
              <w:rPr>
                <w:b w:val="0"/>
                <w:sz w:val="17"/>
              </w:rPr>
              <w:t>65.91%</w:t>
            </w:r>
          </w:p>
        </w:tc>
      </w:tr>
      <w:tr>
        <w:tc>
          <w:tcPr>
            <w:tcW w:type="dxa" w:w="5112"/>
            <w:vAlign w:val="center"/>
          </w:tcPr>
          <w:p>
            <w:r/>
            <w:r>
              <w:rPr>
                <w:b w:val="0"/>
                <w:sz w:val="17"/>
              </w:rPr>
              <w:t>Products crossing 80% revenue</w:t>
            </w:r>
          </w:p>
        </w:tc>
        <w:tc>
          <w:tcPr>
            <w:tcW w:type="dxa" w:w="5112"/>
            <w:vAlign w:val="center"/>
          </w:tcPr>
          <w:p>
            <w:r/>
            <w:r>
              <w:rPr>
                <w:b w:val="0"/>
                <w:sz w:val="17"/>
              </w:rPr>
              <w:t>5</w:t>
            </w:r>
          </w:p>
        </w:tc>
      </w:tr>
      <w:tr>
        <w:tc>
          <w:tcPr>
            <w:tcW w:type="dxa" w:w="5112"/>
            <w:vAlign w:val="center"/>
          </w:tcPr>
          <w:p>
            <w:r/>
            <w:r>
              <w:rPr>
                <w:b w:val="0"/>
                <w:sz w:val="17"/>
              </w:rPr>
              <w:t>Products crossing 80% profit</w:t>
            </w:r>
          </w:p>
        </w:tc>
        <w:tc>
          <w:tcPr>
            <w:tcW w:type="dxa" w:w="5112"/>
            <w:vAlign w:val="center"/>
          </w:tcPr>
          <w:p>
            <w:r/>
            <w:r>
              <w:rPr>
                <w:b w:val="0"/>
                <w:sz w:val="17"/>
              </w:rPr>
              <w:t>5</w:t>
            </w:r>
          </w:p>
        </w:tc>
      </w:tr>
    </w:tbl>
    <w:p/>
    <w:p>
      <w:pPr>
        <w:pStyle w:val="Heading1"/>
      </w:pPr>
      <w:r>
        <w:t>Strategic Interpretation</w:t>
      </w:r>
    </w:p>
    <w:p>
      <w:r>
        <w:t>The portfolio is financially healthy at the total level, but the health is not evenly distributed. Chocolate creates most of the profit, while some Other and Sugar products either contribute very little or carry weak margins. This means that product decisions should be based on contribution and margin, not sales volume alone.</w:t>
      </w:r>
    </w:p>
    <w:p>
      <w:pPr>
        <w:pStyle w:val="Heading1"/>
      </w:pPr>
      <w:r>
        <w:t>Priority Actions</w:t>
      </w:r>
    </w:p>
    <w:p>
      <w:pPr>
        <w:pStyle w:val="ListNumber"/>
      </w:pPr>
      <w:r>
        <w:rPr>
          <w:b/>
        </w:rPr>
        <w:t xml:space="preserve">Protect core Chocolate SKUs: </w:t>
      </w:r>
      <w:r>
        <w:t>Prioritize availability, avoid excessive discounts, and monitor supply risk for Lot's O' Nuts and Wicked Choccy's products.</w:t>
      </w:r>
    </w:p>
    <w:p>
      <w:pPr>
        <w:pStyle w:val="ListNumber"/>
      </w:pPr>
      <w:r>
        <w:rPr>
          <w:b/>
        </w:rPr>
        <w:t xml:space="preserve">Fix margin-risk products: </w:t>
      </w:r>
      <w:r>
        <w:t>Review Kazookles immediately for repricing, cost renegotiation, packaging changes, or discontinuation review.</w:t>
      </w:r>
    </w:p>
    <w:p>
      <w:pPr>
        <w:pStyle w:val="ListNumber"/>
      </w:pPr>
      <w:r>
        <w:rPr>
          <w:b/>
        </w:rPr>
        <w:t xml:space="preserve">Audit below-portfolio-margin products: </w:t>
      </w:r>
      <w:r>
        <w:t>Review Lickable Wallpaper and Wonka Gum for pricing and cost structure improvements.</w:t>
      </w:r>
    </w:p>
    <w:p>
      <w:pPr>
        <w:pStyle w:val="ListNumber"/>
      </w:pPr>
      <w:r>
        <w:rPr>
          <w:b/>
        </w:rPr>
        <w:t xml:space="preserve">Create monthly margin governance: </w:t>
      </w:r>
      <w:r>
        <w:t>Use the dashboard to review products below the chosen margin threshold and download risk-flag outputs.</w:t>
      </w:r>
    </w:p>
    <w:p>
      <w:pPr>
        <w:pStyle w:val="ListNumber"/>
      </w:pPr>
      <w:r>
        <w:rPr>
          <w:b/>
        </w:rPr>
        <w:t xml:space="preserve">Reduce dependency risk: </w:t>
      </w:r>
      <w:r>
        <w:t>Develop selective growth plans for high-margin smaller products without weakening Chocolate profitability.</w:t>
      </w:r>
    </w:p>
    <w:p>
      <w:pPr>
        <w:pStyle w:val="Heading1"/>
      </w:pPr>
      <w:r>
        <w:t>Decision Dashboard Provided</w:t>
      </w:r>
    </w:p>
    <w:p>
      <w:r>
        <w:t>The accompanying Streamlit dashboard includes a product profitability overview, division performance dashboard, cost-vs-margin diagnostics, Pareto concentration analysis, margin risk flags, date range filtering, division filtering, product search, and a margin-threshold slider.</w:t>
      </w:r>
    </w:p>
    <w:p>
      <w:pPr>
        <w:pStyle w:val="Heading1"/>
      </w:pPr>
      <w:r>
        <w:t>Conclusion</w:t>
      </w:r>
    </w:p>
    <w:p>
      <w:r>
        <w:t>Nassau Candy Distributor should continue protecting its strongest Chocolate products while actively correcting low-margin and low-contribution products. The project converts raw sales and cost data into a repeatable profitability monitoring system that can guide pricing, sourcing, promotion, and product portfolio decisions.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Unified Mentor Project Submission | Nassau Candy Distributor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Executive Summary - Nassau Candy Distributor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