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9E2A2F"/>
          <w:sz w:val="28"/>
        </w:rPr>
        <w:t>HCGA TRADING LLC</w:t>
      </w:r>
    </w:p>
    <w:p>
      <w:pPr>
        <w:spacing w:after="80"/>
        <w:jc w:val="center"/>
      </w:pPr>
      <w:r>
        <w:rPr>
          <w:rFonts w:ascii="Arial" w:hAnsi="Arial"/>
          <w:b/>
          <w:color w:val="14171A"/>
          <w:sz w:val="36"/>
        </w:rPr>
        <w:t>CÓDIGO DE CONDUCTA Y TRANSPARENCIA OPERATIVA DE LA PLATAFORMA</w:t>
      </w:r>
    </w:p>
    <w:p>
      <w:pPr>
        <w:spacing w:after="480"/>
        <w:jc w:val="center"/>
      </w:pPr>
      <w:r>
        <w:rPr>
          <w:i/>
          <w:color w:val="6E6E6E"/>
          <w:sz w:val="20"/>
        </w:rPr>
        <w:t>Borrador de Estructura Legal Operativa — Versión 1.0 (Para Revisión Legal)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E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b/>
                <w:color w:val="D98A2B"/>
                <w:sz w:val="20"/>
              </w:rPr>
              <w:t>nota de uso para el bufete de abogados:</w:t>
              <w:br/>
            </w:r>
            <w:r>
              <w:rPr>
                <w:color w:val="14171A"/>
                <w:sz w:val="20"/>
              </w:rPr>
              <w:t xml:space="preserve">Este borrador ha sido elaborado por el equipo técnico-operativo de HCGA Trading LLC para definir las reglas del marketplace digital. Las cláusulas y parámetros que requieren validación, ajuste o redacción jurídica definitiva están marcadas con el símbolo </w:t>
            </w:r>
            <w:r>
              <w:rPr>
                <w:b/>
              </w:rPr>
              <w:t>🔶</w:t>
            </w:r>
            <w:r>
              <w:rPr>
                <w:sz w:val="20"/>
              </w:rPr>
              <w:t>. Le solicitamos al equipo legal enfocar su revisión prioritariamente en dichos puntos.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9E2A2F"/>
          <w:sz w:val="28"/>
        </w:rPr>
        <w:t>1. Marco Legal y Fundamento Constitucional del Vetting</w:t>
      </w:r>
    </w:p>
    <w:p>
      <w:pPr>
        <w:spacing w:after="120" w:line="276" w:lineRule="auto"/>
      </w:pPr>
      <w:r>
        <w:rPr>
          <w:b/>
          <w:color w:val="14171A"/>
        </w:rPr>
        <w:t xml:space="preserve">1.1 Objeto. </w:t>
      </w:r>
      <w:r>
        <w:rPr>
          <w:color w:val="14171A"/>
        </w:rPr>
        <w:t>El presente Código de Conducta se fundamenta operativamente en la necesidad de garantizar la máxima seguridad vial, transparencia en las tarifas y protección legal mutua entre transportistas (Owner Operators / Flotillas) y contratantes de carga (Brokers / Shippers).</w:t>
      </w:r>
    </w:p>
    <w:p>
      <w:pPr>
        <w:spacing w:after="120" w:line="276" w:lineRule="auto"/>
      </w:pPr>
      <w:r>
        <w:rPr>
          <w:b/>
          <w:color w:val="14171A"/>
        </w:rPr>
        <w:t xml:space="preserve">1.2 Fundamento Legal Específico (Montgomery v. Caribe Transport II). 🔶 </w:t>
      </w:r>
      <w:r>
        <w:rPr>
          <w:color w:val="14171A"/>
        </w:rPr>
        <w:t>El 14 de mayo de 2026, la Corte Suprema de los Estados Unidos emitió un fallo unánime (9-0) en la causa Montgomery v. Caribe Transport II, estableciendo que la Ley de Autorización de la Administración de Transporte de Superficie (FAAAA) no exime a los brokers de carga de demandas estatales por selección negligente de transportistas inseguros (negligent selection of motor carriers). En su opinión concurrente, el Juez Kavanaugh ratificó que aquellos brokers y plataformas digitales que apliquen y documenten un proceso razonable, sistemático y fundado en datos objetivos de verificación de transportistas (Carrier Vetting) mantienen la protección legal frente a alegatos de negligencia.</w:t>
      </w:r>
    </w:p>
    <w:p>
      <w:pPr>
        <w:spacing w:after="120" w:line="276" w:lineRule="auto"/>
      </w:pPr>
      <w:r>
        <w:rPr>
          <w:b/>
          <w:color w:val="14171A"/>
        </w:rPr>
        <w:t xml:space="preserve">1.3 Integración de la Función de Vetting en HCGA. </w:t>
      </w:r>
      <w:r>
        <w:rPr>
          <w:color w:val="14171A"/>
        </w:rPr>
        <w:t>En respuesta directa a esta jurisprudencia, HCGA Trading LLC integra dentro de su arquitectura tecnológica un sistema obligatorio de verificación de autoridad FMCSA, estado de póliza de seguro de responsabilidad civil/carga y antecedentes de seguridad (Carrier Vetting por número MC/DOT). La utilización de la plataforma HCGA por parte de brokers y shippers constituye prueba documental fehaciente del cumplimiento del deber de diligencia en la selección de transportistas.</w:t>
      </w:r>
    </w:p>
    <w:p>
      <w:pPr>
        <w:keepNext/>
        <w:spacing w:before="360" w:after="120"/>
      </w:pPr>
      <w:r>
        <w:rPr>
          <w:rFonts w:ascii="Arial" w:hAnsi="Arial"/>
          <w:b/>
          <w:color w:val="9E2A2F"/>
          <w:sz w:val="28"/>
        </w:rPr>
        <w:t>2. Principio Fundacional: Opinión vs. Violación Verificada</w:t>
      </w:r>
    </w:p>
    <w:p>
      <w:pPr>
        <w:spacing w:after="120" w:line="276" w:lineRule="auto"/>
      </w:pPr>
      <w:r>
        <w:rPr>
          <w:b/>
          <w:color w:val="14171A"/>
        </w:rPr>
        <w:t xml:space="preserve">2.1 Prohibición de Sanciones Subjetivas. </w:t>
      </w:r>
      <w:r>
        <w:rPr>
          <w:color w:val="14171A"/>
        </w:rPr>
        <w:t>HCGA rechaza expresamente el modelo de sanción basado en calificaciones subjetivas de estrellas o reseñas de opinión unilateral. Ninguna consecuencia sancionatoria, suspensión o penalización financiera podrá ser impuesta a un usuario basada únicamente en el promedio de estrellas o valoraciones de opinión acumuladas.</w:t>
      </w:r>
    </w:p>
    <w:p>
      <w:pPr>
        <w:spacing w:after="120" w:line="276" w:lineRule="auto"/>
      </w:pPr>
      <w:r>
        <w:rPr>
          <w:b/>
          <w:color w:val="14171A"/>
        </w:rPr>
        <w:t xml:space="preserve">2.2 Requisito de Evidencia Técnica Objetivo. 🔶 </w:t>
      </w:r>
      <w:r>
        <w:rPr>
          <w:color w:val="14171A"/>
        </w:rPr>
        <w:t>Las medidas disciplinarias y correctivas descritas en este Código se detonarán EXCLUSIVAMENTE ante violaciones verificadas mediante evidencia objetiva y registros técnicos generados directamente por las aplicaciones y dispositivos integrados en el ecosistema HCGA (logs de GPS, registros ELD/HOS de la FMCSA, confirmación de tarifa bloqueada 'lockedRate', hojas de inspección DVIR firmadas digitalmente y conocimientos de embarque 'BOL' con firma digital en canvas).</w:t>
      </w:r>
    </w:p>
    <w:p>
      <w:pPr>
        <w:keepNext/>
        <w:spacing w:before="360" w:after="120"/>
      </w:pPr>
      <w:r>
        <w:rPr>
          <w:rFonts w:ascii="Arial" w:hAnsi="Arial"/>
          <w:b/>
          <w:color w:val="9E2A2F"/>
          <w:sz w:val="28"/>
        </w:rPr>
        <w:t>3. Clasificación de Faltas Objetivas y Evidencia Requerida</w:t>
      </w:r>
    </w:p>
    <w:p>
      <w:pPr>
        <w:spacing w:after="120" w:line="276" w:lineRule="auto"/>
      </w:pPr>
      <w:r>
        <w:rPr>
          <w:color w:val="14171A"/>
        </w:rPr>
        <w:t>Las infracciones al Código de Conducta se categorizan objetivamente en tres niveles de gravedad:</w:t>
      </w:r>
    </w:p>
    <w:p>
      <w:pPr>
        <w:keepNext/>
        <w:spacing w:before="240" w:after="80"/>
      </w:pPr>
      <w:r>
        <w:rPr>
          <w:rFonts w:ascii="Arial" w:hAnsi="Arial"/>
          <w:b/>
          <w:color w:val="14171A"/>
          <w:sz w:val="24"/>
        </w:rPr>
        <w:t>3.1 Matriz de Infracciones de Transportistas (Choferes / Owner Operators / Flotillas)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9E2A2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Nivel de Falta</w:t>
            </w:r>
          </w:p>
        </w:tc>
        <w:tc>
          <w:tcPr>
            <w:tcW w:type="dxa" w:w="2340"/>
            <w:shd w:fill="9E2A2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Tipificación de la Infracción</w:t>
            </w:r>
          </w:p>
        </w:tc>
        <w:tc>
          <w:tcPr>
            <w:tcW w:type="dxa" w:w="2340"/>
            <w:shd w:fill="9E2A2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Evidencia Técnica Requerida</w:t>
            </w:r>
          </w:p>
        </w:tc>
        <w:tc>
          <w:tcPr>
            <w:tcW w:type="dxa" w:w="2340"/>
            <w:shd w:fill="9E2A2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🔶 Alcance Legal</w:t>
            </w:r>
          </w:p>
        </w:tc>
      </w:tr>
      <w:tr>
        <w:tc>
          <w:tcPr>
            <w:tcW w:type="dxa" w:w="234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Leve</w:t>
            </w:r>
          </w:p>
        </w:tc>
        <w:tc>
          <w:tcPr>
            <w:tcW w:type="dxa" w:w="234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Retraso injustificado menor a 60 min en cita de recogida/entrega sin notificación previa por chat.</w:t>
            </w:r>
          </w:p>
        </w:tc>
        <w:tc>
          <w:tcPr>
            <w:tcW w:type="dxa" w:w="234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Logs de GPS en app vs. ventana horaria de carga reservada.</w:t>
            </w:r>
          </w:p>
        </w:tc>
        <w:tc>
          <w:tcPr>
            <w:tcW w:type="dxa" w:w="234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Revisar tolerancia de minutos.</w:t>
            </w:r>
          </w:p>
        </w:tc>
      </w:tr>
      <w:tr>
        <w:tc>
          <w:tcPr>
            <w:tcW w:type="dxa" w:w="2340"/>
            <w:shd w:fill="FFF3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Grave</w:t>
            </w:r>
          </w:p>
        </w:tc>
        <w:tc>
          <w:tcPr>
            <w:tcW w:type="dxa" w:w="2340"/>
            <w:shd w:fill="FFF3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Incumplimiento de Horas de Servicio (HOS) comprobado; inicio de viaje sin DVIR conforme 100%; desvío no autorizado &gt;50 mi.</w:t>
            </w:r>
          </w:p>
        </w:tc>
        <w:tc>
          <w:tcPr>
            <w:tcW w:type="dxa" w:w="2340"/>
            <w:shd w:fill="FFF3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Registros ELD/HOS simulados o API; checklist DVIR incompleto en app; trazado GPS.</w:t>
            </w:r>
          </w:p>
        </w:tc>
        <w:tc>
          <w:tcPr>
            <w:tcW w:type="dxa" w:w="2340"/>
            <w:shd w:fill="FFF3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Ajustar distancia de desvío permitida.</w:t>
            </w:r>
          </w:p>
        </w:tc>
      </w:tr>
      <w:tr>
        <w:tc>
          <w:tcPr>
            <w:tcW w:type="dxa" w:w="2340"/>
            <w:shd w:fill="FFEB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Muy Grave</w:t>
            </w:r>
          </w:p>
        </w:tc>
        <w:tc>
          <w:tcPr>
            <w:tcW w:type="dxa" w:w="2340"/>
            <w:shd w:fill="FFEB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Falsificación de documentos (licencia, VIN, póliza insurance); conducción en estado de ebriedad/drogas; alteración de ELD; abandono intencional de carga.</w:t>
            </w:r>
          </w:p>
        </w:tc>
        <w:tc>
          <w:tcPr>
            <w:tcW w:type="dxa" w:w="2340"/>
            <w:shd w:fill="FFEB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Auditoría de KYC/Onfido; datos de telemetría ELD; reporte policial o verificación presencial.</w:t>
            </w:r>
          </w:p>
        </w:tc>
        <w:tc>
          <w:tcPr>
            <w:tcW w:type="dxa" w:w="2340"/>
            <w:shd w:fill="FFEB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Confirmar baja inmediata definitiva y reporte a autoridades.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Arial" w:hAnsi="Arial"/>
          <w:b/>
          <w:color w:val="14171A"/>
          <w:sz w:val="24"/>
        </w:rPr>
        <w:t>3.2 Matriz de Infracciones de Contratantes (Brokers / Shippers)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417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Nivel de Falta</w:t>
            </w:r>
          </w:p>
        </w:tc>
        <w:tc>
          <w:tcPr>
            <w:tcW w:type="dxa" w:w="2340"/>
            <w:shd w:fill="1417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Tipificación de la Infracción</w:t>
            </w:r>
          </w:p>
        </w:tc>
        <w:tc>
          <w:tcPr>
            <w:tcW w:type="dxa" w:w="2340"/>
            <w:shd w:fill="1417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Evidencia Técnica Requerida</w:t>
            </w:r>
          </w:p>
        </w:tc>
        <w:tc>
          <w:tcPr>
            <w:tcW w:type="dxa" w:w="2340"/>
            <w:shd w:fill="14171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🔶 Alcance Legal</w:t>
            </w:r>
          </w:p>
        </w:tc>
      </w:tr>
      <w:tr>
        <w:tc>
          <w:tcPr>
            <w:tcW w:type="dxa" w:w="234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Leve</w:t>
            </w:r>
          </w:p>
        </w:tc>
        <w:tc>
          <w:tcPr>
            <w:tcW w:type="dxa" w:w="234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Falta de instrucciones claras de rampa/muelle; respuesta tardía a solicitudes de soporte (&gt;2h).</w:t>
            </w:r>
          </w:p>
        </w:tc>
        <w:tc>
          <w:tcPr>
            <w:tcW w:type="dxa" w:w="234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Historial de chat en Client Portal / App; sellos de tiempo.</w:t>
            </w:r>
          </w:p>
        </w:tc>
        <w:tc>
          <w:tcPr>
            <w:tcW w:type="dxa" w:w="2340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Definir SLA de respuesta.</w:t>
            </w:r>
          </w:p>
        </w:tc>
      </w:tr>
      <w:tr>
        <w:tc>
          <w:tcPr>
            <w:tcW w:type="dxa" w:w="2340"/>
            <w:shd w:fill="FFF3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Grave</w:t>
            </w:r>
          </w:p>
        </w:tc>
        <w:tc>
          <w:tcPr>
            <w:tcW w:type="dxa" w:w="2340"/>
            <w:shd w:fill="FFF3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Intentos de modificación unilateral de tarifa bloqueada (lockedRate); no pago injustificado de detention acumulado (&gt;2h a $50/h); cancelación &lt;2h antes de carga.</w:t>
            </w:r>
          </w:p>
        </w:tc>
        <w:tc>
          <w:tcPr>
            <w:tcW w:type="dxa" w:w="2340"/>
            <w:shd w:fill="FFF3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Rate Confirmation original firmada; log de tiempo de rampa por GPS; registro de tarifa bloqueada.</w:t>
            </w:r>
          </w:p>
        </w:tc>
        <w:tc>
          <w:tcPr>
            <w:tcW w:type="dxa" w:w="2340"/>
            <w:shd w:fill="FFF3E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Validar penalización por cancelación tardía.</w:t>
            </w:r>
          </w:p>
        </w:tc>
      </w:tr>
      <w:tr>
        <w:tc>
          <w:tcPr>
            <w:tcW w:type="dxa" w:w="2340"/>
            <w:shd w:fill="FFEB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Muy Grave</w:t>
            </w:r>
          </w:p>
        </w:tc>
        <w:tc>
          <w:tcPr>
            <w:tcW w:type="dxa" w:w="2340"/>
            <w:shd w:fill="FFEB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Publicación de cargas inexistentes o fraudulentas; impago de facturas de flete vencidas; exigencia deliberada de violar reglas HOS/FMCSA; reportes de mala fe.</w:t>
            </w:r>
          </w:p>
        </w:tc>
        <w:tc>
          <w:tcPr>
            <w:tcW w:type="dxa" w:w="2340"/>
            <w:shd w:fill="FFEB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Registros contables/invoices de plataforma; mensajes auditados; logs de validación MC.</w:t>
            </w:r>
          </w:p>
        </w:tc>
        <w:tc>
          <w:tcPr>
            <w:tcW w:type="dxa" w:w="2340"/>
            <w:shd w:fill="FFEBE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Definir monto de Liquidated Damages y vía de cobro jud/extrajud.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9E2A2F"/>
          <w:sz w:val="28"/>
        </w:rPr>
        <w:t>4. Escaleras Diferenciadas de Consecuencias</w:t>
      </w:r>
    </w:p>
    <w:p>
      <w:pPr>
        <w:spacing w:after="120" w:line="276" w:lineRule="auto"/>
      </w:pPr>
      <w:r>
        <w:rPr>
          <w:b/>
          <w:color w:val="14171A"/>
        </w:rPr>
        <w:t xml:space="preserve">4.1 Justificación Arquitectónica de Doble Escalera. </w:t>
      </w:r>
      <w:r>
        <w:rPr>
          <w:color w:val="14171A"/>
        </w:rPr>
        <w:t>A fin de respetar la naturaleza jurídica de las partes y mitigar los riesgos regulatorios y de responsabilidad civil, HCGA establece dos esquemas de consecuencia legalmente diferenciados:</w:t>
      </w:r>
    </w:p>
    <w:p>
      <w:pPr>
        <w:keepNext/>
        <w:spacing w:before="240" w:after="80"/>
      </w:pPr>
      <w:r>
        <w:rPr>
          <w:rFonts w:ascii="Arial" w:hAnsi="Arial"/>
          <w:b/>
          <w:color w:val="14171A"/>
          <w:sz w:val="24"/>
        </w:rPr>
        <w:t>4.2 Escalera Operativa para Choferes (Protección de Estatus Contratista Independiente 1099) 🔶</w:t>
      </w:r>
    </w:p>
    <w:p>
      <w:pPr>
        <w:spacing w:after="120" w:line="276" w:lineRule="auto"/>
      </w:pPr>
      <w:r>
        <w:rPr>
          <w:b/>
          <w:color w:val="14171A"/>
        </w:rPr>
        <w:t xml:space="preserve">Fundamento: </w:t>
      </w:r>
      <w:r>
        <w:rPr>
          <w:color w:val="14171A"/>
        </w:rPr>
        <w:t>Para evitar cualquier riesgo de reclasificación laboral de los Owner Operators como empleados (W-2) bajo normativas estatales o federales (ej. ABC Test de California, leyes de Florida y regulaciones del DOL), HCGA NO IMPONDRÁ MULTAS EN EFECTIVO NI DEDUCCIONES MONETARIAS DIRECTAS SOBRE LAS GANANCIAS DE LOS CHOFERES. Las consecuencias se limitarán estrictamente a controles de acceso a la plataforma:</w:t>
      </w:r>
    </w:p>
    <w:p>
      <w:pPr>
        <w:spacing w:after="120" w:line="276" w:lineRule="auto"/>
      </w:pPr>
      <w:r>
        <w:rPr>
          <w:b/>
          <w:color w:val="14171A"/>
        </w:rPr>
        <w:t xml:space="preserve">• Nivel 1 — Notificación Operativa: </w:t>
      </w:r>
      <w:r>
        <w:rPr>
          <w:color w:val="14171A"/>
        </w:rPr>
        <w:t>Advertencia escrita por sistema y registro de incidencia en historial privado.</w:t>
      </w:r>
    </w:p>
    <w:p>
      <w:pPr>
        <w:spacing w:after="120" w:line="276" w:lineRule="auto"/>
      </w:pPr>
      <w:r>
        <w:rPr>
          <w:b/>
          <w:color w:val="14171A"/>
        </w:rPr>
        <w:t xml:space="preserve">• Nivel 2 — Restricción de Prioridad: </w:t>
      </w:r>
      <w:r>
        <w:rPr>
          <w:color w:val="14171A"/>
        </w:rPr>
        <w:t>Pérdida temporal de acceso prioritario a la lista de ofertas de carga (Marketplace priority) durante 7 a 14 días.</w:t>
      </w:r>
    </w:p>
    <w:p>
      <w:pPr>
        <w:spacing w:after="120" w:line="276" w:lineRule="auto"/>
      </w:pPr>
      <w:r>
        <w:rPr>
          <w:b/>
          <w:color w:val="14171A"/>
        </w:rPr>
        <w:t xml:space="preserve">• Nivel 3 — Suspensión Temporal: </w:t>
      </w:r>
      <w:r>
        <w:rPr>
          <w:color w:val="14171A"/>
        </w:rPr>
        <w:t>Desactivación de la cuenta de chofer de la plataforma por un periodo de 15 a 30 días calendarios.</w:t>
      </w:r>
    </w:p>
    <w:p>
      <w:pPr>
        <w:spacing w:after="120" w:line="276" w:lineRule="auto"/>
      </w:pPr>
      <w:r>
        <w:rPr>
          <w:b/>
          <w:color w:val="14171A"/>
        </w:rPr>
        <w:t xml:space="preserve">• Nivel 4 — Baja Permanente: </w:t>
      </w:r>
      <w:r>
        <w:rPr>
          <w:color w:val="14171A"/>
        </w:rPr>
        <w:t>Revocación definitiva del derecho de uso de la app HCGA y rescisión del contrato de licencia de software por incumplimiento grave.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14171A"/>
          <w:sz w:val="24"/>
        </w:rPr>
        <w:t>4.3 Escalera Comercial y Financiera para Brokers y Embarcadores (Relación B2B) 🔶</w:t>
      </w:r>
    </w:p>
    <w:p>
      <w:pPr>
        <w:spacing w:after="120" w:line="276" w:lineRule="auto"/>
      </w:pPr>
      <w:r>
        <w:rPr>
          <w:b/>
          <w:color w:val="14171A"/>
        </w:rPr>
        <w:t xml:space="preserve">Fundamento: </w:t>
      </w:r>
      <w:r>
        <w:rPr>
          <w:color w:val="14171A"/>
        </w:rPr>
        <w:t>Al tratarse de una relación estrictamente mercantil de empresa a empresa (B2B), HCGA y los choferes afectados sí podrán ejecutar penalizaciones comerciales y cobros de daños previamente liquidados en dinero contra los brokers/shippers infractores:</w:t>
      </w:r>
    </w:p>
    <w:p>
      <w:pPr>
        <w:spacing w:after="120" w:line="276" w:lineRule="auto"/>
      </w:pPr>
      <w:r>
        <w:rPr>
          <w:b/>
          <w:color w:val="14171A"/>
        </w:rPr>
        <w:t xml:space="preserve">• Nivel 1 — Apercibimiento Comercial: </w:t>
      </w:r>
      <w:r>
        <w:rPr>
          <w:color w:val="14171A"/>
        </w:rPr>
        <w:t>Notificación de falta comercial e inclusión en el registro interno de riesgos.</w:t>
      </w:r>
    </w:p>
    <w:p>
      <w:pPr>
        <w:spacing w:after="120" w:line="276" w:lineRule="auto"/>
      </w:pPr>
      <w:r>
        <w:rPr>
          <w:b/>
          <w:color w:val="14171A"/>
        </w:rPr>
        <w:t xml:space="preserve">• Nivel 2 — Pérdida de Insignia y Bloqueo: </w:t>
      </w:r>
      <w:r>
        <w:rPr>
          <w:color w:val="14171A"/>
        </w:rPr>
        <w:t>Suspensión de la insignia de 'Broker Verificado' en el portal y congelamiento de la facultad de publicar nuevas cargas hasta subsanación.</w:t>
      </w:r>
    </w:p>
    <w:p>
      <w:pPr>
        <w:spacing w:after="120" w:line="276" w:lineRule="auto"/>
      </w:pPr>
      <w:r>
        <w:rPr>
          <w:b/>
          <w:color w:val="14171A"/>
        </w:rPr>
        <w:t xml:space="preserve">• Nivel 3 — Liquidación Previa de Daños (Liquidated Damages): </w:t>
      </w:r>
      <w:r>
        <w:rPr>
          <w:color w:val="14171A"/>
        </w:rPr>
        <w:t>Cobro de tarifas de compensación automática (ej. $50/hora por detention acumulado comprobado, $250 por cancelación tardía intempestiva de carga). 🔶 [Bufete: Confirmar montos y validez contractual].</w:t>
      </w:r>
    </w:p>
    <w:p>
      <w:pPr>
        <w:spacing w:after="120" w:line="276" w:lineRule="auto"/>
      </w:pPr>
      <w:r>
        <w:rPr>
          <w:b/>
          <w:color w:val="14171A"/>
        </w:rPr>
        <w:t xml:space="preserve">• Nivel 4 — Terminación y Ejecución Legal: </w:t>
      </w:r>
      <w:r>
        <w:rPr>
          <w:color w:val="14171A"/>
        </w:rPr>
        <w:t>Baja permanente de la cuenta corporativa del Client Portal, aceleración de cobro de facturas adeudadas y remisión a cobro judicial o arbitral con cargos de honorarios legales.</w:t>
      </w:r>
    </w:p>
    <w:p>
      <w:pPr>
        <w:keepNext/>
        <w:spacing w:before="360" w:after="120"/>
      </w:pPr>
      <w:r>
        <w:rPr>
          <w:rFonts w:ascii="Arial" w:hAnsi="Arial"/>
          <w:b/>
          <w:color w:val="9E2A2F"/>
          <w:sz w:val="28"/>
        </w:rPr>
        <w:t>5. Debido Proceso y Procedimiento de Apelación Interna</w:t>
      </w:r>
    </w:p>
    <w:p>
      <w:pPr>
        <w:spacing w:after="120" w:line="276" w:lineRule="auto"/>
      </w:pPr>
      <w:r>
        <w:rPr>
          <w:b/>
          <w:color w:val="14171A"/>
        </w:rPr>
        <w:t xml:space="preserve">5.1 Garantías Procesales. </w:t>
      </w:r>
      <w:r>
        <w:rPr>
          <w:color w:val="14171A"/>
        </w:rPr>
        <w:t>Ninguna sanción de Nivel 2 o superior se ejecutará sin el cumplimiento previo del siguiente protocolo de debido proceso:</w:t>
      </w:r>
    </w:p>
    <w:p>
      <w:pPr>
        <w:spacing w:after="120" w:line="276" w:lineRule="auto"/>
      </w:pPr>
      <w:r>
        <w:rPr>
          <w:b/>
          <w:color w:val="14171A"/>
        </w:rPr>
        <w:t xml:space="preserve">5.2.1 Notificación de la Incidencia (48 horas): </w:t>
      </w:r>
      <w:r>
        <w:rPr>
          <w:color w:val="14171A"/>
        </w:rPr>
        <w:t>Al detectarse una falta mediante evidencia de la app, el sistema notificará electrónicamente a la parte imputada detallando la infracción y los registros técnicos adjuntos (GPS, ELD, firma canvas).</w:t>
      </w:r>
    </w:p>
    <w:p>
      <w:pPr>
        <w:spacing w:after="120" w:line="276" w:lineRule="auto"/>
      </w:pPr>
      <w:r>
        <w:rPr>
          <w:b/>
          <w:color w:val="14171A"/>
        </w:rPr>
        <w:t xml:space="preserve">5.2.2 Derecho de Réplica y Presentación de Evidencia (5 días hábiles): </w:t>
      </w:r>
      <w:r>
        <w:rPr>
          <w:color w:val="14171A"/>
        </w:rPr>
        <w:t>La parte afectada tendrá 5 días hábiles para someter su descargo a través del portal, adjuntando contraevidencia técnica (ej. recibos de rampa impresos, fotos con geo-etiqueta, logs alternativos de telemetría).</w:t>
      </w:r>
    </w:p>
    <w:p>
      <w:pPr>
        <w:spacing w:after="120" w:line="276" w:lineRule="auto"/>
      </w:pPr>
      <w:r>
        <w:rPr>
          <w:b/>
          <w:color w:val="14171A"/>
        </w:rPr>
        <w:t xml:space="preserve">5.2.3 Resolución por el Comité de Cumplimiento HCGA (10 días hábiles): </w:t>
      </w:r>
      <w:r>
        <w:rPr>
          <w:color w:val="14171A"/>
        </w:rPr>
        <w:t>El Comité evaluará de forma neutral los registros y emitirá un dictamen razonado de absolución o confirmación de la medida disciplinaria.</w:t>
      </w:r>
    </w:p>
    <w:p>
      <w:pPr>
        <w:spacing w:after="120" w:line="276" w:lineRule="auto"/>
      </w:pPr>
      <w:r>
        <w:rPr>
          <w:b/>
          <w:color w:val="14171A"/>
        </w:rPr>
        <w:t xml:space="preserve">5.2.4 Cláusula de Arbitraje Externo y Resolución de Disputas 🔶: </w:t>
      </w:r>
      <w:r>
        <w:rPr>
          <w:color w:val="14171A"/>
        </w:rPr>
        <w:t>En caso de inconformidad con el dictamen de Nivel 4 o disputas financieras &gt;$5,000 USD, las partes acuerdan someterse a arbitraje vinculante ante la American Arbitration Association (AAA) o JAMS en la jurisdicción del Estado de Florida. 🔶 [Bufete: Validar designación de fuero, ley aplicable y costo de arbitraje].</w:t>
      </w:r>
    </w:p>
    <w:p>
      <w:pPr>
        <w:keepNext/>
        <w:spacing w:before="360" w:after="120"/>
      </w:pPr>
      <w:r>
        <w:rPr>
          <w:rFonts w:ascii="Arial" w:hAnsi="Arial"/>
          <w:b/>
          <w:color w:val="9E2A2F"/>
          <w:sz w:val="28"/>
        </w:rPr>
        <w:t>6. Resumen de Puntos Requeridos para Revisión Jurídica (🔶 Check-list del Abogado)</w:t>
      </w:r>
    </w:p>
    <w:p>
      <w:pPr>
        <w:spacing w:after="120" w:line="276" w:lineRule="auto"/>
      </w:pPr>
      <w:r>
        <w:rPr>
          <w:color w:val="14171A"/>
        </w:rPr>
        <w:t>Se solicita al bufete de abogados proporcionar asesoría formal e incorporar la redacción jurídica definitiva sobre los siguientes 6 puntos específicos:</w:t>
      </w:r>
    </w:p>
    <w:p>
      <w:pPr>
        <w:spacing w:after="120" w:line="276" w:lineRule="auto"/>
      </w:pPr>
      <w:r>
        <w:rPr>
          <w:b/>
          <w:color w:val="14171A"/>
        </w:rPr>
        <w:t xml:space="preserve">🔶 6.1 Cláusula Montgomery v. Caribe Transport II: </w:t>
      </w:r>
      <w:r>
        <w:rPr>
          <w:color w:val="14171A"/>
        </w:rPr>
        <w:t>Validar si la redacción actual de la exención de responsabilidad de HCGA y el módulo de Carrier Vetting otorga protección óptima frente a demandas de terceros por negligent hiring.</w:t>
      </w:r>
    </w:p>
    <w:p>
      <w:pPr>
        <w:spacing w:after="120" w:line="276" w:lineRule="auto"/>
      </w:pPr>
      <w:r>
        <w:rPr>
          <w:b/>
          <w:color w:val="14171A"/>
        </w:rPr>
        <w:t xml:space="preserve">🔶 6.2 Mecanismo de Liquidated Damages para Brokers: </w:t>
      </w:r>
      <w:r>
        <w:rPr>
          <w:color w:val="14171A"/>
        </w:rPr>
        <w:t>Aprobar las cifras de indemnización por detention ($50/h) y cancelación tardía ($250), verificando su legalidad para evitar ser clasificadas como penalización punitiva inexigible en Florida.</w:t>
      </w:r>
    </w:p>
    <w:p>
      <w:pPr>
        <w:spacing w:after="120" w:line="276" w:lineRule="auto"/>
      </w:pPr>
      <w:r>
        <w:rPr>
          <w:b/>
          <w:color w:val="14171A"/>
        </w:rPr>
        <w:t xml:space="preserve">🔶 6.3 Protección contra Reclasificación Laboral (1099 vs W-2): </w:t>
      </w:r>
      <w:r>
        <w:rPr>
          <w:color w:val="14171A"/>
        </w:rPr>
        <w:t>Confirmar que la ausencia total de fines/multas financieras directas a los choferes blinda la plataforma bajo los criterios vigentes de la regulación FLSA y el Independent Contractor Standard.</w:t>
      </w:r>
    </w:p>
    <w:p>
      <w:pPr>
        <w:spacing w:after="120" w:line="276" w:lineRule="auto"/>
      </w:pPr>
      <w:r>
        <w:rPr>
          <w:b/>
          <w:color w:val="14171A"/>
        </w:rPr>
        <w:t xml:space="preserve">🔶 6.4 Validez Legal de la Firma Digital en Canvas: </w:t>
      </w:r>
      <w:r>
        <w:rPr>
          <w:color w:val="14171A"/>
        </w:rPr>
        <w:t>Revisar los requisitos bajo la ley ESIGN Act y UETA para asegurar que las firmas capturadas en el canvas HTML5 de la app tengan pleno valor probatorio en tribunales.</w:t>
      </w:r>
    </w:p>
    <w:p>
      <w:pPr>
        <w:spacing w:after="120" w:line="276" w:lineRule="auto"/>
      </w:pPr>
      <w:r>
        <w:rPr>
          <w:b/>
          <w:color w:val="14171A"/>
        </w:rPr>
        <w:t xml:space="preserve">🔶 6.5 Cláusula de Arbitraje Binding y Jurisdicción: </w:t>
      </w:r>
      <w:r>
        <w:rPr>
          <w:color w:val="14171A"/>
        </w:rPr>
        <w:t>Definir si se especifica la AAA o JAMS, el número de árbitros (1 único) y la ciudad sede del arbitraje (ej. Miami / Fort Lauderdale, Florida).</w:t>
      </w:r>
    </w:p>
    <w:p>
      <w:pPr>
        <w:spacing w:after="120" w:line="276" w:lineRule="auto"/>
      </w:pPr>
      <w:r>
        <w:rPr>
          <w:b/>
          <w:color w:val="14171A"/>
        </w:rPr>
        <w:t xml:space="preserve">🔶 6.6 Integración en Términos y Condiciones: </w:t>
      </w:r>
      <w:r>
        <w:rPr>
          <w:color w:val="14171A"/>
        </w:rPr>
        <w:t>Determinar el vehículo normativo idóneo para incorporar este Código (ej. como Anexo A obligatorio firmado electrónicamente en el onboarding de la App de Choferes y Client Portal).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Revisado y Aprobado por (Operaciones):</w:t>
              <w:br/>
              <w:br/>
              <w:t>___________________________________</w:t>
              <w:br/>
              <w:t>HCGA Trading LLC — Equipo de Producto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Revisado y Modificado por (Bufete de Abogados):</w:t>
              <w:br/>
              <w:br/>
              <w:t>___________________________________</w:t>
              <w:br/>
              <w:t>Firma / Sello del Bufete / Fecha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7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