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Registro de la adjudicacion original en la plataforma de la Escuela, con el titulo 'Sistema de validacion SAP con IA'. Es la evidencia documental del alcance de partida, y sin ella el cambio descrito en 3.5 queda sin respaldo.</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El error del entorno SAP en el momento del bloqueo, o el correo de aviso si lo conservas. Es la evidencia del riesgo que se materializo. Si no tienes captura del momento, sirve una posterior que muestre el servicio inaccesible.</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Coste por turno</w:t>
            </w:r>
          </w:p>
        </w:tc>
        <w:tc>
          <w:tcPr>
            <w:tcW w:type="dxa" w:w="3000"/>
            <w:shd w:fill="D9D9D9" w:val="clear"/>
          </w:tcPr>
          <w:p>
            <w:pPr>
              <w:spacing w:after="0"/>
            </w:pPr>
            <w:r>
              <w:rPr>
                <w:rFonts w:ascii="Arial" w:cs="Arial" w:eastAsia="Arial" w:hAnsi="Arial"/>
                <w:b/>
                <w:bCs/>
                <w:sz w:val="20"/>
                <w:szCs w:val="20"/>
              </w:rPr>
              <w:t xml:space="preserve">Instantáneo</w:t>
            </w:r>
          </w:p>
        </w:tc>
        <w:tc>
          <w:tcPr>
            <w:tcW w:type="dxa" w:w="3000"/>
            <w:shd w:fill="D9D9D9" w:val="clear"/>
          </w:tcPr>
          <w:p>
            <w:pPr>
              <w:spacing w:after="0"/>
            </w:pPr>
            <w:r>
              <w:rPr>
                <w:rFonts w:ascii="Arial" w:cs="Arial" w:eastAsia="Arial" w:hAnsi="Arial"/>
                <w:b/>
                <w:bCs/>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Consola durante la ejecucion con AirLLM, donde se vea el tiempo por caso de unos 6.600 segundos junto al del modelo local de 3,7. Y si puedes, nvidia-smi al lado mostrando la utilizacion de GPU entre el 9 y el 25 %, que es la evidencia de que el cuello de botella es el disco.</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21.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22.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Ajuste fino sobre casos etiquetados.</w:t>
      </w:r>
      <w:r>
        <w:rPr>
          <w:rFonts w:ascii="Arial" w:cs="Arial" w:eastAsia="Arial" w:hAnsi="Arial"/>
          <w:sz w:val="22"/>
          <w:szCs w:val="22"/>
        </w:rPr>
        <w:t xml:space="preserve"> Dado que corregir la premisa en el enunciado no altera la decisión, la vía razonable para modificarla sería un ajuste de bajo rango sobre ejemplos del propio dominio, que sustituiría la creencia general del modelo por la distribución real de estos datos. Es también la forma de comprobar si la disociación descrita en 6.2.2 persiste cuando la información llega por los pesos y no por el enunciado.</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Arbol de directorios del repositorio, con tree /F en PowerShell o la vista del explorador. Que se vea la separacion entre src, scripts, reports y memoria.</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23.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a80073e287482b324a824f92247d68a6a964b84d.undefined"/><Relationship Id="rId30" Type="http://schemas.openxmlformats.org/officeDocument/2006/relationships/image" Target="media/d682c3a07272ade658918fe78be6cc337a30c1a1.undefined"/><Relationship Id="rId31" Type="http://schemas.openxmlformats.org/officeDocument/2006/relationships/image" Target="media/41df8aee3fdd86aeed79be20e5e3a348d5de5cba.undefined"/><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2026-08-18T14:18:29.086Z</dcterms:created>
  <dcterms:modified xsi:type="dcterms:W3CDTF">2026-08-18T14:18:29.087Z</dcterms:modified>
</cp:coreProperties>
</file>

<file path=docProps/custom.xml><?xml version="1.0" encoding="utf-8"?>
<Properties xmlns="http://schemas.openxmlformats.org/officeDocument/2006/custom-properties" xmlns:vt="http://schemas.openxmlformats.org/officeDocument/2006/docPropsVTypes"/>
</file>