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El detector alcanza un AUC-PR de 0,883 en partición aleatoria y de 0,797 en partición temporal, dentro del rango publicado para este conjunto de datos. La ordenación de los modelos de lenguaje por tamaño resulta consistente en dirección pero no alcanza significación estadística, y un modelo de 72.000 millones de parámetros, ejecutado en la misma máquina mediante descomposición por capas, emite exactamente los mismos veredictos que uno de 14.000 a un coste 1.790 veces mayor.</w:t>
      </w:r>
    </w:p>
    <w:p>
      <w:pPr>
        <w:spacing w:after="160" w:line="360" w:lineRule="auto"/>
        <w:ind w:firstLine="425"/>
        <w:jc w:val="both"/>
      </w:pPr>
      <w:r>
        <w:rPr>
          <w:rFonts w:ascii="Arial" w:cs="Arial" w:eastAsia="Arial" w:hAnsi="Arial"/>
          <w:sz w:val="22"/>
          <w:szCs w:val="22"/>
        </w:rPr>
        <w:t xml:space="preserve">El resultado más relevante es de otra naturaleza. Al corregir en el enunciado una creencia del modelo que resultaba falsa en este dominio, su explicación escrita incorporó la corrección de forma sistemática y su decisión no varió, contradiciendo el texto que la precedía en el 61 % de los casos en el modelo de mayor capacidad evaluado. Se concluye que una explicación coherente con el dominio no constituye evidencia de que la decisión se haya tomado por las razones que enuncia, y que no debe emplearse para auditar al sistema que la produce.</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The detector reaches an AUC-PR of 0.883 under a random split and 0.797 under a temporal one, within the range reported in the literature for this dataset. The ordering of language models by size is directionally consistent but does not reach statistical significance, and a 72-billion-parameter model, run on the same machine through layer-wise decomposition, issues exactly the same verdicts as a 14-billion one at 1,790 times the cost.</w:t>
      </w:r>
    </w:p>
    <w:p>
      <w:pPr>
        <w:spacing w:after="160" w:line="360" w:lineRule="auto"/>
        <w:ind w:firstLine="425"/>
        <w:jc w:val="both"/>
      </w:pPr>
      <w:r>
        <w:rPr>
          <w:rFonts w:ascii="Arial" w:cs="Arial" w:eastAsia="Arial" w:hAnsi="Arial"/>
          <w:sz w:val="22"/>
          <w:szCs w:val="22"/>
        </w:rPr>
        <w:t xml:space="preserve">The most relevant finding is of a different nature. When a belief held by the model, false in this domain, was corrected in the prompt, its written explanation systematically incorporated the correction while its decision did not change, contradicting the text preceding it in 61 % of cases for the larger model evaluated. We conclude that an explanation consistent with domain knowledge is not evidence that the decision was made for the reasons it states, and therefore must not be used to audit the system that produced it.</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p>
      <w:pPr>
        <w:spacing w:after="80" w:before="240"/>
        <w:jc w:val="center"/>
      </w:pPr>
      <w:r>
        <w:drawing>
          <wp:inline distT="0" distB="0" distL="0" distR="0">
            <wp:extent cx="5400675"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5276850"/>
                    </a:xfrm>
                    <a:prstGeom prst="rect">
                      <a:avLst/>
                    </a:prstGeom>
                  </pic:spPr>
                </pic:pic>
              </a:graphicData>
            </a:graphic>
          </wp:inline>
        </w:drawing>
      </w:r>
    </w:p>
    <w:p>
      <w:pPr>
        <w:spacing w:after="240"/>
        <w:jc w:val="center"/>
      </w:pPr>
      <w:r>
        <w:rPr>
          <w:i/>
          <w:iCs/>
          <w:sz w:val="20"/>
          <w:szCs w:val="20"/>
        </w:rPr>
        <w:t xml:space="preserve">Figura 1. Verificación del entorno: versión de Python, GPU, servidor de modelos y conjunto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ind w:firstLine="425"/>
        <w:jc w:val="both"/>
      </w:pPr>
      <w:r>
        <w:rPr>
          <w:rFonts w:ascii="Arial" w:cs="Arial" w:eastAsia="Arial" w:hAnsi="Arial"/>
          <w:sz w:val="22"/>
          <w:szCs w:val="22"/>
        </w:rPr>
        <w:t xml:space="preserve">En el extremo alto de esa horquilla se sitúa FraudX AI (Baisholanova y otros, 2025), un marco de conjunto que promedia las probabilidades de Random Forest y XGBoost y optimiza el umbral de decisión, evaluado sobre este mismo conjunto de datos. Reporta un 95 % de exhaustividad y un 97 % de AUC-PR, y aplica atribución de Shapley para interpretar las predicciones.</w:t>
      </w:r>
    </w:p>
    <w:p>
      <w:pPr>
        <w:spacing w:after="160" w:line="360" w:lineRule="auto"/>
        <w:ind w:firstLine="425"/>
        <w:jc w:val="both"/>
      </w:pPr>
      <w:r>
        <w:rPr>
          <w:rFonts w:ascii="Arial" w:cs="Arial" w:eastAsia="Arial" w:hAnsi="Arial"/>
          <w:sz w:val="22"/>
          <w:szCs w:val="22"/>
        </w:rPr>
        <w:t xml:space="preserve">Conviene subrayar un detalle metodológico de ese trabajo, porque desmiente una lectura fácil. </w:t>
      </w:r>
      <w:r>
        <w:rPr>
          <w:rFonts w:ascii="Arial" w:cs="Arial" w:eastAsia="Arial" w:hAnsi="Arial"/>
          <w:b/>
          <w:bCs/>
          <w:sz w:val="22"/>
          <w:szCs w:val="22"/>
        </w:rPr>
        <w:t xml:space="preserve">FraudX AI no emplea remuestreo sintético</w:t>
      </w:r>
      <w:r>
        <w:rPr>
          <w:rFonts w:ascii="Arial" w:cs="Arial" w:eastAsia="Arial" w:hAnsi="Arial"/>
          <w:sz w:val="22"/>
          <w:szCs w:val="22"/>
        </w:rPr>
        <w:t xml:space="preserve">: conserva el desbalanceo natural del conjunto y recurre a la ponderación por pesos de clase, que es la misma decisión que se ha tomado en este trabajo y por los mismos motivos. Sus autores argumentan explícitamente que los conjuntos artificialmente equilibrados producen resultados que no reflejan las condiciones reales de operación. Emplean una división del 80 % para entrenamiento y el 20 % restante para prueba, manteniendo la distribución de clases.</w:t>
      </w:r>
    </w:p>
    <w:p>
      <w:pPr>
        <w:spacing w:after="160" w:line="360" w:lineRule="auto"/>
        <w:ind w:firstLine="425"/>
        <w:jc w:val="both"/>
      </w:pPr>
      <w:r>
        <w:rPr>
          <w:rFonts w:ascii="Arial" w:cs="Arial" w:eastAsia="Arial" w:hAnsi="Arial"/>
          <w:sz w:val="22"/>
          <w:szCs w:val="22"/>
        </w:rPr>
        <w:t xml:space="preserve">Es decir: el extremo alto de la horquilla </w:t>
      </w:r>
      <w:r>
        <w:rPr>
          <w:rFonts w:ascii="Arial" w:cs="Arial" w:eastAsia="Arial" w:hAnsi="Arial"/>
          <w:b/>
          <w:bCs/>
          <w:sz w:val="22"/>
          <w:szCs w:val="22"/>
        </w:rPr>
        <w:t xml:space="preserve">no se explica en su totalidad por defectos metodológicos</w:t>
      </w:r>
      <w:r>
        <w:rPr>
          <w:rFonts w:ascii="Arial" w:cs="Arial" w:eastAsia="Arial" w:hAnsi="Arial"/>
          <w:sz w:val="22"/>
          <w:szCs w:val="22"/>
        </w:rPr>
        <w:t xml:space="preserve">. Existe al menos un trabajo que alcanza 0,97 de AUC-PR con las mismas cautelas que se han adoptado aquí, y que además supera con holgura los 0,883 obtenidos en este trabajo bajo partición aleatoria. La diferencia es real y no un artefacto.</w:t>
      </w:r>
    </w:p>
    <w:p>
      <w:pPr>
        <w:spacing w:after="160" w:line="360" w:lineRule="auto"/>
        <w:ind w:firstLine="425"/>
        <w:jc w:val="both"/>
      </w:pPr>
      <w:r>
        <w:rPr>
          <w:rFonts w:ascii="Arial" w:cs="Arial" w:eastAsia="Arial" w:hAnsi="Arial"/>
          <w:sz w:val="22"/>
          <w:szCs w:val="22"/>
        </w:rPr>
        <w:t xml:space="preserve">Esa constatación delimita con precisión lo que este trabajo puede reclamar y lo que no. </w:t>
      </w:r>
      <w:r>
        <w:rPr>
          <w:rFonts w:ascii="Arial" w:cs="Arial" w:eastAsia="Arial" w:hAnsi="Arial"/>
          <w:b/>
          <w:bCs/>
          <w:sz w:val="22"/>
          <w:szCs w:val="22"/>
        </w:rPr>
        <w:t xml:space="preserve">El detector construido aquí no es el estado del arte y no se presenta como tal.</w:t>
      </w:r>
      <w:r>
        <w:rPr>
          <w:rFonts w:ascii="Arial" w:cs="Arial" w:eastAsia="Arial" w:hAnsi="Arial"/>
          <w:sz w:val="22"/>
          <w:szCs w:val="22"/>
        </w:rPr>
        <w:t xml:space="preserve"> Sus cifras son suficientes para sostener el sistema sobre el que se realiza el resto de la investigación, que es su función, y sitúan el trabajo dentro del rango publicado sin destacar en él.</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Dos trabajos recientes documentan el fenómeno con detalle y ambos se han consultado en su totalidad para esta memoria.</w:t>
      </w:r>
    </w:p>
    <w:p>
      <w:pPr>
        <w:spacing w:after="160" w:line="360" w:lineRule="auto"/>
        <w:ind w:firstLine="425"/>
        <w:jc w:val="both"/>
      </w:pPr>
      <w:r>
        <w:rPr>
          <w:rFonts w:ascii="Arial" w:cs="Arial" w:eastAsia="Arial" w:hAnsi="Arial"/>
          <w:sz w:val="22"/>
          <w:szCs w:val="22"/>
        </w:rPr>
        <w:t xml:space="preserve">Kabane (2024) compara el mismo modelo de refuerzo de gradiente bajo tres regímenes sobre este conjunto de datos: sin tratamiento del desbalanceo, con remuestreo aplicado únicamente al conjunto de entrenamiento y con remuestreo aplicado antes de dividir. En el tercer caso el modelo alcanza un 99,969 % de exactitud, un 99,938 % de precisión y un </w:t>
      </w:r>
      <w:r>
        <w:rPr>
          <w:rFonts w:ascii="Arial" w:cs="Arial" w:eastAsia="Arial" w:hAnsi="Arial"/>
          <w:b/>
          <w:bCs/>
          <w:sz w:val="22"/>
          <w:szCs w:val="22"/>
        </w:rPr>
        <w:t xml:space="preserve">100 % de exhaustividad</w:t>
      </w:r>
      <w:r>
        <w:rPr>
          <w:rFonts w:ascii="Arial" w:cs="Arial" w:eastAsia="Arial" w:hAnsi="Arial"/>
          <w:sz w:val="22"/>
          <w:szCs w:val="22"/>
        </w:rPr>
        <w:t xml:space="preserve">. Sus propios experimentos sin fuga, en cambio, se sitúan en torno al 96,5 % de precisión y el 91,5 % de exhaustividad, valores que el autor califica de razonables y que son notablemente inferiores.</w:t>
      </w:r>
    </w:p>
    <w:p>
      <w:pPr>
        <w:spacing w:after="160" w:line="360" w:lineRule="auto"/>
        <w:ind w:firstLine="425"/>
        <w:jc w:val="both"/>
      </w:pPr>
      <w:r>
        <w:rPr>
          <w:rFonts w:ascii="Arial" w:cs="Arial" w:eastAsia="Arial" w:hAnsi="Arial"/>
          <w:sz w:val="22"/>
          <w:szCs w:val="22"/>
        </w:rPr>
        <w:t xml:space="preserve">Magnier (2025) lleva el argumento más lejos mediante una demostración deliberada. Construye un perceptrón multicapa al que va retirando complejidad hasta dejarlo sin ninguna capa oculta, es decir, en una única neurona de salida, manteniendo en cambio la fuga por remuestreo previo a la división. Esa configuración mínima obtiene un 94 % de exhaustividad y un 97,6 % de precisión, y al reintroducir una capa oculta con hasta dieciséis neuronas alcanza el 99,9 % de exhaustividad. Su conclusión es que </w:t>
      </w:r>
      <w:r>
        <w:rPr>
          <w:rFonts w:ascii="Arial" w:cs="Arial" w:eastAsia="Arial" w:hAnsi="Arial"/>
          <w:b/>
          <w:bCs/>
          <w:sz w:val="22"/>
          <w:szCs w:val="22"/>
        </w:rPr>
        <w:t xml:space="preserve">la fuga de información aporta más rendimiento aparente que la sofisticación arquitectónica</w:t>
      </w:r>
      <w:r>
        <w:rPr>
          <w:rFonts w:ascii="Arial" w:cs="Arial" w:eastAsia="Arial" w:hAnsi="Arial"/>
          <w:sz w:val="22"/>
          <w:szCs w:val="22"/>
        </w:rPr>
        <w:t xml:space="preserve">, y que un solo neurón mal evaluado supera a modelos profundos correctamente evaluados.</w:t>
      </w:r>
    </w:p>
    <w:p>
      <w:pPr>
        <w:spacing w:after="160" w:line="360" w:lineRule="auto"/>
        <w:ind w:firstLine="425"/>
        <w:jc w:val="both"/>
      </w:pPr>
      <w:r>
        <w:rPr>
          <w:rFonts w:ascii="Arial" w:cs="Arial" w:eastAsia="Arial" w:hAnsi="Arial"/>
          <w:sz w:val="22"/>
          <w:szCs w:val="22"/>
        </w:rPr>
        <w:t xml:space="preserve">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ind w:firstLine="425"/>
        <w:jc w:val="both"/>
      </w:pPr>
      <w:r>
        <w:rPr>
          <w:rFonts w:ascii="Arial" w:cs="Arial" w:eastAsia="Arial" w:hAnsi="Arial"/>
          <w:sz w:val="22"/>
          <w:szCs w:val="22"/>
        </w:rPr>
        <w:t xml:space="preserve">Existe una línea de trabajo que examina si un modelo de lenguaje puede detectar anomalías directamente sobre datos tabulares, sin entrenamiento específico para la distribución.</w:t>
      </w:r>
    </w:p>
    <w:p>
      <w:pPr>
        <w:spacing w:after="160" w:line="360" w:lineRule="auto"/>
        <w:ind w:firstLine="425"/>
        <w:jc w:val="both"/>
      </w:pPr>
      <w:r>
        <w:rPr>
          <w:rFonts w:ascii="Arial" w:cs="Arial" w:eastAsia="Arial" w:hAnsi="Arial"/>
          <w:sz w:val="22"/>
          <w:szCs w:val="22"/>
        </w:rPr>
        <w:t xml:space="preserve">Su resultado principal conviene enunciarlo con cuidado, porque es más favorable a los modelos de lenguaje de lo que suele suponerse. Los autores encuentran que un modelo preentrenado de gran capacidad actúa como detector de anomalías a nivel de lote sin ajuste alguno, identificando regiones de baja densidad, y que </w:t>
      </w:r>
      <w:r>
        <w:rPr>
          <w:rFonts w:ascii="Arial" w:cs="Arial" w:eastAsia="Arial" w:hAnsi="Arial"/>
          <w:b/>
          <w:bCs/>
          <w:sz w:val="22"/>
          <w:szCs w:val="22"/>
        </w:rPr>
        <w:t xml:space="preserve">su rendimiento resulta comparable al de los métodos especializados</w:t>
      </w:r>
      <w:r>
        <w:rPr>
          <w:rFonts w:ascii="Arial" w:cs="Arial" w:eastAsia="Arial" w:hAnsi="Arial"/>
          <w:sz w:val="22"/>
          <w:szCs w:val="22"/>
        </w:rPr>
        <w:t xml:space="preserve"> de aprendizaje transductivo sobre un banco de pruebas amplio. No se trata, por tanto, de que los modelos de lenguaje queden claramente por detrás en el régimen numérico.</w:t>
      </w:r>
    </w:p>
    <w:p>
      <w:pPr>
        <w:spacing w:after="160" w:line="360" w:lineRule="auto"/>
        <w:ind w:firstLine="425"/>
        <w:jc w:val="both"/>
      </w:pPr>
      <w:r>
        <w:rPr>
          <w:rFonts w:ascii="Arial" w:cs="Arial" w:eastAsia="Arial" w:hAnsi="Arial"/>
          <w:sz w:val="22"/>
          <w:szCs w:val="22"/>
        </w:rPr>
        <w:t xml:space="preserve">Se recoge aquí únicamente el resultado que los autores declaran como principal, sin entrar en las condiciones concretas en que lo obtienen. Lo que sostiene la comparación de esta memoria no es la magnitud de ese resultado sino su signo: basta con que los modelos de lenguaje no queden manifiestamente por detrás para que la diferencia con este trabajo haya de buscarse en el planteamiento y no en el rendimiento.</w:t>
      </w:r>
    </w:p>
    <w:p>
      <w:pPr>
        <w:spacing w:after="160" w:line="360" w:lineRule="auto"/>
        <w:ind w:firstLine="425"/>
        <w:jc w:val="both"/>
      </w:pPr>
      <w:r>
        <w:rPr>
          <w:rFonts w:ascii="Arial" w:cs="Arial" w:eastAsia="Arial" w:hAnsi="Arial"/>
          <w:sz w:val="22"/>
          <w:szCs w:val="22"/>
        </w:rPr>
        <w:t xml:space="preserve">La diferencia con este trabajo no está, pues, en el resultado sino en el planteamiento. Esa línea pone al modelo de lenguaje a </w:t>
      </w:r>
      <w:r>
        <w:rPr>
          <w:rFonts w:ascii="Arial" w:cs="Arial" w:eastAsia="Arial" w:hAnsi="Arial"/>
          <w:b/>
          <w:bCs/>
          <w:sz w:val="22"/>
          <w:szCs w:val="22"/>
        </w:rPr>
        <w:t xml:space="preserve">competir</w:t>
      </w:r>
      <w:r>
        <w:rPr>
          <w:rFonts w:ascii="Arial" w:cs="Arial" w:eastAsia="Arial" w:hAnsi="Arial"/>
          <w:sz w:val="22"/>
          <w:szCs w:val="22"/>
        </w:rPr>
        <w:t xml:space="preserve"> con el modelo tabular sobre la misma tarea de clasificación. Aquí el modelo de lenguaje no clasifica: opera </w:t>
      </w:r>
      <w:r>
        <w:rPr>
          <w:rFonts w:ascii="Arial" w:cs="Arial" w:eastAsia="Arial" w:hAnsi="Arial"/>
          <w:b/>
          <w:bCs/>
          <w:sz w:val="22"/>
          <w:szCs w:val="22"/>
        </w:rPr>
        <w:t xml:space="preserve">por encima</w:t>
      </w:r>
      <w:r>
        <w:rPr>
          <w:rFonts w:ascii="Arial" w:cs="Arial" w:eastAsia="Arial" w:hAnsi="Arial"/>
          <w:sz w:val="22"/>
          <w:szCs w:val="22"/>
        </w:rPr>
        <w:t xml:space="preserve"> de un detector ya entrenado, sobre los casos que este ha elevado, y lo que se mide es si su intervención añade o resta. Son preguntas distintas, y la segunda está mucho menos estudiada.</w:t>
      </w:r>
    </w:p>
    <w:p>
      <w:pPr>
        <w:spacing w:after="160" w:line="360" w:lineRule="auto"/>
        <w:ind w:firstLine="425"/>
        <w:jc w:val="both"/>
      </w:pPr>
      <w:r>
        <w:rPr>
          <w:rFonts w:ascii="Arial" w:cs="Arial" w:eastAsia="Arial" w:hAnsi="Arial"/>
          <w:sz w:val="22"/>
          <w:szCs w:val="22"/>
        </w:rPr>
        <w:t xml:space="preserve">De esa diferencia de planteamiento se sigue la línea de trabajo futuro propuesta en 6.4, hacia dominios con contenido semántico como las transferencias o la prevención de blanqueo de capitales. Conviene declarar que </w:t>
      </w:r>
      <w:r>
        <w:rPr>
          <w:rFonts w:ascii="Arial" w:cs="Arial" w:eastAsia="Arial" w:hAnsi="Arial"/>
          <w:b/>
          <w:bCs/>
          <w:sz w:val="22"/>
          <w:szCs w:val="22"/>
        </w:rPr>
        <w:t xml:space="preserve">esa propuesta se apoya en el razonamiento desarrollado en esta memoria y no en una referencia que lo establezca</w:t>
      </w:r>
      <w:r>
        <w:rPr>
          <w:rFonts w:ascii="Arial" w:cs="Arial" w:eastAsia="Arial" w:hAnsi="Arial"/>
          <w:sz w:val="22"/>
          <w:szCs w:val="22"/>
        </w:rPr>
        <w:t xml:space="preserve">. El argumento es que sobre veintiocho componentes anonimizadas, un importe y una hora no hay nada que interpretar más allá de lo que el detector ya ha calculado, mientras que un ordenante, un concepto o una cadena de operaciones relacionadas sí admiten interpretación. Es una hipótesis razonable y no está verificada, y así figura en el capítulo 6.</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ind w:firstLine="425"/>
        <w:jc w:val="both"/>
      </w:pPr>
      <w:r>
        <w:rPr>
          <w:rFonts w:ascii="Arial" w:cs="Arial" w:eastAsia="Arial" w:hAnsi="Arial"/>
          <w:sz w:val="22"/>
          <w:szCs w:val="22"/>
        </w:rPr>
        <w:t xml:space="preserve">Existe una literatura creciente dedicada a medir hasta dónde llega la capacidad de los modelos de lenguaje cuando se les hace operar como agentes, es decir, cuando deben planificar, invocar herramientas y encadenar varios pasos en lugar de responder a una única petición.</w:t>
      </w:r>
    </w:p>
    <w:p>
      <w:pPr>
        <w:spacing w:after="160" w:line="360" w:lineRule="auto"/>
        <w:ind w:firstLine="425"/>
        <w:jc w:val="both"/>
      </w:pPr>
      <w:r>
        <w:rPr>
          <w:rFonts w:ascii="Arial" w:cs="Arial" w:eastAsia="Arial" w:hAnsi="Arial"/>
          <w:sz w:val="22"/>
          <w:szCs w:val="22"/>
        </w:rPr>
        <w:t xml:space="preserve">Sun y otros (2025) construyen un banco de pruebas de colaboración entre agentes sobre un entorno interactivo y lo aplican a trece modelos. Su conclusión es que los modelos </w:t>
      </w:r>
      <w:r>
        <w:rPr>
          <w:rFonts w:ascii="Arial" w:cs="Arial" w:eastAsia="Arial" w:hAnsi="Arial"/>
          <w:b/>
          <w:bCs/>
          <w:sz w:val="22"/>
          <w:szCs w:val="22"/>
        </w:rPr>
        <w:t xml:space="preserve">interpretan bien los objetivos</w:t>
      </w:r>
      <w:r>
        <w:rPr>
          <w:rFonts w:ascii="Arial" w:cs="Arial" w:eastAsia="Arial" w:hAnsi="Arial"/>
          <w:sz w:val="22"/>
          <w:szCs w:val="22"/>
        </w:rPr>
        <w:t xml:space="preserve"> que se les plantean, y que en cambio presentan carencias notables en colaboración activa y en adaptación continuada, dos capacidades que resultan críticas para completar tareas complejas. Qin y otros (2025) abordan el problema desde otro ángulo y proponen evaluar el potencial agéntico ya durante el preentrenamiento, convirtiendo trayectorias reales de agentes en preguntas que un modelo base pueda responder, al observar que los bancos de pruebas agénticos habituales exigen capacidades de interacción en varios turnos que los modelos base no sostienen.</w:t>
      </w:r>
    </w:p>
    <w:p>
      <w:pPr>
        <w:spacing w:after="160" w:line="360" w:lineRule="auto"/>
        <w:ind w:firstLine="425"/>
        <w:jc w:val="both"/>
      </w:pPr>
      <w:r>
        <w:rPr>
          <w:rFonts w:ascii="Arial" w:cs="Arial" w:eastAsia="Arial" w:hAnsi="Arial"/>
          <w:sz w:val="22"/>
          <w:szCs w:val="22"/>
        </w:rPr>
        <w:t xml:space="preserve">De ambos trabajos se recogen aquí sus conclusiones declaradas, y no los detalles de su montaje experimental. En particular, </w:t>
      </w:r>
      <w:r>
        <w:rPr>
          <w:rFonts w:ascii="Arial" w:cs="Arial" w:eastAsia="Arial" w:hAnsi="Arial"/>
          <w:b/>
          <w:bCs/>
          <w:sz w:val="22"/>
          <w:szCs w:val="22"/>
        </w:rPr>
        <w:t xml:space="preserve">no se afirma nada sobre los tamaños de los modelos evaluados en ellos</w:t>
      </w:r>
      <w:r>
        <w:rPr>
          <w:rFonts w:ascii="Arial" w:cs="Arial" w:eastAsia="Arial" w:hAnsi="Arial"/>
          <w:sz w:val="22"/>
          <w:szCs w:val="22"/>
        </w:rPr>
        <w:t xml:space="preserve">, de modo que no cabe situar los modelos de esta memoria dentro de su escala ni derivar de ahí ningún umbral. Lo que se toma de esa literatura es la distinción cualitativa entre interpretar bien un objetivo y sostener una tarea completa, que es la que resulta pertinente a continuación.</w:t>
      </w:r>
    </w:p>
    <w:p>
      <w:pPr>
        <w:spacing w:after="160" w:line="360" w:lineRule="auto"/>
        <w:ind w:firstLine="425"/>
        <w:jc w:val="both"/>
      </w:pPr>
      <w:r>
        <w:rPr>
          <w:rFonts w:ascii="Arial" w:cs="Arial" w:eastAsia="Arial" w:hAnsi="Arial"/>
          <w:sz w:val="22"/>
          <w:szCs w:val="22"/>
        </w:rPr>
        <w:t xml:space="preserve">El punto en común entre esa literatura y este trabajo es que ambos separan dos cosas que suelen confundirse: </w:t>
      </w:r>
      <w:r>
        <w:rPr>
          <w:rFonts w:ascii="Arial" w:cs="Arial" w:eastAsia="Arial" w:hAnsi="Arial"/>
          <w:b/>
          <w:bCs/>
          <w:sz w:val="22"/>
          <w:szCs w:val="22"/>
        </w:rPr>
        <w:t xml:space="preserve">saber operar un sistema y merecer que se le delegue una decisión dentro de él</w:t>
      </w:r>
      <w:r>
        <w:rPr>
          <w:rFonts w:ascii="Arial" w:cs="Arial" w:eastAsia="Arial" w:hAnsi="Arial"/>
          <w:sz w:val="22"/>
          <w:szCs w:val="22"/>
        </w:rPr>
        <w:t xml:space="preserve">. Los dos modelos evaluados aquí operan el flujo sin dificultad, invocan correctamente las herramientas, respetan el formato de salida y completan las tareas encadenadas. La cuestión que este trabajo plantea es la siguiente, y es distinta: una vez comprobado que el modelo sabe manejar el sistema, ¿mejora el resultado que se le conceda autoridad para revocar decisiones del detector? La respuesta medida en el capítulo 5 es que no.</w:t>
      </w:r>
    </w:p>
    <w:p>
      <w:pPr>
        <w:spacing w:after="160" w:line="360" w:lineRule="auto"/>
        <w:ind w:firstLine="425"/>
        <w:jc w:val="both"/>
      </w:pPr>
      <w:r>
        <w:rPr>
          <w:rFonts w:ascii="Arial" w:cs="Arial" w:eastAsia="Arial" w:hAnsi="Arial"/>
          <w:sz w:val="22"/>
          <w:szCs w:val="22"/>
        </w:rPr>
        <w:t xml:space="preserve">Se hace constar, por último, que esta memoria </w:t>
      </w:r>
      <w:r>
        <w:rPr>
          <w:rFonts w:ascii="Arial" w:cs="Arial" w:eastAsia="Arial" w:hAnsi="Arial"/>
          <w:b/>
          <w:bCs/>
          <w:sz w:val="22"/>
          <w:szCs w:val="22"/>
        </w:rPr>
        <w:t xml:space="preserve">no recoge la afirmación, frecuente en la divulgación técnica, de que exista un umbral en torno a los siete mil millones de parámetros</w:t>
      </w:r>
      <w:r>
        <w:rPr>
          <w:rFonts w:ascii="Arial" w:cs="Arial" w:eastAsia="Arial" w:hAnsi="Arial"/>
          <w:sz w:val="22"/>
          <w:szCs w:val="22"/>
        </w:rPr>
        <w:t xml:space="preserve"> por debajo del cual la invocación de herramientas deja de ser fiable. Se buscó una fuente que la sostuviera entre los trabajos aquí revisados y no se encontró. La formulación que sí se emplea en el capítulo 5 es distinta y más débil: la capacidad necesaria depende del punto de operación, y fijar una cifra de parámetros sin especificarlo carece de sentido.</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ind w:firstLine="425"/>
        <w:jc w:val="both"/>
      </w:pPr>
      <w:r>
        <w:rPr>
          <w:rFonts w:ascii="Arial" w:cs="Arial" w:eastAsia="Arial" w:hAnsi="Arial"/>
          <w:sz w:val="22"/>
          <w:szCs w:val="22"/>
        </w:rPr>
        <w:t xml:space="preserve">Bilal, Ebert y Lin (2025) recogen en un estudio panorámico las aproximaciones existentes al uso de modelos de lenguaje para explicar salidas de otros modelos, así como las técnicas para evaluar las explicaciones así generadas. De ese trabajo se ha consultado el resumen y la sección dedicada a la evaluación, que es la pertinente aquí.</w:t>
      </w:r>
    </w:p>
    <w:p>
      <w:pPr>
        <w:spacing w:after="160" w:line="360" w:lineRule="auto"/>
        <w:ind w:firstLine="425"/>
        <w:jc w:val="both"/>
      </w:pPr>
      <w:r>
        <w:rPr>
          <w:rFonts w:ascii="Arial" w:cs="Arial" w:eastAsia="Arial" w:hAnsi="Arial"/>
          <w:sz w:val="22"/>
          <w:szCs w:val="22"/>
        </w:rPr>
        <w:t xml:space="preserve">Su aportación más útil para esta memoria es una distinción conceptual que conviene adoptar, porque nombra con precisión el fenómeno que el capítulo 6 documenta.</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es el grado en que una explicación representa el proceso de decisión que el modelo ha seguido realmente. Una explicación fiel debe ser coherente con la lógica interna y las relaciones causa-efecto establecidas por el modelo, con los datos sobre los que se entrenó, y debe permitir que la decisión sea reproducible a partir de los rasgos que la explicación menciona.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en cambio, evalúa la coherencia lógica de la explicación y su consistencia con el conocimiento del dominio: que se apoye en principios establecidos, que no se contradiga y que no formule afirmaciones imposibles.</w:t>
      </w:r>
    </w:p>
    <w:p>
      <w:pPr>
        <w:spacing w:after="160" w:line="360" w:lineRule="auto"/>
        <w:ind w:firstLine="425"/>
        <w:jc w:val="both"/>
      </w:pPr>
      <w:r>
        <w:rPr>
          <w:rFonts w:ascii="Arial" w:cs="Arial" w:eastAsia="Arial" w:hAnsi="Arial"/>
          <w:sz w:val="22"/>
          <w:szCs w:val="22"/>
        </w:rPr>
        <w:t xml:space="preserve">Los propios autores subrayan que la diferencia entre ambas es importante, porque </w:t>
      </w:r>
      <w:r>
        <w:rPr>
          <w:rFonts w:ascii="Arial" w:cs="Arial" w:eastAsia="Arial" w:hAnsi="Arial"/>
          <w:b/>
          <w:bCs/>
          <w:sz w:val="22"/>
          <w:szCs w:val="22"/>
        </w:rPr>
        <w:t xml:space="preserve">una explicación puede ser plausible y no ser fiel</w:t>
      </w:r>
      <w:r>
        <w:rPr>
          <w:rFonts w:ascii="Arial" w:cs="Arial" w:eastAsia="Arial" w:hAnsi="Arial"/>
          <w:sz w:val="22"/>
          <w:szCs w:val="22"/>
        </w:rPr>
        <w:t xml:space="preserve">: tener sentido para quien la lee y no representar el razonamiento interno del modelo. De ahí que insistan en evaluar las explicaciones con métodos cuantitativos y objetivos, comprobando si son verdaderamente fieles al modelo en lugar de limitarse a parecer razonables.</w:t>
      </w:r>
    </w:p>
    <w:p>
      <w:pPr>
        <w:spacing w:after="160" w:line="360" w:lineRule="auto"/>
        <w:ind w:firstLine="425"/>
        <w:jc w:val="both"/>
      </w:pPr>
      <w:r>
        <w:rPr>
          <w:rFonts w:ascii="Arial" w:cs="Arial" w:eastAsia="Arial" w:hAnsi="Arial"/>
          <w:sz w:val="22"/>
          <w:szCs w:val="22"/>
        </w:rPr>
        <w:t xml:space="preserve">Se han revisado además las secciones dedicadas a las técnicas de explicación y a las limitaciones. La primera describe los métodos de atribución al uso, entre ellos el de valores de Shapley empleado en este trabajo. La segunda enumera como retos abiertos el tratamiento de datos sensibles, la diversidad social y normativa, la integración de fuentes heterogéneas, la complejidad de los modelos y los sesgos presentes en los propios modelos de lenguaje. </w:t>
      </w:r>
      <w:r>
        <w:rPr>
          <w:rFonts w:ascii="Arial" w:cs="Arial" w:eastAsia="Arial" w:hAnsi="Arial"/>
          <w:b/>
          <w:bCs/>
          <w:sz w:val="22"/>
          <w:szCs w:val="22"/>
        </w:rPr>
        <w:t xml:space="preserve">Ninguna de esas limitaciones recoge casos documentados de disociación entre la explicación escrita y la decisión emitida</w:t>
      </w:r>
      <w:r>
        <w:rPr>
          <w:rFonts w:ascii="Arial" w:cs="Arial" w:eastAsia="Arial" w:hAnsi="Arial"/>
          <w:sz w:val="22"/>
          <w:szCs w:val="22"/>
        </w:rPr>
        <w:t xml:space="preserve">, que es el fenómeno que este trabajo observa y mide en 5.12.</w:t>
      </w:r>
    </w:p>
    <w:p>
      <w:pPr>
        <w:spacing w:after="160" w:line="360" w:lineRule="auto"/>
        <w:ind w:firstLine="425"/>
        <w:jc w:val="both"/>
      </w:pPr>
      <w:r>
        <w:rPr>
          <w:rFonts w:ascii="Arial" w:cs="Arial" w:eastAsia="Arial" w:hAnsi="Arial"/>
          <w:sz w:val="22"/>
          <w:szCs w:val="22"/>
        </w:rPr>
        <w:t xml:space="preserve">Esa distinción sitúa con exactitud la aportación de este trabajo. El experimento descrito en 6.2.2 produce explicaciones cuya </w:t>
      </w:r>
      <w:r>
        <w:rPr>
          <w:rFonts w:ascii="Arial" w:cs="Arial" w:eastAsia="Arial" w:hAnsi="Arial"/>
          <w:b/>
          <w:bCs/>
          <w:sz w:val="22"/>
          <w:szCs w:val="22"/>
        </w:rPr>
        <w:t xml:space="preserve">plausibilidad aumenta de forma deliberada</w:t>
      </w:r>
      <w:r>
        <w:rPr>
          <w:rFonts w:ascii="Arial" w:cs="Arial" w:eastAsia="Arial" w:hAnsi="Arial"/>
          <w:sz w:val="22"/>
          <w:szCs w:val="22"/>
        </w:rPr>
        <w:t xml:space="preserve">: tras corregir la premisa sobre el importe, el modelo pasa a describir correctamente el patrón del cargo de prueba, que es conocimiento válido del dominio, y a reconocerlo en el caso concreto que tiene delante. Y sin embargo la decisión no cambia. La explicación gana plausibilidad </w:t>
      </w:r>
      <w:r>
        <w:rPr>
          <w:rFonts w:ascii="Arial" w:cs="Arial" w:eastAsia="Arial" w:hAnsi="Arial"/>
          <w:b/>
          <w:bCs/>
          <w:sz w:val="22"/>
          <w:szCs w:val="22"/>
        </w:rPr>
        <w:t xml:space="preserve">sin ganar fidelidad</w:t>
      </w:r>
      <w:r>
        <w:rPr>
          <w:rFonts w:ascii="Arial" w:cs="Arial" w:eastAsia="Arial" w:hAnsi="Arial"/>
          <w:sz w:val="22"/>
          <w:szCs w:val="22"/>
        </w:rPr>
        <w:t xml:space="preserve">, y en el modelo de 14.000 millones de parámetros contradice directamente al veredicto que la acompaña en el 61 % de los casos en que menciona el patrón.</w:t>
      </w:r>
    </w:p>
    <w:p>
      <w:pPr>
        <w:spacing w:after="160" w:line="360" w:lineRule="auto"/>
        <w:ind w:firstLine="425"/>
        <w:jc w:val="both"/>
      </w:pPr>
      <w:r>
        <w:rPr>
          <w:rFonts w:ascii="Arial" w:cs="Arial" w:eastAsia="Arial" w:hAnsi="Arial"/>
          <w:sz w:val="22"/>
          <w:szCs w:val="22"/>
        </w:rPr>
        <w:t xml:space="preserve">La literatura reclama, pues, medidas cuantitativas de fidelidad, y este trabajo aporta una construida sobre un sistema en operación: la proporción de casos en que la prosa reconoce el indicio y el veredicto lo ignora. No mide la fidelidad de la explicación al proceso interno del modelo, que no es observable aquí, sino algo más débil y a la vez más fácil de comprobar en producción: </w:t>
      </w:r>
      <w:r>
        <w:rPr>
          <w:rFonts w:ascii="Arial" w:cs="Arial" w:eastAsia="Arial" w:hAnsi="Arial"/>
          <w:b/>
          <w:bCs/>
          <w:sz w:val="22"/>
          <w:szCs w:val="22"/>
        </w:rPr>
        <w:t xml:space="preserve">su consistencia con la decisión que el propio modelo emite a continuación</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Conviene señalar una diferencia de planteamiento. En los trabajos recogidos en ese estudio, el modelo de lenguaje traduce a lenguaje llano la salida de un método de atribución y no decide nada. Aquí se le concede además autoridad para revocar decisiones del detector, y el capítulo 5 cuantifica el resultado de esa concesión.</w:t>
      </w:r>
    </w:p>
    <w:p>
      <w:pPr>
        <w:spacing w:after="160" w:line="360" w:lineRule="auto"/>
        <w:ind w:firstLine="425"/>
        <w:jc w:val="both"/>
      </w:pPr>
      <w:r>
        <w:rPr>
          <w:rFonts w:ascii="Arial" w:cs="Arial" w:eastAsia="Arial" w:hAnsi="Arial"/>
          <w:sz w:val="22"/>
          <w:szCs w:val="22"/>
        </w:rPr>
        <w:t xml:space="preserve">Debe precisarse, no obstante, que </w:t>
      </w:r>
      <w:r>
        <w:rPr>
          <w:rFonts w:ascii="Arial" w:cs="Arial" w:eastAsia="Arial" w:hAnsi="Arial"/>
          <w:b/>
          <w:bCs/>
          <w:sz w:val="22"/>
          <w:szCs w:val="22"/>
        </w:rPr>
        <w:t xml:space="preserve">el estudio no enuncia esa restricción como recomendación metodológica explícita</w:t>
      </w:r>
      <w:r>
        <w:rPr>
          <w:rFonts w:ascii="Arial" w:cs="Arial" w:eastAsia="Arial" w:hAnsi="Arial"/>
          <w:sz w:val="22"/>
          <w:szCs w:val="22"/>
        </w:rPr>
        <w:t xml:space="preserve">. Se revisó expresamente con esa pregunta y no aparece formulada como tal: el papel limitado del modelo de lenguaje es la práctica común de los trabajos recogidos, no una advertencia dirigida a quien se aparte de ella. Este trabajo no puede afirmar, por tanto, que mide el coste de saltarse una buena práctica establecida. Lo que mide es el resultado de una decisión de diseño que la literatura revisada no había tomado.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ind w:firstLine="425"/>
        <w:jc w:val="both"/>
      </w:pPr>
      <w:r>
        <w:rPr>
          <w:rFonts w:ascii="Arial" w:cs="Arial" w:eastAsia="Arial" w:hAnsi="Arial"/>
          <w:sz w:val="22"/>
          <w:szCs w:val="22"/>
        </w:rPr>
        <w:t xml:space="preserve">Existen propuestas de sistemas multiagente aplicados a decisiones financieras. La más cercana a este trabajo por planteamiento es MASCA (Bhattacharya y otros, 2025), un sistema jerárquico de agentes para evaluación de riesgo crediticio, del que se ha consultado el texto completo.</w:t>
      </w:r>
    </w:p>
    <w:p>
      <w:pPr>
        <w:spacing w:after="160" w:line="360" w:lineRule="auto"/>
        <w:ind w:firstLine="425"/>
        <w:jc w:val="both"/>
      </w:pPr>
      <w:r>
        <w:rPr>
          <w:rFonts w:ascii="Arial" w:cs="Arial" w:eastAsia="Arial" w:hAnsi="Arial"/>
          <w:sz w:val="22"/>
          <w:szCs w:val="22"/>
        </w:rPr>
        <w:t xml:space="preserve">MASCA organiza agentes especializados en capas —ingesta y contextualización, evaluación multidimensional, optimización estratégica y un orquestador que decide— y los evalúa sobre doscientas muestras de un conjunto de datos de crédito.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Exactitud</w:t>
            </w:r>
          </w:p>
        </w:tc>
        <w:tc>
          <w:tcPr>
            <w:tcW w:type="dxa" w:w="1800"/>
            <w:shd w:fill="D9D9D9" w:val="clear"/>
          </w:tcPr>
          <w:p>
            <w:pPr>
              <w:spacing w:after="0"/>
            </w:pPr>
            <w:r>
              <w:rPr>
                <w:rFonts w:ascii="Arial" w:cs="Arial" w:eastAsia="Arial" w:hAnsi="Arial"/>
                <w:b/>
                <w:bCs/>
                <w:sz w:val="20"/>
                <w:szCs w:val="20"/>
              </w:rPr>
              <w:t xml:space="preserve">Precisión</w:t>
            </w:r>
          </w:p>
        </w:tc>
        <w:tc>
          <w:tcPr>
            <w:tcW w:type="dxa" w:w="1800"/>
            <w:shd w:fill="D9D9D9" w:val="clear"/>
          </w:tcPr>
          <w:p>
            <w:pPr>
              <w:spacing w:after="0"/>
            </w:pPr>
            <w:r>
              <w:rPr>
                <w:rFonts w:ascii="Arial" w:cs="Arial" w:eastAsia="Arial" w:hAnsi="Arial"/>
                <w:b/>
                <w:bCs/>
                <w:sz w:val="20"/>
                <w:szCs w:val="20"/>
              </w:rPr>
              <w:t xml:space="preserve">Exhaustividad</w:t>
            </w:r>
          </w:p>
        </w:tc>
        <w:tc>
          <w:tcPr>
            <w:tcW w:type="dxa" w:w="1800"/>
            <w:shd w:fill="D9D9D9" w:val="clear"/>
          </w:tcPr>
          <w:p>
            <w:pPr>
              <w:spacing w:after="0"/>
            </w:pPr>
            <w:r>
              <w:rPr>
                <w:rFonts w:ascii="Arial" w:cs="Arial" w:eastAsia="Arial" w:hAnsi="Arial"/>
                <w:b/>
                <w:bCs/>
                <w:sz w:val="20"/>
                <w:szCs w:val="20"/>
              </w:rPr>
              <w:t xml:space="preserve">F1</w:t>
            </w:r>
          </w:p>
        </w:tc>
      </w:tr>
      <w:tr>
        <w:tc>
          <w:tcPr>
            <w:tcW w:type="dxa" w:w="1800"/>
          </w:tcPr>
          <w:p>
            <w:pPr>
              <w:spacing w:after="0"/>
            </w:pPr>
            <w:r>
              <w:rPr>
                <w:rFonts w:ascii="Arial" w:cs="Arial" w:eastAsia="Arial" w:hAnsi="Arial"/>
                <w:b w:val="false"/>
                <w:bCs w:val="false"/>
                <w:sz w:val="20"/>
                <w:szCs w:val="20"/>
              </w:rPr>
              <w:t xml:space="preserve">Cero disparos</w:t>
            </w:r>
          </w:p>
        </w:tc>
        <w:tc>
          <w:tcPr>
            <w:tcW w:type="dxa" w:w="1800"/>
          </w:tcPr>
          <w:p>
            <w:pPr>
              <w:spacing w:after="0"/>
            </w:pPr>
            <w:r>
              <w:rPr>
                <w:rFonts w:ascii="Arial" w:cs="Arial" w:eastAsia="Arial" w:hAnsi="Arial"/>
                <w:b w:val="false"/>
                <w:bCs w:val="false"/>
                <w:sz w:val="20"/>
                <w:szCs w:val="20"/>
              </w:rPr>
              <w:t xml:space="preserve">45,5 %</w:t>
            </w:r>
          </w:p>
        </w:tc>
        <w:tc>
          <w:tcPr>
            <w:tcW w:type="dxa" w:w="1800"/>
          </w:tcPr>
          <w:p>
            <w:pPr>
              <w:spacing w:after="0"/>
            </w:pPr>
            <w:r>
              <w:rPr>
                <w:rFonts w:ascii="Arial" w:cs="Arial" w:eastAsia="Arial" w:hAnsi="Arial"/>
                <w:b w:val="false"/>
                <w:bCs w:val="false"/>
                <w:sz w:val="20"/>
                <w:szCs w:val="20"/>
              </w:rPr>
              <w:t xml:space="preserve">33,3 %</w:t>
            </w:r>
          </w:p>
        </w:tc>
        <w:tc>
          <w:tcPr>
            <w:tcW w:type="dxa" w:w="1800"/>
          </w:tcPr>
          <w:p>
            <w:pPr>
              <w:spacing w:after="0"/>
            </w:pPr>
            <w:r>
              <w:rPr>
                <w:rFonts w:ascii="Arial" w:cs="Arial" w:eastAsia="Arial" w:hAnsi="Arial"/>
                <w:b w:val="false"/>
                <w:bCs w:val="false"/>
                <w:sz w:val="20"/>
                <w:szCs w:val="20"/>
              </w:rPr>
              <w:t xml:space="preserve">67,7 %</w:t>
            </w:r>
          </w:p>
        </w:tc>
        <w:tc>
          <w:tcPr>
            <w:tcW w:type="dxa" w:w="1800"/>
          </w:tcPr>
          <w:p>
            <w:pPr>
              <w:spacing w:after="0"/>
            </w:pPr>
            <w:r>
              <w:rPr>
                <w:rFonts w:ascii="Arial" w:cs="Arial" w:eastAsia="Arial" w:hAnsi="Arial"/>
                <w:b w:val="false"/>
                <w:bCs w:val="false"/>
                <w:sz w:val="20"/>
                <w:szCs w:val="20"/>
              </w:rPr>
              <w:t xml:space="preserve">44,7 %</w:t>
            </w:r>
          </w:p>
        </w:tc>
      </w:tr>
      <w:tr>
        <w:tc>
          <w:tcPr>
            <w:tcW w:type="dxa" w:w="1800"/>
          </w:tcPr>
          <w:p>
            <w:pPr>
              <w:spacing w:after="0"/>
            </w:pPr>
            <w:r>
              <w:rPr>
                <w:rFonts w:ascii="Arial" w:cs="Arial" w:eastAsia="Arial" w:hAnsi="Arial"/>
                <w:b w:val="false"/>
                <w:bCs w:val="false"/>
                <w:sz w:val="20"/>
                <w:szCs w:val="20"/>
              </w:rPr>
              <w:t xml:space="preserve">Cadena de pensamiento</w:t>
            </w:r>
          </w:p>
        </w:tc>
        <w:tc>
          <w:tcPr>
            <w:tcW w:type="dxa" w:w="1800"/>
          </w:tcPr>
          <w:p>
            <w:pPr>
              <w:spacing w:after="0"/>
            </w:pPr>
            <w:r>
              <w:rPr>
                <w:rFonts w:ascii="Arial" w:cs="Arial" w:eastAsia="Arial" w:hAnsi="Arial"/>
                <w:b w:val="false"/>
                <w:bCs w:val="false"/>
                <w:sz w:val="20"/>
                <w:szCs w:val="20"/>
              </w:rPr>
              <w:t xml:space="preserve">36,0 %</w:t>
            </w:r>
          </w:p>
        </w:tc>
        <w:tc>
          <w:tcPr>
            <w:tcW w:type="dxa" w:w="1800"/>
          </w:tcPr>
          <w:p>
            <w:pPr>
              <w:spacing w:after="0"/>
            </w:pPr>
            <w:r>
              <w:rPr>
                <w:rFonts w:ascii="Arial" w:cs="Arial" w:eastAsia="Arial" w:hAnsi="Arial"/>
                <w:b w:val="false"/>
                <w:bCs w:val="false"/>
                <w:sz w:val="20"/>
                <w:szCs w:val="20"/>
              </w:rPr>
              <w:t xml:space="preserve">37,1 %</w:t>
            </w:r>
          </w:p>
        </w:tc>
        <w:tc>
          <w:tcPr>
            <w:tcW w:type="dxa" w:w="1800"/>
          </w:tcPr>
          <w:p>
            <w:pPr>
              <w:spacing w:after="0"/>
            </w:pPr>
            <w:r>
              <w:rPr>
                <w:rFonts w:ascii="Arial" w:cs="Arial" w:eastAsia="Arial" w:hAnsi="Arial"/>
                <w:b w:val="false"/>
                <w:bCs w:val="false"/>
                <w:sz w:val="20"/>
                <w:szCs w:val="20"/>
              </w:rPr>
              <w:t xml:space="preserve">52,1 %</w:t>
            </w:r>
          </w:p>
        </w:tc>
        <w:tc>
          <w:tcPr>
            <w:tcW w:type="dxa" w:w="1800"/>
          </w:tcPr>
          <w:p>
            <w:pPr>
              <w:spacing w:after="0"/>
            </w:pPr>
            <w:r>
              <w:rPr>
                <w:rFonts w:ascii="Arial" w:cs="Arial" w:eastAsia="Arial" w:hAnsi="Arial"/>
                <w:b w:val="false"/>
                <w:bCs w:val="false"/>
                <w:sz w:val="20"/>
                <w:szCs w:val="20"/>
              </w:rPr>
              <w:t xml:space="preserve">43,4 %</w:t>
            </w:r>
          </w:p>
        </w:tc>
      </w:tr>
      <w:tr>
        <w:tc>
          <w:tcPr>
            <w:tcW w:type="dxa" w:w="1800"/>
          </w:tcPr>
          <w:p>
            <w:pPr>
              <w:spacing w:after="0"/>
            </w:pPr>
            <w:r>
              <w:rPr>
                <w:rFonts w:ascii="Arial" w:cs="Arial" w:eastAsia="Arial" w:hAnsi="Arial"/>
                <w:b w:val="false"/>
                <w:bCs w:val="false"/>
                <w:sz w:val="20"/>
                <w:szCs w:val="20"/>
              </w:rPr>
              <w:t xml:space="preserve">Un solo agente multitarea</w:t>
            </w:r>
          </w:p>
        </w:tc>
        <w:tc>
          <w:tcPr>
            <w:tcW w:type="dxa" w:w="1800"/>
          </w:tcPr>
          <w:p>
            <w:pPr>
              <w:spacing w:after="0"/>
            </w:pPr>
            <w:r>
              <w:rPr>
                <w:rFonts w:ascii="Arial" w:cs="Arial" w:eastAsia="Arial" w:hAnsi="Arial"/>
                <w:b w:val="false"/>
                <w:bCs w:val="false"/>
                <w:sz w:val="20"/>
                <w:szCs w:val="20"/>
              </w:rPr>
              <w:t xml:space="preserve">42,5 %</w:t>
            </w:r>
          </w:p>
        </w:tc>
        <w:tc>
          <w:tcPr>
            <w:tcW w:type="dxa" w:w="1800"/>
          </w:tcPr>
          <w:p>
            <w:pPr>
              <w:spacing w:after="0"/>
            </w:pPr>
            <w:r>
              <w:rPr>
                <w:rFonts w:ascii="Arial" w:cs="Arial" w:eastAsia="Arial" w:hAnsi="Arial"/>
                <w:b w:val="false"/>
                <w:bCs w:val="false"/>
                <w:sz w:val="20"/>
                <w:szCs w:val="20"/>
              </w:rPr>
              <w:t xml:space="preserve">28,8 %</w:t>
            </w:r>
          </w:p>
        </w:tc>
        <w:tc>
          <w:tcPr>
            <w:tcW w:type="dxa" w:w="1800"/>
          </w:tcPr>
          <w:p>
            <w:pPr>
              <w:spacing w:after="0"/>
            </w:pPr>
            <w:r>
              <w:rPr>
                <w:rFonts w:ascii="Arial" w:cs="Arial" w:eastAsia="Arial" w:hAnsi="Arial"/>
                <w:b w:val="false"/>
                <w:bCs w:val="false"/>
                <w:sz w:val="20"/>
                <w:szCs w:val="20"/>
              </w:rPr>
              <w:t xml:space="preserve">64,4 %</w:t>
            </w:r>
          </w:p>
        </w:tc>
        <w:tc>
          <w:tcPr>
            <w:tcW w:type="dxa" w:w="1800"/>
          </w:tcPr>
          <w:p>
            <w:pPr>
              <w:spacing w:after="0"/>
            </w:pPr>
            <w:r>
              <w:rPr>
                <w:rFonts w:ascii="Arial" w:cs="Arial" w:eastAsia="Arial" w:hAnsi="Arial"/>
                <w:b w:val="false"/>
                <w:bCs w:val="false"/>
                <w:sz w:val="20"/>
                <w:szCs w:val="20"/>
              </w:rPr>
              <w:t xml:space="preserve">39,8 %</w:t>
            </w:r>
          </w:p>
        </w:tc>
      </w:tr>
      <w:tr>
        <w:tc>
          <w:tcPr>
            <w:tcW w:type="dxa" w:w="1800"/>
          </w:tcPr>
          <w:p>
            <w:pPr>
              <w:spacing w:after="0"/>
            </w:pPr>
            <w:r>
              <w:rPr>
                <w:rFonts w:ascii="Arial" w:cs="Arial" w:eastAsia="Arial" w:hAnsi="Arial"/>
                <w:b w:val="false"/>
                <w:bCs w:val="false"/>
                <w:sz w:val="20"/>
                <w:szCs w:val="20"/>
              </w:rPr>
              <w:t xml:space="preserve">Sistema multiagente jerárquico</w:t>
            </w:r>
          </w:p>
        </w:tc>
        <w:tc>
          <w:tcPr>
            <w:tcW w:type="dxa" w:w="1800"/>
          </w:tcPr>
          <w:p>
            <w:pPr>
              <w:spacing w:after="0"/>
            </w:pPr>
            <w:r>
              <w:rPr>
                <w:rFonts w:ascii="Arial" w:cs="Arial" w:eastAsia="Arial" w:hAnsi="Arial"/>
                <w:b w:val="false"/>
                <w:bCs w:val="false"/>
                <w:sz w:val="20"/>
                <w:szCs w:val="20"/>
              </w:rPr>
              <w:t xml:space="preserve">60,0 %</w:t>
            </w:r>
          </w:p>
        </w:tc>
        <w:tc>
          <w:tcPr>
            <w:tcW w:type="dxa" w:w="1800"/>
          </w:tcPr>
          <w:p>
            <w:pPr>
              <w:spacing w:after="0"/>
            </w:pPr>
            <w:r>
              <w:rPr>
                <w:rFonts w:ascii="Arial" w:cs="Arial" w:eastAsia="Arial" w:hAnsi="Arial"/>
                <w:b w:val="false"/>
                <w:bCs w:val="false"/>
                <w:sz w:val="20"/>
                <w:szCs w:val="20"/>
              </w:rPr>
              <w:t xml:space="preserve">65,5 %</w:t>
            </w:r>
          </w:p>
        </w:tc>
        <w:tc>
          <w:tcPr>
            <w:tcW w:type="dxa" w:w="1800"/>
          </w:tcPr>
          <w:p>
            <w:pPr>
              <w:spacing w:after="0"/>
            </w:pPr>
            <w:r>
              <w:rPr>
                <w:rFonts w:ascii="Arial" w:cs="Arial" w:eastAsia="Arial" w:hAnsi="Arial"/>
                <w:b w:val="false"/>
                <w:bCs w:val="false"/>
                <w:sz w:val="20"/>
                <w:szCs w:val="20"/>
              </w:rPr>
              <w:t xml:space="preserve">83,3 %</w:t>
            </w:r>
          </w:p>
        </w:tc>
        <w:tc>
          <w:tcPr>
            <w:tcW w:type="dxa" w:w="1800"/>
          </w:tcPr>
          <w:p>
            <w:pPr>
              <w:spacing w:after="0"/>
            </w:pPr>
            <w:r>
              <w:rPr>
                <w:rFonts w:ascii="Arial" w:cs="Arial" w:eastAsia="Arial" w:hAnsi="Arial"/>
                <w:b w:val="false"/>
                <w:bCs w:val="false"/>
                <w:sz w:val="20"/>
                <w:szCs w:val="20"/>
              </w:rPr>
              <w:t xml:space="preserve">73,3 %</w:t>
            </w:r>
          </w:p>
        </w:tc>
      </w:tr>
    </w:tbl>
    <w:p>
      <w:pPr>
        <w:spacing w:after="160"/>
      </w:pPr>
    </w:p>
    <w:p>
      <w:pPr>
        <w:spacing w:after="160" w:line="360" w:lineRule="auto"/>
        <w:ind w:firstLine="425"/>
        <w:jc w:val="both"/>
      </w:pPr>
      <w:r>
        <w:rPr>
          <w:rFonts w:ascii="Arial" w:cs="Arial" w:eastAsia="Arial" w:hAnsi="Arial"/>
          <w:sz w:val="22"/>
          <w:szCs w:val="22"/>
        </w:rPr>
        <w:t xml:space="preserve">Conviene corregir aquí una impresión extendida, que este trabajo compartía antes de leer el artículo. </w:t>
      </w:r>
      <w:r>
        <w:rPr>
          <w:rFonts w:ascii="Arial" w:cs="Arial" w:eastAsia="Arial" w:hAnsi="Arial"/>
          <w:b/>
          <w:bCs/>
          <w:sz w:val="22"/>
          <w:szCs w:val="22"/>
        </w:rPr>
        <w:t xml:space="preserve">MASCA sí se evalúa frente a líneas base</w:t>
      </w:r>
      <w:r>
        <w:rPr>
          <w:rFonts w:ascii="Arial" w:cs="Arial" w:eastAsia="Arial" w:hAnsi="Arial"/>
          <w:sz w:val="22"/>
          <w:szCs w:val="22"/>
        </w:rPr>
        <w:t xml:space="preserve">, y con cuidado: contrasta su arquitectura contra el modelo en modo cero disparos, contra cadena de pensamiento, contra un único agente que realiza todas las subtareas, y contra ablaciones de la propia jerarquía en uno y dos niveles. No es una propuesta arquitectónica ilustrada con casos.</w:t>
      </w:r>
    </w:p>
    <w:p>
      <w:pPr>
        <w:spacing w:after="160" w:line="360" w:lineRule="auto"/>
        <w:ind w:firstLine="425"/>
        <w:jc w:val="both"/>
      </w:pPr>
      <w:r>
        <w:rPr>
          <w:rFonts w:ascii="Arial" w:cs="Arial" w:eastAsia="Arial" w:hAnsi="Arial"/>
          <w:sz w:val="22"/>
          <w:szCs w:val="22"/>
        </w:rPr>
        <w:t xml:space="preserve">La diferencia con este trabajo es otra, más precisa y más interesante. </w:t>
      </w:r>
      <w:r>
        <w:rPr>
          <w:rFonts w:ascii="Arial" w:cs="Arial" w:eastAsia="Arial" w:hAnsi="Arial"/>
          <w:b/>
          <w:bCs/>
          <w:sz w:val="22"/>
          <w:szCs w:val="22"/>
        </w:rPr>
        <w:t xml:space="preserve">Todas las líneas base de MASCA son configuraciones del propio modelo de lenguaje.</w:t>
      </w:r>
      <w:r>
        <w:rPr>
          <w:rFonts w:ascii="Arial" w:cs="Arial" w:eastAsia="Arial" w:hAnsi="Arial"/>
          <w:sz w:val="22"/>
          <w:szCs w:val="22"/>
        </w:rPr>
        <w:t xml:space="preserve"> No hay ninguna comparación contra un modelo estadístico clásico entrenado sobre los mismos datos, que es el método que la propia introducción del artículo señala como estado previo de la práctica. La pregunta que responde es, por tanto, si un sistema multiagente rinde mejor que un agente único; no si el modelo de lenguaje aporta algo frente a no emplearlo.</w:t>
      </w:r>
    </w:p>
    <w:p>
      <w:pPr>
        <w:spacing w:after="160" w:line="360" w:lineRule="auto"/>
        <w:ind w:firstLine="425"/>
        <w:jc w:val="both"/>
      </w:pPr>
      <w:r>
        <w:rPr>
          <w:rFonts w:ascii="Arial" w:cs="Arial" w:eastAsia="Arial" w:hAnsi="Arial"/>
          <w:sz w:val="22"/>
          <w:szCs w:val="22"/>
        </w:rPr>
        <w:t xml:space="preserve">Este trabajo plantea exactamente esa segunda pregunta. La línea base no es otra configuración de agentes: es el detector solo, sin capa de lenguaje. Y la respuesta medida es que no aporta.</w:t>
      </w:r>
    </w:p>
    <w:p>
      <w:pPr>
        <w:spacing w:after="160" w:line="360" w:lineRule="auto"/>
        <w:ind w:firstLine="425"/>
        <w:jc w:val="both"/>
      </w:pPr>
      <w:r>
        <w:rPr>
          <w:rFonts w:ascii="Arial" w:cs="Arial" w:eastAsia="Arial" w:hAnsi="Arial"/>
          <w:sz w:val="22"/>
          <w:szCs w:val="22"/>
        </w:rPr>
        <w:t xml:space="preserve">Tampoco se acompañan los resultados de MASCA de contraste estadístico: son estimaciones puntuales sobre doscientas muestras, sin intervalos ni pruebas de significación. Este trabajo declara sus contrastes, incluidos aquellos que no alcanzan significación, como se detalla en el capítulo 5.</w:t>
      </w:r>
    </w:p>
    <w:p>
      <w:pPr>
        <w:spacing w:after="160" w:line="360" w:lineRule="auto"/>
        <w:ind w:firstLine="425"/>
        <w:jc w:val="both"/>
      </w:pPr>
      <w:r>
        <w:rPr>
          <w:rFonts w:ascii="Arial" w:cs="Arial" w:eastAsia="Arial" w:hAnsi="Arial"/>
          <w:sz w:val="22"/>
          <w:szCs w:val="22"/>
        </w:rPr>
        <w:t xml:space="preserve">Dos observaciones adicionales del mismo artículo resultan pertinentes.</w:t>
      </w:r>
    </w:p>
    <w:p>
      <w:pPr>
        <w:spacing w:after="160" w:line="360" w:lineRule="auto"/>
        <w:ind w:firstLine="425"/>
        <w:jc w:val="both"/>
      </w:pPr>
      <w:r>
        <w:rPr>
          <w:rFonts w:ascii="Arial" w:cs="Arial" w:eastAsia="Arial" w:hAnsi="Arial"/>
          <w:sz w:val="22"/>
          <w:szCs w:val="22"/>
        </w:rPr>
        <w:t xml:space="preserve">La primera es que </w:t>
      </w:r>
      <w:r>
        <w:rPr>
          <w:rFonts w:ascii="Arial" w:cs="Arial" w:eastAsia="Arial" w:hAnsi="Arial"/>
          <w:b/>
          <w:bCs/>
          <w:sz w:val="22"/>
          <w:szCs w:val="22"/>
        </w:rPr>
        <w:t xml:space="preserve">la cadena de pensamiento empeora el resultado</w:t>
      </w:r>
      <w:r>
        <w:rPr>
          <w:rFonts w:ascii="Arial" w:cs="Arial" w:eastAsia="Arial" w:hAnsi="Arial"/>
          <w:sz w:val="22"/>
          <w:szCs w:val="22"/>
        </w:rPr>
        <w:t xml:space="preserve">: 36 % de exactitud frente al 45,5 % de la respuesta directa. Sus autores lo atribuyen a la propagación de errores a lo largo del razonamiento. Es coherente con lo observado en el capítulo 5 de esta memoria, donde el modelo con capacidad explícita de razonamiento tampoco mejora el resultado.</w:t>
      </w:r>
    </w:p>
    <w:p>
      <w:pPr>
        <w:spacing w:after="160" w:line="360" w:lineRule="auto"/>
        <w:ind w:firstLine="425"/>
        <w:jc w:val="both"/>
      </w:pPr>
      <w:r>
        <w:rPr>
          <w:rFonts w:ascii="Arial" w:cs="Arial" w:eastAsia="Arial" w:hAnsi="Arial"/>
          <w:sz w:val="22"/>
          <w:szCs w:val="22"/>
        </w:rPr>
        <w:t xml:space="preserve">La segunda es que sus limitaciones declaradas son complementarias de las de este trabajo: MASCA se evalúa únicamente con modelos comerciales de una sola familia y sobre un solo conjunto de datos, y sus autores señalan la conveniencia de extenderlo a modelos abiertos. Este trabajo emplea exclusivamente modelos abiertos ejecutados en local, y comparte la limitación del conjunto de datos único.</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ind w:firstLine="425"/>
        <w:jc w:val="both"/>
      </w:pPr>
      <w:r>
        <w:rPr>
          <w:rFonts w:ascii="Arial" w:cs="Arial" w:eastAsia="Arial" w:hAnsi="Arial"/>
          <w:sz w:val="22"/>
          <w:szCs w:val="22"/>
        </w:rPr>
        <w:t xml:space="preserve">La tabla siguiente resume dónde se sitúa este trabajo respecto a las líneas anteriores. Las filas correspondientes a la literatura recogen únicamente afirmaciones verificadas sobre trabajos leídos.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Aspecto</w:t>
            </w:r>
          </w:p>
        </w:tc>
        <w:tc>
          <w:tcPr>
            <w:tcW w:type="dxa" w:w="3000"/>
            <w:shd w:fill="D9D9D9" w:val="clear"/>
          </w:tcPr>
          <w:p>
            <w:pPr>
              <w:spacing w:after="0"/>
            </w:pPr>
            <w:r>
              <w:rPr>
                <w:rFonts w:ascii="Arial" w:cs="Arial" w:eastAsia="Arial" w:hAnsi="Arial"/>
                <w:b/>
                <w:bCs/>
                <w:sz w:val="20"/>
                <w:szCs w:val="20"/>
              </w:rPr>
              <w:t xml:space="preserve">Literatura</w:t>
            </w:r>
          </w:p>
        </w:tc>
        <w:tc>
          <w:tcPr>
            <w:tcW w:type="dxa" w:w="3000"/>
            <w:shd w:fill="D9D9D9" w:val="clear"/>
          </w:tcPr>
          <w:p>
            <w:pPr>
              <w:spacing w:after="0"/>
            </w:pPr>
            <w:r>
              <w:rPr>
                <w:rFonts w:ascii="Arial" w:cs="Arial" w:eastAsia="Arial" w:hAnsi="Arial"/>
                <w:b/>
                <w:bCs/>
                <w:sz w:val="20"/>
                <w:szCs w:val="20"/>
              </w:rPr>
              <w:t xml:space="preserve">Este trabajo</w:t>
            </w:r>
          </w:p>
        </w:tc>
      </w:tr>
      <w:tr>
        <w:tc>
          <w:tcPr>
            <w:tcW w:type="dxa" w:w="3000"/>
          </w:tcPr>
          <w:p>
            <w:pPr>
              <w:spacing w:after="0"/>
            </w:pPr>
            <w:r>
              <w:rPr>
                <w:rFonts w:ascii="Arial" w:cs="Arial" w:eastAsia="Arial" w:hAnsi="Arial"/>
                <w:b w:val="false"/>
                <w:bCs w:val="false"/>
                <w:sz w:val="20"/>
                <w:szCs w:val="20"/>
              </w:rPr>
              <w:t xml:space="preserve">Métrica del detector</w:t>
            </w:r>
          </w:p>
        </w:tc>
        <w:tc>
          <w:tcPr>
            <w:tcW w:type="dxa" w:w="3000"/>
          </w:tcPr>
          <w:p>
            <w:pPr>
              <w:spacing w:after="0"/>
            </w:pPr>
            <w:r>
              <w:rPr>
                <w:rFonts w:ascii="Arial" w:cs="Arial" w:eastAsia="Arial" w:hAnsi="Arial"/>
                <w:b w:val="false"/>
                <w:bCs w:val="false"/>
                <w:sz w:val="20"/>
                <w:szCs w:val="20"/>
              </w:rPr>
              <w:t xml:space="preserve">0,78 a 0,97 de AUC-PR sobre este conjunto</w:t>
            </w:r>
          </w:p>
        </w:tc>
        <w:tc>
          <w:tcPr>
            <w:tcW w:type="dxa" w:w="3000"/>
          </w:tcPr>
          <w:p>
            <w:pPr>
              <w:spacing w:after="0"/>
            </w:pPr>
            <w:r>
              <w:rPr>
                <w:rFonts w:ascii="Arial" w:cs="Arial" w:eastAsia="Arial" w:hAnsi="Arial"/>
                <w:b w:val="false"/>
                <w:bCs w:val="false"/>
                <w:sz w:val="20"/>
                <w:szCs w:val="20"/>
              </w:rPr>
              <w:t xml:space="preserve">0,883 aleatoria y 0,797 temporal</w:t>
            </w:r>
          </w:p>
        </w:tc>
      </w:tr>
      <w:tr>
        <w:tc>
          <w:tcPr>
            <w:tcW w:type="dxa" w:w="3000"/>
          </w:tcPr>
          <w:p>
            <w:pPr>
              <w:spacing w:after="0"/>
            </w:pPr>
            <w:r>
              <w:rPr>
                <w:rFonts w:ascii="Arial" w:cs="Arial" w:eastAsia="Arial" w:hAnsi="Arial"/>
                <w:b w:val="false"/>
                <w:bCs w:val="false"/>
                <w:sz w:val="20"/>
                <w:szCs w:val="20"/>
              </w:rPr>
              <w:t xml:space="preserve">Tratamiento del desbalanceo</w:t>
            </w:r>
          </w:p>
        </w:tc>
        <w:tc>
          <w:tcPr>
            <w:tcW w:type="dxa" w:w="3000"/>
          </w:tcPr>
          <w:p>
            <w:pPr>
              <w:spacing w:after="0"/>
            </w:pPr>
            <w:r>
              <w:rPr>
                <w:rFonts w:ascii="Arial" w:cs="Arial" w:eastAsia="Arial" w:hAnsi="Arial"/>
                <w:b w:val="false"/>
                <w:bCs w:val="false"/>
                <w:sz w:val="20"/>
                <w:szCs w:val="20"/>
              </w:rPr>
              <w:t xml:space="preserve">Remuestreo frecuente, con fuga documentada</w:t>
            </w:r>
          </w:p>
        </w:tc>
        <w:tc>
          <w:tcPr>
            <w:tcW w:type="dxa" w:w="3000"/>
          </w:tcPr>
          <w:p>
            <w:pPr>
              <w:spacing w:after="0"/>
            </w:pPr>
            <w:r>
              <w:rPr>
                <w:rFonts w:ascii="Arial" w:cs="Arial" w:eastAsia="Arial" w:hAnsi="Arial"/>
                <w:b w:val="false"/>
                <w:bCs w:val="false"/>
                <w:sz w:val="20"/>
                <w:szCs w:val="20"/>
              </w:rPr>
              <w:t xml:space="preserve">Ponderación del gradiente, sin remuestreo</w:t>
            </w:r>
          </w:p>
        </w:tc>
      </w:tr>
      <w:tr>
        <w:tc>
          <w:tcPr>
            <w:tcW w:type="dxa" w:w="3000"/>
          </w:tcPr>
          <w:p>
            <w:pPr>
              <w:spacing w:after="0"/>
            </w:pPr>
            <w:r>
              <w:rPr>
                <w:rFonts w:ascii="Arial" w:cs="Arial" w:eastAsia="Arial" w:hAnsi="Arial"/>
                <w:b w:val="false"/>
                <w:bCs w:val="false"/>
                <w:sz w:val="20"/>
                <w:szCs w:val="20"/>
              </w:rPr>
              <w:t xml:space="preserve">Partición</w:t>
            </w:r>
          </w:p>
        </w:tc>
        <w:tc>
          <w:tcPr>
            <w:tcW w:type="dxa" w:w="3000"/>
          </w:tcPr>
          <w:p>
            <w:pPr>
              <w:spacing w:after="0"/>
            </w:pPr>
            <w:r>
              <w:rPr>
                <w:rFonts w:ascii="Arial" w:cs="Arial" w:eastAsia="Arial" w:hAnsi="Arial"/>
                <w:b w:val="false"/>
                <w:bCs w:val="false"/>
                <w:sz w:val="20"/>
                <w:szCs w:val="20"/>
              </w:rPr>
              <w:t xml:space="preserve">Aleatoria casi siempre</w:t>
            </w:r>
          </w:p>
        </w:tc>
        <w:tc>
          <w:tcPr>
            <w:tcW w:type="dxa" w:w="3000"/>
          </w:tcPr>
          <w:p>
            <w:pPr>
              <w:spacing w:after="0"/>
            </w:pPr>
            <w:r>
              <w:rPr>
                <w:rFonts w:ascii="Arial" w:cs="Arial" w:eastAsia="Arial" w:hAnsi="Arial"/>
                <w:b w:val="false"/>
                <w:bCs w:val="false"/>
                <w:sz w:val="20"/>
                <w:szCs w:val="20"/>
              </w:rPr>
              <w:t xml:space="preserve">Aleatoria y temporal</w:t>
            </w:r>
          </w:p>
        </w:tc>
      </w:tr>
      <w:tr>
        <w:tc>
          <w:tcPr>
            <w:tcW w:type="dxa" w:w="3000"/>
          </w:tcPr>
          <w:p>
            <w:pPr>
              <w:spacing w:after="0"/>
            </w:pPr>
            <w:r>
              <w:rPr>
                <w:rFonts w:ascii="Arial" w:cs="Arial" w:eastAsia="Arial" w:hAnsi="Arial"/>
                <w:b w:val="false"/>
                <w:bCs w:val="false"/>
                <w:sz w:val="20"/>
                <w:szCs w:val="20"/>
              </w:rPr>
              <w:t xml:space="preserve">Papel del modelo de lenguaje</w:t>
            </w:r>
          </w:p>
        </w:tc>
        <w:tc>
          <w:tcPr>
            <w:tcW w:type="dxa" w:w="3000"/>
          </w:tcPr>
          <w:p>
            <w:pPr>
              <w:spacing w:after="0"/>
            </w:pPr>
            <w:r>
              <w:rPr>
                <w:rFonts w:ascii="Arial" w:cs="Arial" w:eastAsia="Arial" w:hAnsi="Arial"/>
                <w:b w:val="false"/>
                <w:bCs w:val="false"/>
                <w:sz w:val="20"/>
                <w:szCs w:val="20"/>
              </w:rPr>
              <w:t xml:space="preserve">Clasificar, o verbalizar atribuciones</w:t>
            </w:r>
          </w:p>
        </w:tc>
        <w:tc>
          <w:tcPr>
            <w:tcW w:type="dxa" w:w="3000"/>
          </w:tcPr>
          <w:p>
            <w:pPr>
              <w:spacing w:after="0"/>
            </w:pPr>
            <w:r>
              <w:rPr>
                <w:rFonts w:ascii="Arial" w:cs="Arial" w:eastAsia="Arial" w:hAnsi="Arial"/>
                <w:b w:val="false"/>
                <w:bCs w:val="false"/>
                <w:sz w:val="20"/>
                <w:szCs w:val="20"/>
              </w:rPr>
              <w:t xml:space="preserve">Capa de interpretación medida frente a línea base</w:t>
            </w:r>
          </w:p>
        </w:tc>
      </w:tr>
      <w:tr>
        <w:tc>
          <w:tcPr>
            <w:tcW w:type="dxa" w:w="3000"/>
          </w:tcPr>
          <w:p>
            <w:pPr>
              <w:spacing w:after="0"/>
            </w:pPr>
            <w:r>
              <w:rPr>
                <w:rFonts w:ascii="Arial" w:cs="Arial" w:eastAsia="Arial" w:hAnsi="Arial"/>
                <w:b w:val="false"/>
                <w:bCs w:val="false"/>
                <w:sz w:val="20"/>
                <w:szCs w:val="20"/>
              </w:rPr>
              <w:t xml:space="preserve">Autoridad del modelo</w:t>
            </w:r>
          </w:p>
        </w:tc>
        <w:tc>
          <w:tcPr>
            <w:tcW w:type="dxa" w:w="3000"/>
          </w:tcPr>
          <w:p>
            <w:pPr>
              <w:spacing w:after="0"/>
            </w:pPr>
            <w:r>
              <w:rPr>
                <w:rFonts w:ascii="Arial" w:cs="Arial" w:eastAsia="Arial" w:hAnsi="Arial"/>
                <w:b w:val="false"/>
                <w:bCs w:val="false"/>
                <w:sz w:val="20"/>
                <w:szCs w:val="20"/>
              </w:rPr>
              <w:t xml:space="preserve">Verbaliza, no decide</w:t>
            </w:r>
          </w:p>
        </w:tc>
        <w:tc>
          <w:tcPr>
            <w:tcW w:type="dxa" w:w="3000"/>
          </w:tcPr>
          <w:p>
            <w:pPr>
              <w:spacing w:after="0"/>
            </w:pPr>
            <w:r>
              <w:rPr>
                <w:rFonts w:ascii="Arial" w:cs="Arial" w:eastAsia="Arial" w:hAnsi="Arial"/>
                <w:b w:val="false"/>
                <w:bCs w:val="false"/>
                <w:sz w:val="20"/>
                <w:szCs w:val="20"/>
              </w:rPr>
              <w:t xml:space="preserve">Se le concede autoridad y se mide el coste</w:t>
            </w:r>
          </w:p>
        </w:tc>
      </w:tr>
      <w:tr>
        <w:tc>
          <w:tcPr>
            <w:tcW w:type="dxa" w:w="3000"/>
          </w:tcPr>
          <w:p>
            <w:pPr>
              <w:spacing w:after="0"/>
            </w:pPr>
            <w:r>
              <w:rPr>
                <w:rFonts w:ascii="Arial" w:cs="Arial" w:eastAsia="Arial" w:hAnsi="Arial"/>
                <w:b w:val="false"/>
                <w:bCs w:val="false"/>
                <w:sz w:val="20"/>
                <w:szCs w:val="20"/>
              </w:rPr>
              <w:t xml:space="preserve">Infraestructura</w:t>
            </w:r>
          </w:p>
        </w:tc>
        <w:tc>
          <w:tcPr>
            <w:tcW w:type="dxa" w:w="3000"/>
          </w:tcPr>
          <w:p>
            <w:pPr>
              <w:spacing w:after="0"/>
            </w:pPr>
            <w:r>
              <w:rPr>
                <w:rFonts w:ascii="Arial" w:cs="Arial" w:eastAsia="Arial" w:hAnsi="Arial"/>
                <w:b w:val="false"/>
                <w:bCs w:val="false"/>
                <w:sz w:val="20"/>
                <w:szCs w:val="20"/>
              </w:rPr>
              <w:t xml:space="preserve">Modelos comerciales por interfaz remota</w:t>
            </w:r>
          </w:p>
        </w:tc>
        <w:tc>
          <w:tcPr>
            <w:tcW w:type="dxa" w:w="3000"/>
          </w:tcPr>
          <w:p>
            <w:pPr>
              <w:spacing w:after="0"/>
            </w:pPr>
            <w:r>
              <w:rPr>
                <w:rFonts w:ascii="Arial" w:cs="Arial" w:eastAsia="Arial" w:hAnsi="Arial"/>
                <w:b w:val="false"/>
                <w:bCs w:val="false"/>
                <w:sz w:val="20"/>
                <w:szCs w:val="20"/>
              </w:rPr>
              <w:t xml:space="preserve">Local, hardware de consumo, coste cero</w:t>
            </w:r>
          </w:p>
        </w:tc>
      </w:tr>
      <w:tr>
        <w:tc>
          <w:tcPr>
            <w:tcW w:type="dxa" w:w="3000"/>
          </w:tcPr>
          <w:p>
            <w:pPr>
              <w:spacing w:after="0"/>
            </w:pPr>
            <w:r>
              <w:rPr>
                <w:rFonts w:ascii="Arial" w:cs="Arial" w:eastAsia="Arial" w:hAnsi="Arial"/>
                <w:b w:val="false"/>
                <w:bCs w:val="false"/>
                <w:sz w:val="20"/>
                <w:szCs w:val="20"/>
              </w:rPr>
              <w:t xml:space="preserve">Evaluación del sistema agéntico</w:t>
            </w:r>
          </w:p>
        </w:tc>
        <w:tc>
          <w:tcPr>
            <w:tcW w:type="dxa" w:w="3000"/>
          </w:tcPr>
          <w:p>
            <w:pPr>
              <w:spacing w:after="0"/>
            </w:pPr>
            <w:r>
              <w:rPr>
                <w:rFonts w:ascii="Arial" w:cs="Arial" w:eastAsia="Arial" w:hAnsi="Arial"/>
                <w:b w:val="false"/>
                <w:bCs w:val="false"/>
                <w:sz w:val="20"/>
                <w:szCs w:val="20"/>
              </w:rPr>
              <w:t xml:space="preserve">Casos ilustrativos, con excepciones</w:t>
            </w:r>
          </w:p>
        </w:tc>
        <w:tc>
          <w:tcPr>
            <w:tcW w:type="dxa" w:w="3000"/>
          </w:tcPr>
          <w:p>
            <w:pPr>
              <w:spacing w:after="0"/>
            </w:pPr>
            <w:r>
              <w:rPr>
                <w:rFonts w:ascii="Arial" w:cs="Arial" w:eastAsia="Arial" w:hAnsi="Arial"/>
                <w:b w:val="false"/>
                <w:bCs w:val="false"/>
                <w:sz w:val="20"/>
                <w:szCs w:val="20"/>
              </w:rPr>
              <w:t xml:space="preserve">Ablaciones y contraste estadístico declarado</w:t>
            </w:r>
          </w:p>
        </w:tc>
      </w:tr>
      <w:tr>
        <w:tc>
          <w:tcPr>
            <w:tcW w:type="dxa" w:w="3000"/>
          </w:tcPr>
          <w:p>
            <w:pPr>
              <w:spacing w:after="0"/>
            </w:pPr>
            <w:r>
              <w:rPr>
                <w:rFonts w:ascii="Arial" w:cs="Arial" w:eastAsia="Arial" w:hAnsi="Arial"/>
                <w:b w:val="false"/>
                <w:bCs w:val="false"/>
                <w:sz w:val="20"/>
                <w:szCs w:val="20"/>
              </w:rPr>
              <w:t xml:space="preserve">Modos de fallo</w:t>
            </w:r>
          </w:p>
        </w:tc>
        <w:tc>
          <w:tcPr>
            <w:tcW w:type="dxa" w:w="3000"/>
          </w:tcPr>
          <w:p>
            <w:pPr>
              <w:spacing w:after="0"/>
            </w:pPr>
            <w:r>
              <w:rPr>
                <w:rFonts w:ascii="Arial" w:cs="Arial" w:eastAsia="Arial" w:hAnsi="Arial"/>
                <w:b w:val="false"/>
                <w:bCs w:val="false"/>
                <w:sz w:val="20"/>
                <w:szCs w:val="20"/>
              </w:rPr>
              <w:t xml:space="preserve">Poco documentados</w:t>
            </w:r>
          </w:p>
        </w:tc>
        <w:tc>
          <w:tcPr>
            <w:tcW w:type="dxa" w:w="3000"/>
          </w:tcPr>
          <w:p>
            <w:pPr>
              <w:spacing w:after="0"/>
            </w:pPr>
            <w:r>
              <w:rPr>
                <w:rFonts w:ascii="Arial" w:cs="Arial" w:eastAsia="Arial" w:hAnsi="Arial"/>
                <w:b w:val="false"/>
                <w:bCs w:val="false"/>
                <w:sz w:val="20"/>
                <w:szCs w:val="20"/>
              </w:rPr>
              <w:t xml:space="preserve">Taxonomía de seis fallos silenciosos, con corrección</w:t>
            </w:r>
          </w:p>
        </w:tc>
      </w:tr>
      <w:tr>
        <w:tc>
          <w:tcPr>
            <w:tcW w:type="dxa" w:w="3000"/>
          </w:tcPr>
          <w:p>
            <w:pPr>
              <w:spacing w:after="0"/>
            </w:pPr>
            <w:r>
              <w:rPr>
                <w:rFonts w:ascii="Arial" w:cs="Arial" w:eastAsia="Arial" w:hAnsi="Arial"/>
                <w:b w:val="false"/>
                <w:bCs w:val="false"/>
                <w:sz w:val="20"/>
                <w:szCs w:val="20"/>
              </w:rPr>
              <w:t xml:space="preserve">Reproducibilidad entre ejecuciones</w:t>
            </w:r>
          </w:p>
        </w:tc>
        <w:tc>
          <w:tcPr>
            <w:tcW w:type="dxa" w:w="3000"/>
          </w:tcPr>
          <w:p>
            <w:pPr>
              <w:spacing w:after="0"/>
            </w:pPr>
            <w:r>
              <w:rPr>
                <w:rFonts w:ascii="Arial" w:cs="Arial" w:eastAsia="Arial" w:hAnsi="Arial"/>
                <w:b w:val="false"/>
                <w:bCs w:val="false"/>
                <w:sz w:val="20"/>
                <w:szCs w:val="20"/>
              </w:rPr>
              <w:t xml:space="preserve">Rara vez medida</w:t>
            </w:r>
          </w:p>
        </w:tc>
        <w:tc>
          <w:tcPr>
            <w:tcW w:type="dxa" w:w="3000"/>
          </w:tcPr>
          <w:p>
            <w:pPr>
              <w:spacing w:after="0"/>
            </w:pPr>
            <w:r>
              <w:rPr>
                <w:rFonts w:ascii="Arial" w:cs="Arial" w:eastAsia="Arial" w:hAnsi="Arial"/>
                <w:b w:val="false"/>
                <w:bCs w:val="false"/>
                <w:sz w:val="20"/>
                <w:szCs w:val="20"/>
              </w:rPr>
              <w:t xml:space="preserve">Medida ante entradas idénticas</w:t>
            </w:r>
          </w:p>
        </w:tc>
      </w:tr>
      <w:tr>
        <w:tc>
          <w:tcPr>
            <w:tcW w:type="dxa" w:w="3000"/>
          </w:tcPr>
          <w:p>
            <w:pPr>
              <w:spacing w:after="0"/>
            </w:pPr>
            <w:r>
              <w:rPr>
                <w:rFonts w:ascii="Arial" w:cs="Arial" w:eastAsia="Arial" w:hAnsi="Arial"/>
                <w:b w:val="false"/>
                <w:bCs w:val="false"/>
                <w:sz w:val="20"/>
                <w:szCs w:val="20"/>
              </w:rPr>
              <w:t xml:space="preserve">Evaluación de la explicación</w:t>
            </w:r>
          </w:p>
        </w:tc>
        <w:tc>
          <w:tcPr>
            <w:tcW w:type="dxa" w:w="3000"/>
          </w:tcPr>
          <w:p>
            <w:pPr>
              <w:spacing w:after="0"/>
            </w:pPr>
            <w:r>
              <w:rPr>
                <w:rFonts w:ascii="Arial" w:cs="Arial" w:eastAsia="Arial" w:hAnsi="Arial"/>
                <w:b w:val="false"/>
                <w:bCs w:val="false"/>
                <w:sz w:val="20"/>
                <w:szCs w:val="20"/>
              </w:rPr>
              <w:t xml:space="preserve">Fidelidad y plausibilidad, propuestas como criterios</w:t>
            </w:r>
          </w:p>
        </w:tc>
        <w:tc>
          <w:tcPr>
            <w:tcW w:type="dxa" w:w="3000"/>
          </w:tcPr>
          <w:p>
            <w:pPr>
              <w:spacing w:after="0"/>
            </w:pPr>
            <w:r>
              <w:rPr>
                <w:rFonts w:ascii="Arial" w:cs="Arial" w:eastAsia="Arial" w:hAnsi="Arial"/>
                <w:b w:val="false"/>
                <w:bCs w:val="false"/>
                <w:sz w:val="20"/>
                <w:szCs w:val="20"/>
              </w:rPr>
              <w:t xml:space="preserve">Medida de consistencia entre explicación y decisión, sobre un sistema en operación</w:t>
            </w:r>
          </w:p>
        </w:tc>
      </w:tr>
    </w:tbl>
    <w:p>
      <w:pPr>
        <w:spacing w:after="160"/>
      </w:pPr>
    </w:p>
    <w:p>
      <w:pPr>
        <w:spacing w:after="160" w:line="360" w:lineRule="auto"/>
        <w:ind w:firstLine="425"/>
        <w:jc w:val="both"/>
      </w:pPr>
      <w:r>
        <w:rPr>
          <w:rFonts w:ascii="Arial" w:cs="Arial" w:eastAsia="Arial" w:hAnsi="Arial"/>
          <w:sz w:val="22"/>
          <w:szCs w:val="22"/>
        </w:rPr>
        <w:t xml:space="preserve">La aportación no es que el sistema detecte mejor el fraude, porque no lo hace. Puede formularse así:</w:t>
      </w:r>
    </w:p>
    <w:p>
      <w:pPr>
        <w:spacing w:after="160" w:line="360" w:lineRule="auto"/>
        <w:ind w:firstLine="425"/>
        <w:jc w:val="both"/>
      </w:pPr>
      <w:r>
        <w:rPr>
          <w:rFonts w:ascii="Arial" w:cs="Arial" w:eastAsia="Arial" w:hAnsi="Arial"/>
          <w:sz w:val="22"/>
          <w:szCs w:val="22"/>
        </w:rPr>
        <w:t xml:space="preserve">&gt; La literatura propone arquitecturas multiagente sobre modelos de lenguaje para tareas financieras, y por separado establece que una explicación puede ser plausible sin ser fiel. Este trabajo mide ambas cosas bajo la restricción de ejecución íntegramente local: cuantifica qué aporta la capa de agentes frente a no tenerla, qué capacidad necesita el modelo para que delegarle autoridad no degrade la detección, y hasta qué punto su explicación escrita se corresponde con la decisión que emite a continuación. El resultado principal es negativo, va acompañado de la declaración de qué contrastes lo respaldan y cuáles no, y se completa con una taxonomía de modos de fallo silencioso observados durante el desarrollo.</w:t>
      </w:r>
    </w:p>
    <w:p>
      <w:pPr>
        <w:spacing w:after="160" w:line="360" w:lineRule="auto"/>
        <w:ind w:firstLine="425"/>
        <w:jc w:val="both"/>
      </w:pPr>
      <w:r>
        <w:rPr>
          <w:rFonts w:ascii="Arial" w:cs="Arial" w:eastAsia="Arial" w:hAnsi="Arial"/>
          <w:sz w:val="22"/>
          <w:szCs w:val="22"/>
        </w:rPr>
        <w:t xml:space="preserve">Un resultado negativo bien medido, con línea base y con el alcance de sus contrastes declarado, constituye una aportación legítima. En un campo donde predominan las propuestas arquitectónicas ilustradas con casos, resulta además menos frecuente que uno positivo.</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ind w:firstLine="425"/>
        <w:jc w:val="both"/>
      </w:pPr>
      <w:r>
        <w:rPr>
          <w:rFonts w:ascii="Arial" w:cs="Arial" w:eastAsia="Arial" w:hAnsi="Arial"/>
          <w:sz w:val="22"/>
          <w:szCs w:val="22"/>
        </w:rPr>
        <w:t xml:space="preserve">El plan acordado distribuía las 300 horas nominales del trabajo entre abril y octubre, con la infraestructura SAP como primera tarea del camino crítico y la redacción concentrada en el tramo final.</w:t>
      </w:r>
    </w:p>
    <w:p>
      <w:pPr>
        <w:spacing w:after="80" w:before="240"/>
        <w:jc w:val="center"/>
      </w:pPr>
      <w:r>
        <w:drawing>
          <wp:inline distT="0" distB="0" distL="0" distR="0">
            <wp:extent cx="54006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238375"/>
                    </a:xfrm>
                    <a:prstGeom prst="rect">
                      <a:avLst/>
                    </a:prstGeom>
                  </pic:spPr>
                </pic:pic>
              </a:graphicData>
            </a:graphic>
          </wp:inline>
        </w:drawing>
      </w:r>
    </w:p>
    <w:p>
      <w:pPr>
        <w:spacing w:after="240"/>
        <w:jc w:val="center"/>
      </w:pPr>
      <w:r>
        <w:rPr>
          <w:i/>
          <w:iCs/>
          <w:sz w:val="20"/>
          <w:szCs w:val="20"/>
        </w:rPr>
        <w:t xml:space="preserve">Figura 2. Planificación inicial acordada el 28 de abril de 2026. Todas las tareas técnicas dependen de la disponibilidad del entorno SAP.</w:t>
      </w:r>
    </w:p>
    <w:p>
      <w:pPr>
        <w:spacing w:after="160" w:line="360" w:lineRule="auto"/>
        <w:ind w:firstLine="425"/>
        <w:jc w:val="both"/>
      </w:pPr>
      <w:r>
        <w:rPr>
          <w:rFonts w:ascii="Arial" w:cs="Arial" w:eastAsia="Arial" w:hAnsi="Arial"/>
          <w:sz w:val="22"/>
          <w:szCs w:val="22"/>
        </w:rPr>
        <w:t xml:space="preserve">La estructura del diagrama muestra por sí sola el problema: cinco de las seis tareas dependen en cadena de un recurso externo sobre el que el proyecto no tenía control alguno.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p>
      <w:pPr>
        <w:spacing w:after="160" w:line="360" w:lineRule="auto"/>
        <w:ind w:firstLine="425"/>
        <w:jc w:val="both"/>
      </w:pPr>
      <w:r>
        <w:rPr>
          <w:rFonts w:ascii="Arial" w:cs="Arial" w:eastAsia="Arial" w:hAnsi="Arial"/>
          <w:sz w:val="22"/>
          <w:szCs w:val="22"/>
        </w:rPr>
        <w:t xml:space="preserve">El seguimiento del esfuerzo no se llevó mediante un parte de horas diario. Se reconstruye aquí a partir de la evidencia que el propio proyecto ha ido dejando: fechas y horas de las entregas al repositorio, marcas de tiempo de los ficheros de resultados, que registran el instante exacto de cada ejecución, y las reuniones mantenidas.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Evidencia</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Reunión de definición y adjudicación registrada</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trabajo</w:t>
            </w:r>
          </w:p>
        </w:tc>
      </w:tr>
      <w:tr>
        <w:tc>
          <w:tcPr>
            <w:tcW w:type="dxa" w:w="1800"/>
          </w:tcPr>
          <w:p>
            <w:pPr>
              <w:spacing w:after="0"/>
            </w:pPr>
            <w:r>
              <w:rPr>
                <w:rFonts w:ascii="Arial" w:cs="Arial" w:eastAsia="Arial" w:hAnsi="Arial"/>
                <w:b w:val="false"/>
                <w:bCs w:val="false"/>
                <w:sz w:val="20"/>
                <w:szCs w:val="20"/>
              </w:rPr>
              <w:t xml:space="preserve">7 jul – 26 jul</w:t>
            </w:r>
          </w:p>
        </w:tc>
        <w:tc>
          <w:tcPr>
            <w:tcW w:type="dxa" w:w="1800"/>
          </w:tcPr>
          <w:p>
            <w:pPr>
              <w:spacing w:after="0"/>
            </w:pPr>
            <w:r>
              <w:rPr>
                <w:rFonts w:ascii="Arial" w:cs="Arial" w:eastAsia="Arial" w:hAnsi="Arial"/>
                <w:b w:val="false"/>
                <w:bCs w:val="false"/>
                <w:sz w:val="20"/>
                <w:szCs w:val="20"/>
              </w:rPr>
              <w:t xml:space="preserve">20</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70 h</w:t>
            </w:r>
          </w:p>
        </w:tc>
        <w:tc>
          <w:tcPr>
            <w:tcW w:type="dxa" w:w="1800"/>
          </w:tcPr>
          <w:p>
            <w:pPr>
              <w:spacing w:after="0"/>
            </w:pPr>
            <w:r>
              <w:rPr>
                <w:rFonts w:ascii="Arial" w:cs="Arial" w:eastAsia="Arial" w:hAnsi="Arial"/>
                <w:b w:val="false"/>
                <w:bCs w:val="false"/>
                <w:sz w:val="20"/>
                <w:szCs w:val="20"/>
              </w:rPr>
              <w:t xml:space="preserve">Instalación del entorno, bloqueo y reorientación</w:t>
            </w:r>
          </w:p>
        </w:tc>
      </w:tr>
      <w:tr>
        <w:tc>
          <w:tcPr>
            <w:tcW w:type="dxa" w:w="1800"/>
          </w:tcPr>
          <w:p>
            <w:pPr>
              <w:spacing w:after="0"/>
            </w:pPr>
            <w:r>
              <w:rPr>
                <w:rFonts w:ascii="Arial" w:cs="Arial" w:eastAsia="Arial" w:hAnsi="Arial"/>
                <w:b w:val="false"/>
                <w:bCs w:val="false"/>
                <w:sz w:val="20"/>
                <w:szCs w:val="20"/>
              </w:rPr>
              <w:t xml:space="preserve">27 jul – 31 jul</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20 h</w:t>
            </w:r>
          </w:p>
        </w:tc>
        <w:tc>
          <w:tcPr>
            <w:tcW w:type="dxa" w:w="1800"/>
          </w:tcPr>
          <w:p>
            <w:pPr>
              <w:spacing w:after="0"/>
            </w:pPr>
            <w:r>
              <w:rPr>
                <w:rFonts w:ascii="Arial" w:cs="Arial" w:eastAsia="Arial" w:hAnsi="Arial"/>
                <w:b w:val="false"/>
                <w:bCs w:val="false"/>
                <w:sz w:val="20"/>
                <w:szCs w:val="20"/>
              </w:rPr>
              <w:t xml:space="preserve">8 entregas y 44 ficheros de resultados</w:t>
            </w:r>
          </w:p>
        </w:tc>
      </w:tr>
      <w:tr>
        <w:tc>
          <w:tcPr>
            <w:tcW w:type="dxa" w:w="1800"/>
          </w:tcPr>
          <w:p>
            <w:pPr>
              <w:spacing w:after="0"/>
            </w:pPr>
            <w:r>
              <w:rPr>
                <w:rFonts w:ascii="Arial" w:cs="Arial" w:eastAsia="Arial" w:hAnsi="Arial"/>
                <w:b w:val="false"/>
                <w:bCs w:val="false"/>
                <w:sz w:val="20"/>
                <w:szCs w:val="20"/>
              </w:rPr>
              <w:t xml:space="preserve">1 ago – 14 ago</w:t>
            </w:r>
          </w:p>
        </w:tc>
        <w:tc>
          <w:tcPr>
            <w:tcW w:type="dxa" w:w="1800"/>
          </w:tcPr>
          <w:p>
            <w:pPr>
              <w:spacing w:after="0"/>
            </w:pPr>
            <w:r>
              <w:rPr>
                <w:rFonts w:ascii="Arial" w:cs="Arial" w:eastAsia="Arial" w:hAnsi="Arial"/>
                <w:b w:val="false"/>
                <w:bCs w:val="false"/>
                <w:sz w:val="20"/>
                <w:szCs w:val="20"/>
              </w:rPr>
              <w:t xml:space="preserve">14</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56 h</w:t>
            </w:r>
          </w:p>
        </w:tc>
        <w:tc>
          <w:tcPr>
            <w:tcW w:type="dxa" w:w="1800"/>
          </w:tcPr>
          <w:p>
            <w:pPr>
              <w:spacing w:after="0"/>
            </w:pPr>
            <w:r>
              <w:rPr>
                <w:rFonts w:ascii="Arial" w:cs="Arial" w:eastAsia="Arial" w:hAnsi="Arial"/>
                <w:b w:val="false"/>
                <w:bCs w:val="false"/>
                <w:sz w:val="20"/>
                <w:szCs w:val="20"/>
              </w:rPr>
              <w:t xml:space="preserve">14 entregas, 64 ficheros de resultados, 13.831 líneas</w:t>
            </w:r>
          </w:p>
        </w:tc>
      </w:tr>
      <w:tr>
        <w:tc>
          <w:tcPr>
            <w:tcW w:type="dxa" w:w="1800"/>
          </w:tcPr>
          <w:p>
            <w:pPr>
              <w:spacing w:after="0"/>
            </w:pPr>
            <w:r>
              <w:rPr>
                <w:rFonts w:ascii="Arial" w:cs="Arial" w:eastAsia="Arial" w:hAnsi="Arial"/>
                <w:b w:val="false"/>
                <w:bCs w:val="false"/>
                <w:sz w:val="20"/>
                <w:szCs w:val="20"/>
              </w:rPr>
              <w:t xml:space="preserve">15 ago – 30 ago</w:t>
            </w:r>
          </w:p>
        </w:tc>
        <w:tc>
          <w:tcPr>
            <w:tcW w:type="dxa" w:w="1800"/>
          </w:tcPr>
          <w:p>
            <w:pPr>
              <w:spacing w:after="0"/>
            </w:pPr>
            <w:r>
              <w:rPr>
                <w:rFonts w:ascii="Arial" w:cs="Arial" w:eastAsia="Arial" w:hAnsi="Arial"/>
                <w:b w:val="false"/>
                <w:bCs w:val="false"/>
                <w:sz w:val="20"/>
                <w:szCs w:val="20"/>
              </w:rPr>
              <w:t xml:space="preserve">16</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 60 h (estimación)</w:t>
            </w:r>
          </w:p>
        </w:tc>
        <w:tc>
          <w:tcPr>
            <w:tcW w:type="dxa" w:w="1800"/>
          </w:tcPr>
          <w:p>
            <w:pPr>
              <w:spacing w:after="0"/>
            </w:pPr>
            <w:r>
              <w:rPr>
                <w:rFonts w:ascii="Arial" w:cs="Arial" w:eastAsia="Arial" w:hAnsi="Arial"/>
                <w:b w:val="false"/>
                <w:bCs w:val="false"/>
                <w:sz w:val="20"/>
                <w:szCs w:val="20"/>
              </w:rPr>
              <w:t xml:space="preserve">Demostrador web, 19 capturas, dataset Sparkov, ajuste QLoRA, comparativa con AirLLM</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**125**</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 211 h**</w:t>
            </w:r>
          </w:p>
        </w:tc>
        <w:tc>
          <w:tcPr>
            <w:tcW w:type="dxa" w:w="1800"/>
          </w:tcPr>
          <w:p>
            <w:pPr>
              <w:spacing w:after="0"/>
            </w:pPr>
            <w:r>
              <w:rPr>
                <w:rFonts w:ascii="Arial" w:cs="Arial" w:eastAsia="Arial" w:hAnsi="Arial"/>
                <w:b w:val="false"/>
                <w:bCs w:val="false"/>
                <w:sz w:val="20"/>
                <w:szCs w:val="20"/>
              </w:rPr>
              <w:t xml:space="preserve">**≥ 70 %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Las franjas horarias que registran los ficheros de resultados delimitan las jornadas del último tramo: entre el 2 y el 6 de agosto hay actividad desde las 00:57 hasta las 21:31 según el día. En ese periodo se cerró el objetivo específico 4 —incluida una ejecución desatendida de siete horas y cuarenta minutos—, se construyeron dos guiones de experimentación completos, se leyeron cinco trabajos de la literatura y se redactó la memoria.</w:t>
      </w:r>
    </w:p>
    <w:p>
      <w:pPr>
        <w:spacing w:after="160" w:line="360" w:lineRule="auto"/>
        <w:ind w:firstLine="425"/>
        <w:jc w:val="both"/>
      </w:pPr>
      <w:r>
        <w:rPr>
          <w:rFonts w:ascii="Arial" w:cs="Arial" w:eastAsia="Arial" w:hAnsi="Arial"/>
          <w:sz w:val="22"/>
          <w:szCs w:val="22"/>
        </w:rPr>
        <w:t xml:space="preserve">El tramo del 15 al 30 de agosto no se reconstruye con el mismo detalle que los anteriores: la evidencia documental (commits del 18, 20, 21, 25 y 26 de agosto; entrenamiento QLoRA de 29,6 horas, con dos apagones del equipo de por medio; ejecución de AirLLM de 2 h 28 min) confirma en qué días hubo trabajo, pero no cuántas horas activas exactamente, y de ese entrenamiento y esa ejecución la mayor parte fue cómputo desatendido y no dedicación. La cifra de 60 horas es una estimación propia a la baja, no una reconstrucción a partir de registros.</w:t>
      </w:r>
    </w:p>
    <w:p>
      <w:pPr>
        <w:pStyle w:val="Heading3"/>
        <w:spacing w:after="200" w:before="360"/>
      </w:pPr>
      <w:r>
        <w:rPr>
          <w:rFonts w:ascii="Arial" w:cs="Arial" w:eastAsia="Arial" w:hAnsi="Arial"/>
          <w:b/>
          <w:bCs/>
          <w:color w:val="000000"/>
          <w:sz w:val="24"/>
          <w:szCs w:val="24"/>
        </w:rPr>
        <w:t xml:space="preserve">Sobre la desviación</w:t>
      </w:r>
    </w:p>
    <w:p>
      <w:pPr>
        <w:spacing w:after="160" w:line="360" w:lineRule="auto"/>
        <w:ind w:firstLine="425"/>
        <w:jc w:val="both"/>
      </w:pPr>
      <w:r>
        <w:rPr>
          <w:rFonts w:ascii="Arial" w:cs="Arial" w:eastAsia="Arial" w:hAnsi="Arial"/>
          <w:sz w:val="22"/>
          <w:szCs w:val="22"/>
        </w:rPr>
        <w:t xml:space="preserve">El proyecto se sitúa a mitad de la dedicación nominal con la fase experimental cerrada. La explicación está en el capítulo 4: al desaparecer la dependencia del entorno externo, el desarrollo técnico que la planificación inicial situaba en cuatro meses se resolvió en poco más de dos semanas. La reorientación, que fue el mayor contratiempo del proyecto, redujo a la vez su coste de ejecución.</w:t>
      </w:r>
    </w:p>
    <w:p>
      <w:pPr>
        <w:spacing w:after="160" w:line="360" w:lineRule="auto"/>
        <w:ind w:firstLine="425"/>
        <w:jc w:val="both"/>
      </w:pPr>
      <w:r>
        <w:rPr>
          <w:rFonts w:ascii="Arial" w:cs="Arial" w:eastAsia="Arial" w:hAnsi="Arial"/>
          <w:sz w:val="22"/>
          <w:szCs w:val="22"/>
        </w:rPr>
        <w:t xml:space="preserve">El esfuerzo restante se destina a la extensión descrita en 3.7 y a la redacción, revisión y preparación de la defensa.</w:t>
      </w:r>
    </w:p>
    <w:p>
      <w:pPr>
        <w:pStyle w:val="Heading2"/>
        <w:spacing w:after="200" w:before="360"/>
      </w:pPr>
      <w:r>
        <w:rPr>
          <w:rFonts w:ascii="Arial" w:cs="Arial" w:eastAsia="Arial" w:hAnsi="Arial"/>
          <w:b/>
          <w:bCs/>
          <w:color w:val="000000"/>
          <w:sz w:val="26"/>
          <w:szCs w:val="26"/>
        </w:rPr>
        <w:t xml:space="preserve">3.7 Plan hasta el cierre</w:t>
      </w:r>
    </w:p>
    <w:p>
      <w:pPr>
        <w:spacing w:after="80" w:before="240"/>
        <w:jc w:val="center"/>
      </w:pPr>
      <w:r>
        <w:drawing>
          <wp:inline distT="0" distB="0" distL="0" distR="0">
            <wp:extent cx="54006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714625"/>
                    </a:xfrm>
                    <a:prstGeom prst="rect">
                      <a:avLst/>
                    </a:prstGeom>
                  </pic:spPr>
                </pic:pic>
              </a:graphicData>
            </a:graphic>
          </wp:inline>
        </w:drawing>
      </w:r>
    </w:p>
    <w:p>
      <w:pPr>
        <w:spacing w:after="240"/>
        <w:jc w:val="center"/>
      </w:pPr>
      <w:r>
        <w:rPr>
          <w:i/>
          <w:iCs/>
          <w:sz w:val="20"/>
          <w:szCs w:val="20"/>
        </w:rPr>
        <w:t xml:space="preserve">Figura 3. Ejecución real y plan hasta el cierre. En rojo, el bloqueo del entorno y la reorientación consiguiente.</w:t>
      </w:r>
    </w:p>
    <w:p>
      <w:pPr>
        <w:spacing w:after="160" w:line="360" w:lineRule="auto"/>
        <w:ind w:firstLine="425"/>
        <w:jc w:val="both"/>
      </w:pPr>
      <w:r>
        <w:rPr>
          <w:rFonts w:ascii="Arial" w:cs="Arial" w:eastAsia="Arial" w:hAnsi="Arial"/>
          <w:sz w:val="22"/>
          <w:szCs w:val="22"/>
        </w:rPr>
        <w:t xml:space="preserve">La comparación entre ambos diagramas resume la gestión del proyecto. La interrupción de mayo a julio consumió el margen previsto; el bloqueo del entorno obligó a reorientar el trabajo en diez días; y el desarrollo técnico, que en el plan inicial ocupaba cuatro meses, se resolvió en poco más de dos semanas al desaparecer la dependencia externa.</w:t>
      </w:r>
    </w:p>
    <w:p>
      <w:pPr>
        <w:spacing w:after="160" w:line="360" w:lineRule="auto"/>
        <w:ind w:firstLine="425"/>
        <w:jc w:val="both"/>
      </w:pPr>
      <w:r>
        <w:rPr>
          <w:rFonts w:ascii="Arial" w:cs="Arial" w:eastAsia="Arial" w:hAnsi="Arial"/>
          <w:sz w:val="22"/>
          <w:szCs w:val="22"/>
        </w:rPr>
        <w:t xml:space="preserve">El plan restante invierte la proporción entre experimentación y redacción respecto a lo hecho hasta ahora, por una razón deliberada: la fase experimental está cerrada y el riesgo dominante pasa a ser la subestimación del tiempo de escritura.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80" w:before="240"/>
        <w:jc w:val="center"/>
      </w:pPr>
      <w:r>
        <w:drawing>
          <wp:inline distT="0" distB="0" distL="0" distR="0">
            <wp:extent cx="5400675" cy="1233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2334875"/>
                    </a:xfrm>
                    <a:prstGeom prst="rect">
                      <a:avLst/>
                    </a:prstGeom>
                  </pic:spPr>
                </pic:pic>
              </a:graphicData>
            </a:graphic>
          </wp:inline>
        </w:drawing>
      </w:r>
    </w:p>
    <w:p>
      <w:pPr>
        <w:spacing w:after="240"/>
        <w:jc w:val="center"/>
      </w:pPr>
      <w:r>
        <w:rPr>
          <w:i/>
          <w:iCs/>
          <w:sz w:val="20"/>
          <w:szCs w:val="20"/>
        </w:rPr>
        <w:t xml:space="preserve">Figura 4. Arquitectura del sistema y recorrido completo de un turno. En azul los componentes deterministas, en rojo los estocásticos y en verde la comprobación automática.</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80" w:before="240"/>
        <w:jc w:val="center"/>
      </w:pPr>
      <w:r>
        <w:drawing>
          <wp:inline distT="0" distB="0" distL="0" distR="0">
            <wp:extent cx="5400675" cy="718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181850"/>
                    </a:xfrm>
                    <a:prstGeom prst="rect">
                      <a:avLst/>
                    </a:prstGeom>
                  </pic:spPr>
                </pic:pic>
              </a:graphicData>
            </a:graphic>
          </wp:inline>
        </w:drawing>
      </w:r>
    </w:p>
    <w:p>
      <w:pPr>
        <w:spacing w:after="240"/>
        <w:jc w:val="center"/>
      </w:pPr>
      <w:r>
        <w:rPr>
          <w:i/>
          <w:iCs/>
          <w:sz w:val="20"/>
          <w:szCs w:val="20"/>
        </w:rPr>
        <w:t xml:space="preserve">Figura 5. Recorrido de un caso individual. El Investigador produce dos salidas, el párrafo explicativo y el veredicto, que alimentan destinos distintos: la sección 5.12 muestra que no se corresponden entre sí.</w:t>
      </w:r>
    </w:p>
    <w:p>
      <w:pPr>
        <w:spacing w:after="80" w:before="240"/>
        <w:jc w:val="center"/>
      </w:pPr>
      <w:r>
        <w:drawing>
          <wp:inline distT="0" distB="0" distL="0" distR="0">
            <wp:extent cx="540067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419600"/>
                    </a:xfrm>
                    <a:prstGeom prst="rect">
                      <a:avLst/>
                    </a:prstGeom>
                  </pic:spPr>
                </pic:pic>
              </a:graphicData>
            </a:graphic>
          </wp:inline>
        </w:drawing>
      </w:r>
    </w:p>
    <w:p>
      <w:pPr>
        <w:spacing w:after="240"/>
        <w:jc w:val="center"/>
      </w:pPr>
      <w:r>
        <w:rPr>
          <w:i/>
          <w:iCs/>
          <w:sz w:val="20"/>
          <w:szCs w:val="20"/>
        </w:rPr>
        <w:t xml:space="preserve">Figura 6. El caso 55 en el demostrador: a la izquierda, lo que calcula el detector; a la derecha, el dossier literal que recibe el modelo. Probabilidad 0,067, importe 2,22 EUR, y es fraude real.</w:t>
      </w: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7. Distribución de importes por clase sobre el conjunto completo. El escalón vertical del panel izquierdo corresponde a las transacciones de exactamente un euro: un tercio de los fraudes lo son.</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spacing w:after="80" w:before="240"/>
        <w:jc w:val="center"/>
      </w:pPr>
      <w:r>
        <w:drawing>
          <wp:inline distT="0" distB="0" distL="0" distR="0">
            <wp:extent cx="54006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1914525"/>
                    </a:xfrm>
                    <a:prstGeom prst="rect">
                      <a:avLst/>
                    </a:prstGeom>
                  </pic:spPr>
                </pic:pic>
              </a:graphicData>
            </a:graphic>
          </wp:inline>
        </w:drawing>
      </w:r>
    </w:p>
    <w:p>
      <w:pPr>
        <w:spacing w:after="240"/>
        <w:jc w:val="center"/>
      </w:pPr>
      <w:r>
        <w:rPr>
          <w:i/>
          <w:iCs/>
          <w:sz w:val="20"/>
          <w:szCs w:val="20"/>
        </w:rPr>
        <w:t xml:space="preserve">Figura 8. Métricas de los tres detectores en ambas particiones, reimpresas desde el fichero de resultados del entrenamiento.</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spacing w:after="160" w:line="360" w:lineRule="auto"/>
        <w:ind w:firstLine="425"/>
        <w:jc w:val="both"/>
      </w:pPr>
      <w:r>
        <w:rPr>
          <w:rFonts w:ascii="Arial" w:cs="Arial" w:eastAsia="Arial" w:hAnsi="Arial"/>
          <w:b/>
          <w:bCs/>
          <w:sz w:val="22"/>
          <w:szCs w:val="22"/>
        </w:rPr>
        <w:t xml:space="preserve">Conviene precisar qué modelo opera realmente el sistema, porque los tres se entrenan y ninguna sección lo dice de forma explícita hasta ahora: XGBoost, y solo XGBoost.</w:t>
      </w:r>
      <w:r>
        <w:rPr>
          <w:rFonts w:ascii="Arial" w:cs="Arial" w:eastAsia="Arial" w:hAnsi="Arial"/>
          <w:sz w:val="22"/>
          <w:szCs w:val="22"/>
        </w:rPr>
        <w:t xml:space="preserve"> Es el que puntúa cada transacción y el que calcula, mediante Shapley, las contribuciones por variable que se inyectan en el expediente de los agentes. El Isolation Forest se calcula en cada puntuación pero su resultado no llega a la capa 2. Random Forest no se carga en ningún momento del flujo operativo: existe únicamente como término de comparación, aquí y en 5.1, para justificar o matizar con datos la elección de XGBoost, no como una alternativa desplegada.</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spacing w:after="80" w:before="240"/>
        <w:jc w:val="center"/>
      </w:pPr>
      <w:r>
        <w:drawing>
          <wp:inline distT="0" distB="0" distL="0" distR="0">
            <wp:extent cx="540067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695575"/>
                    </a:xfrm>
                    <a:prstGeom prst="rect">
                      <a:avLst/>
                    </a:prstGeom>
                  </pic:spPr>
                </pic:pic>
              </a:graphicData>
            </a:graphic>
          </wp:inline>
        </w:drawing>
      </w:r>
    </w:p>
    <w:p>
      <w:pPr>
        <w:spacing w:after="240"/>
        <w:jc w:val="center"/>
      </w:pPr>
      <w:r>
        <w:rPr>
          <w:i/>
          <w:iCs/>
          <w:sz w:val="20"/>
          <w:szCs w:val="20"/>
        </w:rPr>
        <w:t xml:space="preserve">Figura 9. Traza de CrewAI durante una ejecución: el Coordinador entrega su resumen del lote y el Analista de datos toma el turno.</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80" w:before="240"/>
        <w:jc w:val="center"/>
      </w:pPr>
      <w:r>
        <w:drawing>
          <wp:inline distT="0" distB="0" distL="0" distR="0">
            <wp:extent cx="54006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4781550"/>
                    </a:xfrm>
                    <a:prstGeom prst="rect">
                      <a:avLst/>
                    </a:prstGeom>
                  </pic:spPr>
                </pic:pic>
              </a:graphicData>
            </a:graphic>
          </wp:inline>
        </w:drawing>
      </w:r>
    </w:p>
    <w:p>
      <w:pPr>
        <w:spacing w:after="240"/>
        <w:jc w:val="center"/>
      </w:pPr>
      <w:r>
        <w:rPr>
          <w:i/>
          <w:iCs/>
          <w:sz w:val="20"/>
          <w:szCs w:val="20"/>
        </w:rPr>
        <w:t xml:space="preserve">Figura 10. Construcción y puntuación del turno de evaluación: 32.791 transacciones y 54 fraudes, de los que el detector eleva 55 casos con 44 fraudes en 268 ms.</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p>
      <w:pPr>
        <w:spacing w:after="160" w:line="360" w:lineRule="auto"/>
        <w:ind w:firstLine="425"/>
        <w:jc w:val="both"/>
      </w:pPr>
      <w:r>
        <w:rPr>
          <w:rFonts w:ascii="Arial" w:cs="Arial" w:eastAsia="Arial" w:hAnsi="Arial"/>
          <w:sz w:val="22"/>
          <w:szCs w:val="22"/>
        </w:rPr>
        <w:t xml:space="preserve">Cada turno se identifica por su </w:t>
      </w:r>
      <w:r>
        <w:rPr>
          <w:rFonts w:ascii="Arial" w:cs="Arial" w:eastAsia="Arial" w:hAnsi="Arial"/>
          <w:b/>
          <w:bCs/>
          <w:sz w:val="22"/>
          <w:szCs w:val="22"/>
        </w:rPr>
        <w:t xml:space="preserve">desplazamiento</w:t>
      </w:r>
      <w:r>
        <w:rPr>
          <w:rFonts w:ascii="Arial" w:cs="Arial" w:eastAsia="Arial" w:hAnsi="Arial"/>
          <w:sz w:val="22"/>
          <w:szCs w:val="22"/>
        </w:rPr>
        <w:t xml:space="preserve"> respecto al inicio del periodo de prueba, no por una hora del día: el turno de 0 h cubre las cuatro primeras horas del periodo, el de 1 h va de la hora 1 a la 5, el de 2 h de la 2 a la 6, y así sucesivamente. Como el periodo de prueba dura menos de ocho horas en total, turnos consecutivos comparten aproximadamente la mitad de sus transacciones.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Desplazamiento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Al solaparse, los cuatro turnos no constituyen muestras independientes entre sí. Es una limitación declarada en el capítulo 6, junto a la relacionada con las repeticiones dentro de cada turno: con temperatura 0,1 son casi idénticas entre sí, de modo que el número de observaciones verdaderamente independientes en las comparativas del capítulo 5 es más cercano a cuatro que al total de ejecuciones.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80" w:before="240"/>
        <w:jc w:val="center"/>
      </w:pPr>
      <w:r>
        <w:drawing>
          <wp:inline distT="0" distB="0" distL="0" distR="0">
            <wp:extent cx="5400675"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5314950"/>
                    </a:xfrm>
                    <a:prstGeom prst="rect">
                      <a:avLst/>
                    </a:prstGeom>
                  </pic:spPr>
                </pic:pic>
              </a:graphicData>
            </a:graphic>
          </wp:inline>
        </w:drawing>
      </w:r>
    </w:p>
    <w:p>
      <w:pPr>
        <w:spacing w:after="240"/>
        <w:jc w:val="center"/>
      </w:pPr>
      <w:r>
        <w:rPr>
          <w:i/>
          <w:iCs/>
          <w:sz w:val="20"/>
          <w:szCs w:val="20"/>
        </w:rPr>
        <w:t xml:space="preserve">Figura 11. Auditoría de un informe en modo revisa: cobertura del 98 % y aviso de que 21 casos quedaron sin veredicto y conservan la decisión del detector.</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4.7 Demostrador web</w:t>
      </w:r>
    </w:p>
    <w:p>
      <w:pPr>
        <w:spacing w:after="160" w:line="360" w:lineRule="auto"/>
        <w:ind w:firstLine="425"/>
        <w:jc w:val="both"/>
      </w:pPr>
      <w:r>
        <w:rPr>
          <w:rFonts w:ascii="Arial" w:cs="Arial" w:eastAsia="Arial" w:hAnsi="Arial"/>
          <w:sz w:val="22"/>
          <w:szCs w:val="22"/>
        </w:rPr>
        <w:t xml:space="preserve">El sistema se acompaña de una aplicación web local, construida sobre FastAPI, que hace visible lo que los capítulos 5 y 6 miden. No reimplementa nada: invoca las mismas funciones que los guiones de experimentación, de modo que lo que se muestra en pantalla es el sistema y no una maqueta que pudiera divergir de él.</w:t>
      </w:r>
    </w:p>
    <w:p>
      <w:pPr>
        <w:spacing w:after="160" w:line="360" w:lineRule="auto"/>
        <w:ind w:firstLine="425"/>
        <w:jc w:val="both"/>
      </w:pPr>
      <w:r>
        <w:rPr>
          <w:rFonts w:ascii="Arial" w:cs="Arial" w:eastAsia="Arial" w:hAnsi="Arial"/>
          <w:sz w:val="22"/>
          <w:szCs w:val="22"/>
        </w:rPr>
        <w:t xml:space="preserve">Consta de cuatro pantallas que siguen el recorrido de un turno. La primera construye el turno, lo puntúa y presenta el expediente, mostrando la clase real de cada caso en una columna que el sistema nunca ve y que existe únicamente para poder juzgar sus decisiones. La segunda enseña un caso tal como lo calcula el detector y, al lado, el texto exacto que se incrusta en el enunciado del modelo, con un selector que reproduce en vivo los tres niveles de la ablación del expediente. La tercera ejecuta el Investigador sobre un caso individual y presenta sus dos salidas —el párrafo explicativo y el veredicto— en columnas separadas, precisamente porque el resultado central del trabajo es que no siempre se corresponden. La cuarta ejecuta el departamento completo y somete el informe al auditor.</w:t>
      </w:r>
    </w:p>
    <w:p>
      <w:pPr>
        <w:spacing w:after="80" w:before="240"/>
        <w:jc w:val="center"/>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2114550"/>
                    </a:xfrm>
                    <a:prstGeom prst="rect">
                      <a:avLst/>
                    </a:prstGeom>
                  </pic:spPr>
                </pic:pic>
              </a:graphicData>
            </a:graphic>
          </wp:inline>
        </w:drawing>
      </w:r>
    </w:p>
    <w:p>
      <w:pPr>
        <w:spacing w:after="240"/>
        <w:jc w:val="center"/>
      </w:pPr>
      <w:r>
        <w:rPr>
          <w:i/>
          <w:iCs/>
          <w:sz w:val="20"/>
          <w:szCs w:val="20"/>
        </w:rPr>
        <w:t xml:space="preserve">Figura 12. Pantalla inicial del demostrador, con los indicadores de entorno y las cuatro etapas del recorrido.</w:t>
      </w:r>
    </w:p>
    <w:p>
      <w:pPr>
        <w:pStyle w:val="Heading3"/>
        <w:spacing w:after="200" w:before="360"/>
      </w:pPr>
      <w:r>
        <w:rPr>
          <w:rFonts w:ascii="Arial" w:cs="Arial" w:eastAsia="Arial" w:hAnsi="Arial"/>
          <w:b/>
          <w:bCs/>
          <w:color w:val="000000"/>
          <w:sz w:val="24"/>
          <w:szCs w:val="24"/>
        </w:rPr>
        <w:t xml:space="preserve">Lo que su construcción enseñó</w:t>
      </w:r>
    </w:p>
    <w:p>
      <w:pPr>
        <w:spacing w:after="160" w:line="360" w:lineRule="auto"/>
        <w:ind w:firstLine="425"/>
        <w:jc w:val="both"/>
      </w:pPr>
      <w:r>
        <w:rPr>
          <w:rFonts w:ascii="Arial" w:cs="Arial" w:eastAsia="Arial" w:hAnsi="Arial"/>
          <w:sz w:val="22"/>
          <w:szCs w:val="22"/>
        </w:rPr>
        <w:t xml:space="preserve">El demostrador se validó con un plan de catorce pruebas, y esa validación encontró seis defectos en el propio demostrador antes de darlo por bueno. Ninguno lanzaba errores; todos producían pantallas de apariencia correcta. Tres merecen mención porque reproducen, en una interfaz de apenas mil líneas, la taxonomía de fallos del sistema principal.</w:t>
      </w:r>
    </w:p>
    <w:p>
      <w:pPr>
        <w:spacing w:after="160" w:line="360" w:lineRule="auto"/>
        <w:ind w:firstLine="425"/>
        <w:jc w:val="both"/>
      </w:pPr>
      <w:r>
        <w:rPr>
          <w:rFonts w:ascii="Arial" w:cs="Arial" w:eastAsia="Arial" w:hAnsi="Arial"/>
          <w:sz w:val="22"/>
          <w:szCs w:val="22"/>
        </w:rPr>
        <w:t xml:space="preserve">El estado del turno vivía en el servidor y el navegador lo olvidaba al recargar la página, de modo que la interfaz reclamaba casos de un expediente que creía tener mientras el servidor operaba con otro. El mensaje resultante —«el caso 55 no existe»— era técnicamente cierto e inducía a error, porque callaba el dato que lo explicaba.</w:t>
      </w:r>
    </w:p>
    <w:p>
      <w:pPr>
        <w:spacing w:after="160" w:line="360" w:lineRule="auto"/>
        <w:ind w:firstLine="425"/>
        <w:jc w:val="both"/>
      </w:pPr>
      <w:r>
        <w:rPr>
          <w:rFonts w:ascii="Arial" w:cs="Arial" w:eastAsia="Arial" w:hAnsi="Arial"/>
          <w:sz w:val="22"/>
          <w:szCs w:val="22"/>
        </w:rPr>
        <w:t xml:space="preserve">El auditor de informes recibía identificadores reales de transacción cuando el informe cita números de caso, y un informe perfectamente válido aparecía con cobertura nula y cincuenta y cinco citas marcadas como inexistentes.</w:t>
      </w:r>
    </w:p>
    <w:p>
      <w:pPr>
        <w:spacing w:after="160" w:line="360" w:lineRule="auto"/>
        <w:ind w:firstLine="425"/>
        <w:jc w:val="both"/>
      </w:pPr>
      <w:r>
        <w:rPr>
          <w:rFonts w:ascii="Arial" w:cs="Arial" w:eastAsia="Arial" w:hAnsi="Arial"/>
          <w:sz w:val="22"/>
          <w:szCs w:val="22"/>
        </w:rPr>
        <w:t xml:space="preserve">Y una respuesta truncada por el límite de tokens resultaba indistinguible de una respuesta en la que el modelo hubiera omitido el veredicto, hasta que se incorporó la lectura del motivo de parada que el servidor de modelos declara.</w:t>
      </w:r>
    </w:p>
    <w:p>
      <w:pPr>
        <w:spacing w:after="160" w:line="360" w:lineRule="auto"/>
        <w:ind w:firstLine="425"/>
        <w:jc w:val="both"/>
      </w:pPr>
      <w:r>
        <w:rPr>
          <w:rFonts w:ascii="Arial" w:cs="Arial" w:eastAsia="Arial" w:hAnsi="Arial"/>
          <w:sz w:val="22"/>
          <w:szCs w:val="22"/>
        </w:rPr>
        <w:t xml:space="preserve">Las pruebas aportaron además un dato experimental nuevo: el agotamiento del presupuesto de generación en el razonamiento previo, que la sección 6.2.5 documentaba para un modelo concreto, se reprodujo con un segundo modelo de otra familia. No es la rareza de un modelo: es una propiedad de la clase de modelos de razonamiento, y afecta a dos de los diez instalados en el equipo de pruebas.</w:t>
      </w:r>
    </w:p>
    <w:p>
      <w:pPr>
        <w:pStyle w:val="Heading2"/>
        <w:spacing w:after="200" w:before="360"/>
      </w:pPr>
      <w:r>
        <w:rPr>
          <w:rFonts w:ascii="Arial" w:cs="Arial" w:eastAsia="Arial" w:hAnsi="Arial"/>
          <w:b/>
          <w:bCs/>
          <w:color w:val="000000"/>
          <w:sz w:val="26"/>
          <w:szCs w:val="26"/>
        </w:rPr>
        <w:t xml:space="preserve">4.8 Seguimiento del desarrollo</w:t>
      </w:r>
    </w:p>
    <w:p>
      <w:pPr>
        <w:spacing w:after="80" w:before="240"/>
        <w:jc w:val="center"/>
      </w:pPr>
      <w:r>
        <w:drawing>
          <wp:inline distT="0" distB="0" distL="0" distR="0">
            <wp:extent cx="540067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762250"/>
                    </a:xfrm>
                    <a:prstGeom prst="rect">
                      <a:avLst/>
                    </a:prstGeom>
                  </pic:spPr>
                </pic:pic>
              </a:graphicData>
            </a:graphic>
          </wp:inline>
        </w:drawing>
      </w:r>
    </w:p>
    <w:p>
      <w:pPr>
        <w:spacing w:after="240"/>
        <w:jc w:val="center"/>
      </w:pPr>
      <w:r>
        <w:rPr>
          <w:i/>
          <w:iCs/>
          <w:sz w:val="20"/>
          <w:szCs w:val="20"/>
        </w:rPr>
        <w:t xml:space="preserve">Figura 13. Historial del repositorio: cada fase del desarrollo corresponde a una entrega trazable.</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9</w:t>
            </w:r>
          </w:p>
        </w:tc>
        <w:tc>
          <w:tcPr>
            <w:tcW w:type="dxa" w:w="4500"/>
            <w:shd w:fill="D9D9D9" w:val="clear"/>
          </w:tcPr>
          <w:p>
            <w:pPr>
              <w:spacing w:after="0"/>
            </w:pPr>
            <w:r>
              <w:rPr>
                <w:rFonts w:ascii="Arial" w:cs="Arial" w:eastAsia="Arial" w:hAnsi="Arial"/>
                <w:b/>
                <w:bCs/>
                <w:sz w:val="20"/>
                <w:szCs w:val="20"/>
              </w:rPr>
              <w:t xml:space="preserve">Búsqueda de hiperparámetros y comparativa con Random Forest</w:t>
            </w:r>
          </w:p>
        </w:tc>
      </w:tr>
      <w:tr>
        <w:tc>
          <w:tcPr>
            <w:tcW w:type="dxa" w:w="4500"/>
          </w:tcPr>
          <w:p>
            <w:pPr>
              <w:spacing w:after="0"/>
            </w:pPr>
            <w:r>
              <w:rPr>
                <w:rFonts w:ascii="Arial" w:cs="Arial" w:eastAsia="Arial" w:hAnsi="Arial"/>
                <w:b w:val="false"/>
                <w:bCs w:val="false"/>
                <w:sz w:val="20"/>
                <w:szCs w:val="20"/>
              </w:rPr>
              <w:t xml:space="preserve">10</w:t>
            </w:r>
          </w:p>
        </w:tc>
        <w:tc>
          <w:tcPr>
            <w:tcW w:type="dxa" w:w="4500"/>
          </w:tcPr>
          <w:p>
            <w:pPr>
              <w:spacing w:after="0"/>
            </w:pPr>
            <w:r>
              <w:rPr>
                <w:rFonts w:ascii="Arial" w:cs="Arial" w:eastAsia="Arial" w:hAnsi="Arial"/>
                <w:b w:val="false"/>
                <w:bCs w:val="false"/>
                <w:sz w:val="20"/>
                <w:szCs w:val="20"/>
              </w:rPr>
              <w:t xml:space="preserve">Ablación del desbalanceo y de los grupos de variables</w:t>
            </w:r>
          </w:p>
        </w:tc>
      </w:tr>
      <w:tr>
        <w:tc>
          <w:tcPr>
            <w:tcW w:type="dxa" w:w="4500"/>
          </w:tcPr>
          <w:p>
            <w:pPr>
              <w:spacing w:after="0"/>
            </w:pPr>
            <w:r>
              <w:rPr>
                <w:rFonts w:ascii="Arial" w:cs="Arial" w:eastAsia="Arial" w:hAnsi="Arial"/>
                <w:b w:val="false"/>
                <w:bCs w:val="false"/>
                <w:sz w:val="20"/>
                <w:szCs w:val="20"/>
              </w:rPr>
              <w:t xml:space="preserve">11</w:t>
            </w:r>
          </w:p>
        </w:tc>
        <w:tc>
          <w:tcPr>
            <w:tcW w:type="dxa" w:w="4500"/>
          </w:tcPr>
          <w:p>
            <w:pPr>
              <w:spacing w:after="0"/>
            </w:pPr>
            <w:r>
              <w:rPr>
                <w:rFonts w:ascii="Arial" w:cs="Arial" w:eastAsia="Arial" w:hAnsi="Arial"/>
                <w:b w:val="false"/>
                <w:bCs w:val="false"/>
                <w:sz w:val="20"/>
                <w:szCs w:val="20"/>
              </w:rPr>
              <w:t xml:space="preserve">Ablación del expediente en tres niveles de información</w:t>
            </w:r>
          </w:p>
        </w:tc>
      </w:tr>
      <w:tr>
        <w:tc>
          <w:tcPr>
            <w:tcW w:type="dxa" w:w="4500"/>
          </w:tcPr>
          <w:p>
            <w:pPr>
              <w:spacing w:after="0"/>
            </w:pPr>
            <w:r>
              <w:rPr>
                <w:rFonts w:ascii="Arial" w:cs="Arial" w:eastAsia="Arial" w:hAnsi="Arial"/>
                <w:b w:val="false"/>
                <w:bCs w:val="false"/>
                <w:sz w:val="20"/>
                <w:szCs w:val="20"/>
              </w:rPr>
              <w:t xml:space="preserve">12</w:t>
            </w:r>
          </w:p>
        </w:tc>
        <w:tc>
          <w:tcPr>
            <w:tcW w:type="dxa" w:w="4500"/>
          </w:tcPr>
          <w:p>
            <w:pPr>
              <w:spacing w:after="0"/>
            </w:pPr>
            <w:r>
              <w:rPr>
                <w:rFonts w:ascii="Arial" w:cs="Arial" w:eastAsia="Arial" w:hAnsi="Arial"/>
                <w:b w:val="false"/>
                <w:bCs w:val="false"/>
                <w:sz w:val="20"/>
                <w:szCs w:val="20"/>
              </w:rPr>
              <w:t xml:space="preserve">Comparativa de modelos sobre turnos reales, con contraste</w:t>
            </w:r>
          </w:p>
        </w:tc>
      </w:tr>
      <w:tr>
        <w:tc>
          <w:tcPr>
            <w:tcW w:type="dxa" w:w="4500"/>
          </w:tcPr>
          <w:p>
            <w:pPr>
              <w:spacing w:after="0"/>
            </w:pPr>
            <w:r>
              <w:rPr>
                <w:rFonts w:ascii="Arial" w:cs="Arial" w:eastAsia="Arial" w:hAnsi="Arial"/>
                <w:b w:val="false"/>
                <w:bCs w:val="false"/>
                <w:sz w:val="20"/>
                <w:szCs w:val="20"/>
              </w:rPr>
              <w:t xml:space="preserve">13</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14</w:t>
            </w:r>
          </w:p>
        </w:tc>
        <w:tc>
          <w:tcPr>
            <w:tcW w:type="dxa" w:w="4500"/>
          </w:tcPr>
          <w:p>
            <w:pPr>
              <w:spacing w:after="0"/>
            </w:pPr>
            <w:r>
              <w:rPr>
                <w:rFonts w:ascii="Arial" w:cs="Arial" w:eastAsia="Arial" w:hAnsi="Arial"/>
                <w:b w:val="false"/>
                <w:bCs w:val="false"/>
                <w:sz w:val="20"/>
                <w:szCs w:val="20"/>
              </w:rPr>
              <w:t xml:space="preserve">Comparación con un modelo de mayor capacidad, por descomposición en capas</w:t>
            </w:r>
          </w:p>
        </w:tc>
      </w:tr>
      <w:tr>
        <w:tc>
          <w:tcPr>
            <w:tcW w:type="dxa" w:w="4500"/>
          </w:tcPr>
          <w:p>
            <w:pPr>
              <w:spacing w:after="0"/>
            </w:pPr>
            <w:r>
              <w:rPr>
                <w:rFonts w:ascii="Arial" w:cs="Arial" w:eastAsia="Arial" w:hAnsi="Arial"/>
                <w:b w:val="false"/>
                <w:bCs w:val="false"/>
                <w:sz w:val="20"/>
                <w:szCs w:val="20"/>
              </w:rPr>
              <w:t xml:space="preserve">15</w:t>
            </w:r>
          </w:p>
        </w:tc>
        <w:tc>
          <w:tcPr>
            <w:tcW w:type="dxa" w:w="4500"/>
          </w:tcPr>
          <w:p>
            <w:pPr>
              <w:spacing w:after="0"/>
            </w:pPr>
            <w:r>
              <w:rPr>
                <w:rFonts w:ascii="Arial" w:cs="Arial" w:eastAsia="Arial" w:hAnsi="Arial"/>
                <w:b w:val="false"/>
                <w:bCs w:val="false"/>
                <w:sz w:val="20"/>
                <w:szCs w:val="20"/>
              </w:rPr>
              <w:t xml:space="preserve">Ablación de la corrección de dominio</w:t>
            </w:r>
          </w:p>
        </w:tc>
      </w:tr>
    </w:tbl>
    <w:p>
      <w:pPr>
        <w:spacing w:after="160"/>
      </w:pPr>
    </w:p>
    <w:p>
      <w:pPr>
        <w:spacing w:after="160" w:line="360" w:lineRule="auto"/>
        <w:ind w:firstLine="425"/>
        <w:jc w:val="both"/>
      </w:pPr>
      <w:r>
        <w:rPr>
          <w:rFonts w:ascii="Arial" w:cs="Arial" w:eastAsia="Arial" w:hAnsi="Arial"/>
          <w:sz w:val="22"/>
          <w:szCs w:val="22"/>
        </w:rPr>
        <w:t xml:space="preserve">Las fases 9 a 11 responden a dudas metodológicas planteadas por el propio desarrollo, y no a requisitos iniciales. Las fases 12 a 15 corresponden a los objetivos específicos 3 y 4.</w:t>
      </w:r>
    </w:p>
    <w:p>
      <w:pPr>
        <w:spacing w:after="160" w:line="360" w:lineRule="auto"/>
        <w:ind w:firstLine="425"/>
        <w:jc w:val="both"/>
      </w:pPr>
      <w:r>
        <w:rPr>
          <w:rFonts w:ascii="Arial" w:cs="Arial" w:eastAsia="Arial" w:hAnsi="Arial"/>
          <w:sz w:val="22"/>
          <w:szCs w:val="22"/>
        </w:rPr>
        <w:t xml:space="preserve">Merece mención la fase 11, porque nació de un error. Al observar que el modelo descartaba con acierto notable, se comprobó que el expediente incluía la etiqueta de nivel de riesgo, calculada con el mismo corte que determina la respuesta correcta. El experimento no distinguía, por tanto, entre razonar sobre la evidencia y obedecer una etiqueta. Rehacerlo con tres niveles de información obligó a cuarenta y ocho ejecuciones adicionales, y produjo uno de los resultados centrales del trabajo.</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spacing w:after="160" w:line="360" w:lineRule="auto"/>
        <w:ind w:firstLine="425"/>
        <w:jc w:val="both"/>
      </w:pPr>
      <w:r>
        <w:rPr>
          <w:rFonts w:ascii="Arial" w:cs="Arial" w:eastAsia="Arial" w:hAnsi="Arial"/>
          <w:sz w:val="22"/>
          <w:szCs w:val="22"/>
        </w:rPr>
        <w:t xml:space="preserve">El capítulo recorre doce experimentos. La figura siguiente los sitúa unos respecto a otros: qué partición emplea cada uno, cuáles operan sobre la capa 1 y cuáles sobre la capa 2, y contra qué línea base se contrastan los que miden la aportación del modelo de lenguaje.</w:t>
      </w:r>
    </w:p>
    <w:p>
      <w:pPr>
        <w:spacing w:after="80" w:before="24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2257425"/>
                    </a:xfrm>
                    <a:prstGeom prst="rect">
                      <a:avLst/>
                    </a:prstGeom>
                  </pic:spPr>
                </pic:pic>
              </a:graphicData>
            </a:graphic>
          </wp:inline>
        </w:drawing>
      </w:r>
    </w:p>
    <w:p>
      <w:pPr>
        <w:spacing w:after="240"/>
        <w:jc w:val="center"/>
      </w:pPr>
      <w:r>
        <w:rPr>
          <w:i/>
          <w:iCs/>
          <w:sz w:val="20"/>
          <w:szCs w:val="20"/>
        </w:rPr>
        <w:t xml:space="preserve">Figura 14. Mapa del diseño experimental. La línea base de los experimentos sobre la capa 2 es el detector operando sin ella.</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spacing w:after="80" w:before="240"/>
        <w:jc w:val="center"/>
      </w:pPr>
      <w:r>
        <w:drawing>
          <wp:inline distT="0" distB="0" distL="0" distR="0">
            <wp:extent cx="5400675"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3819525"/>
                    </a:xfrm>
                    <a:prstGeom prst="rect">
                      <a:avLst/>
                    </a:prstGeom>
                  </pic:spPr>
                </pic:pic>
              </a:graphicData>
            </a:graphic>
          </wp:inline>
        </w:drawing>
      </w:r>
    </w:p>
    <w:p>
      <w:pPr>
        <w:spacing w:after="240"/>
        <w:jc w:val="center"/>
      </w:pPr>
      <w:r>
        <w:rPr>
          <w:i/>
          <w:iCs/>
          <w:sz w:val="20"/>
          <w:szCs w:val="20"/>
        </w:rPr>
        <w:t xml:space="preserve">Figura 15. Curvas de precisión frente a exhaustividad de los tres detectores sobre la partición aleatoria, con la línea base marcada en la prevalencia.</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p>
      <w:pPr>
        <w:spacing w:after="80" w:before="24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2409825"/>
                    </a:xfrm>
                    <a:prstGeom prst="rect">
                      <a:avLst/>
                    </a:prstGeom>
                  </pic:spPr>
                </pic:pic>
              </a:graphicData>
            </a:graphic>
          </wp:inline>
        </w:drawing>
      </w:r>
    </w:p>
    <w:p>
      <w:pPr>
        <w:spacing w:after="240"/>
        <w:jc w:val="center"/>
      </w:pPr>
      <w:r>
        <w:rPr>
          <w:i/>
          <w:iCs/>
          <w:sz w:val="20"/>
          <w:szCs w:val="20"/>
        </w:rPr>
        <w:t xml:space="preserve">Figura 16. Precisión en los N primeros casos y fraude capturado frente al esfuerzo de revisión, con la capacidad del equipo marcada.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17. Fraude destruido por modelo en dieciséis ejecuciones. La dispersión del panel derecho muestra el solapamiento que impide declarar significativa la ordenación.</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Recall del sistema</w:t>
            </w:r>
          </w:p>
        </w:tc>
        <w:tc>
          <w:tcPr>
            <w:tcW w:type="dxa" w:w="1800"/>
            <w:shd w:fill="D9D9D9" w:val="clear"/>
          </w:tcPr>
          <w:p>
            <w:pPr>
              <w:spacing w:after="0"/>
            </w:pPr>
            <w:r>
              <w:rPr>
                <w:rFonts w:ascii="Arial" w:cs="Arial" w:eastAsia="Arial" w:hAnsi="Arial"/>
                <w:b/>
                <w:bCs/>
                <w:sz w:val="20"/>
                <w:szCs w:val="20"/>
              </w:rPr>
              <w:t xml:space="preserve">Fraude destruido</w:t>
            </w:r>
          </w:p>
        </w:tc>
        <w:tc>
          <w:tcPr>
            <w:tcW w:type="dxa" w:w="1800"/>
            <w:shd w:fill="D9D9D9" w:val="clear"/>
          </w:tcPr>
          <w:p>
            <w:pPr>
              <w:spacing w:after="0"/>
            </w:pPr>
            <w:r>
              <w:rPr>
                <w:rFonts w:ascii="Arial" w:cs="Arial" w:eastAsia="Arial" w:hAnsi="Arial"/>
                <w:b/>
                <w:bCs/>
                <w:sz w:val="20"/>
                <w:szCs w:val="20"/>
              </w:rPr>
              <w:t xml:space="preserve">Ejecuciones con daño</w:t>
            </w:r>
          </w:p>
        </w:tc>
        <w:tc>
          <w:tcPr>
            <w:tcW w:type="dxa" w:w="1800"/>
            <w:shd w:fill="D9D9D9" w:val="clear"/>
          </w:tcPr>
          <w:p>
            <w:pPr>
              <w:spacing w:after="0"/>
            </w:pPr>
            <w:r>
              <w:rPr>
                <w:rFonts w:ascii="Arial" w:cs="Arial" w:eastAsia="Arial" w:hAnsi="Arial"/>
                <w:b/>
                <w:bCs/>
                <w:sz w:val="20"/>
                <w:szCs w:val="20"/>
              </w:rPr>
              <w:t xml:space="preserve">Media por ejecución</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0,731</w:t>
            </w:r>
          </w:p>
        </w:tc>
        <w:tc>
          <w:tcPr>
            <w:tcW w:type="dxa" w:w="1800"/>
          </w:tcPr>
          <w:p>
            <w:pPr>
              <w:spacing w:after="0"/>
            </w:pPr>
            <w:r>
              <w:rPr>
                <w:rFonts w:ascii="Arial" w:cs="Arial" w:eastAsia="Arial" w:hAnsi="Arial"/>
                <w:b w:val="false"/>
                <w:bCs w:val="false"/>
                <w:sz w:val="20"/>
                <w:szCs w:val="20"/>
              </w:rPr>
              <w:t xml:space="preserve">19</w:t>
            </w:r>
          </w:p>
        </w:tc>
        <w:tc>
          <w:tcPr>
            <w:tcW w:type="dxa" w:w="1800"/>
          </w:tcPr>
          <w:p>
            <w:pPr>
              <w:spacing w:after="0"/>
            </w:pPr>
            <w:r>
              <w:rPr>
                <w:rFonts w:ascii="Arial" w:cs="Arial" w:eastAsia="Arial" w:hAnsi="Arial"/>
                <w:b w:val="false"/>
                <w:bCs w:val="false"/>
                <w:sz w:val="20"/>
                <w:szCs w:val="20"/>
              </w:rPr>
              <w:t xml:space="preserve">11/16</w:t>
            </w:r>
          </w:p>
        </w:tc>
        <w:tc>
          <w:tcPr>
            <w:tcW w:type="dxa" w:w="1800"/>
          </w:tcPr>
          <w:p>
            <w:pPr>
              <w:spacing w:after="0"/>
            </w:pPr>
            <w:r>
              <w:rPr>
                <w:rFonts w:ascii="Arial" w:cs="Arial" w:eastAsia="Arial" w:hAnsi="Arial"/>
                <w:b w:val="false"/>
                <w:bCs w:val="false"/>
                <w:sz w:val="20"/>
                <w:szCs w:val="20"/>
              </w:rPr>
              <w:t xml:space="preserve">1,19</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0,741</w:t>
            </w:r>
          </w:p>
        </w:tc>
        <w:tc>
          <w:tcPr>
            <w:tcW w:type="dxa" w:w="1800"/>
          </w:tcPr>
          <w:p>
            <w:pPr>
              <w:spacing w:after="0"/>
            </w:pPr>
            <w:r>
              <w:rPr>
                <w:rFonts w:ascii="Arial" w:cs="Arial" w:eastAsia="Arial" w:hAnsi="Arial"/>
                <w:b w:val="false"/>
                <w:bCs w:val="false"/>
                <w:sz w:val="20"/>
                <w:szCs w:val="20"/>
              </w:rPr>
              <w:t xml:space="preserve">12</w:t>
            </w:r>
          </w:p>
        </w:tc>
        <w:tc>
          <w:tcPr>
            <w:tcW w:type="dxa" w:w="1800"/>
          </w:tcPr>
          <w:p>
            <w:pPr>
              <w:spacing w:after="0"/>
            </w:pPr>
            <w:r>
              <w:rPr>
                <w:rFonts w:ascii="Arial" w:cs="Arial" w:eastAsia="Arial" w:hAnsi="Arial"/>
                <w:b w:val="false"/>
                <w:bCs w:val="false"/>
                <w:sz w:val="20"/>
                <w:szCs w:val="20"/>
              </w:rPr>
              <w:t xml:space="preserve">8/16</w:t>
            </w:r>
          </w:p>
        </w:tc>
        <w:tc>
          <w:tcPr>
            <w:tcW w:type="dxa" w:w="1800"/>
          </w:tcPr>
          <w:p>
            <w:pPr>
              <w:spacing w:after="0"/>
            </w:pPr>
            <w:r>
              <w:rPr>
                <w:rFonts w:ascii="Arial" w:cs="Arial" w:eastAsia="Arial" w:hAnsi="Arial"/>
                <w:b w:val="false"/>
                <w:bCs w:val="false"/>
                <w:sz w:val="20"/>
                <w:szCs w:val="20"/>
              </w:rPr>
              <w:t xml:space="preserve">0,75</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0,746</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6/16</w:t>
            </w:r>
          </w:p>
        </w:tc>
        <w:tc>
          <w:tcPr>
            <w:tcW w:type="dxa" w:w="1800"/>
          </w:tcPr>
          <w:p>
            <w:pPr>
              <w:spacing w:after="0"/>
            </w:pPr>
            <w:r>
              <w:rPr>
                <w:rFonts w:ascii="Arial" w:cs="Arial" w:eastAsia="Arial" w:hAnsi="Arial"/>
                <w:b w:val="false"/>
                <w:bCs w:val="false"/>
                <w:sz w:val="20"/>
                <w:szCs w:val="20"/>
              </w:rPr>
              <w:t xml:space="preserve">0,50</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modelo, resultantes de cuatro turnos por cuatro repeticiones. El orden por capacidad es monótono tanto en el recall del sistema como en el daño causado.</w:t>
      </w:r>
    </w:p>
    <w:p>
      <w:pPr>
        <w:pStyle w:val="Heading3"/>
        <w:spacing w:after="200" w:before="360"/>
      </w:pPr>
      <w:r>
        <w:rPr>
          <w:rFonts w:ascii="Arial" w:cs="Arial" w:eastAsia="Arial" w:hAnsi="Arial"/>
          <w:b/>
          <w:bCs/>
          <w:color w:val="000000"/>
          <w:sz w:val="24"/>
          <w:szCs w:val="24"/>
        </w:rPr>
        <w:t xml:space="preserve">El contraste estadístico, que no alcanza significación</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Ninguno</w:t>
            </w:r>
          </w:p>
        </w:tc>
        <w:tc>
          <w:tcPr>
            <w:tcW w:type="dxa" w:w="1800"/>
            <w:shd w:fill="D9D9D9" w:val="clear"/>
          </w:tcPr>
          <w:p>
            <w:pPr>
              <w:spacing w:after="0"/>
            </w:pPr>
            <w:r>
              <w:rPr>
                <w:rFonts w:ascii="Arial" w:cs="Arial" w:eastAsia="Arial" w:hAnsi="Arial"/>
                <w:b/>
                <w:bCs/>
                <w:sz w:val="20"/>
                <w:szCs w:val="20"/>
              </w:rPr>
              <w:t xml:space="preserve">Un caso</w:t>
            </w:r>
          </w:p>
        </w:tc>
        <w:tc>
          <w:tcPr>
            <w:tcW w:type="dxa" w:w="1800"/>
            <w:shd w:fill="D9D9D9" w:val="clear"/>
          </w:tcPr>
          <w:p>
            <w:pPr>
              <w:spacing w:after="0"/>
            </w:pPr>
            <w:r>
              <w:rPr>
                <w:rFonts w:ascii="Arial" w:cs="Arial" w:eastAsia="Arial" w:hAnsi="Arial"/>
                <w:b/>
                <w:bCs/>
                <w:sz w:val="20"/>
                <w:szCs w:val="20"/>
              </w:rPr>
              <w:t xml:space="preserve">Dos</w:t>
            </w:r>
          </w:p>
        </w:tc>
        <w:tc>
          <w:tcPr>
            <w:tcW w:type="dxa" w:w="1800"/>
            <w:shd w:fill="D9D9D9" w:val="clear"/>
          </w:tcPr>
          <w:p>
            <w:pPr>
              <w:spacing w:after="0"/>
            </w:pPr>
            <w:r>
              <w:rPr>
                <w:rFonts w:ascii="Arial" w:cs="Arial" w:eastAsia="Arial" w:hAnsi="Arial"/>
                <w:b/>
                <w:bCs/>
                <w:sz w:val="20"/>
                <w:szCs w:val="20"/>
              </w:rPr>
              <w:t xml:space="preserve">Tres</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0</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c>
          <w:tcPr>
            <w:tcW w:type="dxa" w:w="1800"/>
          </w:tcPr>
          <w:p>
            <w:pPr>
              <w:spacing w:after="0"/>
            </w:pPr>
            <w:r>
              <w:rPr>
                <w:rFonts w:ascii="Arial" w:cs="Arial" w:eastAsia="Arial" w:hAnsi="Arial"/>
                <w:b w:val="false"/>
                <w:bCs w:val="false"/>
                <w:sz w:val="20"/>
                <w:szCs w:val="20"/>
              </w:rPr>
              <w:t xml:space="preserve">0</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el menor sí alcanza, y su distribución está desplazada hacia el cero. 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0,156</w:t>
            </w:r>
          </w:p>
        </w:tc>
        <w:tc>
          <w:tcPr>
            <w:tcW w:type="dxa" w:w="3000"/>
          </w:tcPr>
          <w:p>
            <w:pPr>
              <w:spacing w:after="0"/>
            </w:pPr>
            <w:r>
              <w:rPr>
                <w:rFonts w:ascii="Arial" w:cs="Arial" w:eastAsia="Arial" w:hAnsi="Arial"/>
                <w:b w:val="false"/>
                <w:bCs w:val="false"/>
                <w:sz w:val="20"/>
                <w:szCs w:val="20"/>
              </w:rPr>
              <w:t xml:space="preserve">0,050</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0,722</w:t>
            </w:r>
          </w:p>
        </w:tc>
        <w:tc>
          <w:tcPr>
            <w:tcW w:type="dxa" w:w="3000"/>
          </w:tcPr>
          <w:p>
            <w:pPr>
              <w:spacing w:after="0"/>
            </w:pPr>
            <w:r>
              <w:rPr>
                <w:rFonts w:ascii="Arial" w:cs="Arial" w:eastAsia="Arial" w:hAnsi="Arial"/>
                <w:b w:val="false"/>
                <w:bCs w:val="false"/>
                <w:sz w:val="20"/>
                <w:szCs w:val="20"/>
              </w:rPr>
              <w:t xml:space="preserve">0,411</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0,473</w:t>
            </w:r>
          </w:p>
        </w:tc>
        <w:tc>
          <w:tcPr>
            <w:tcW w:type="dxa" w:w="3000"/>
          </w:tcPr>
          <w:p>
            <w:pPr>
              <w:spacing w:after="0"/>
            </w:pPr>
            <w:r>
              <w:rPr>
                <w:rFonts w:ascii="Arial" w:cs="Arial" w:eastAsia="Arial" w:hAnsi="Arial"/>
                <w:b w:val="false"/>
                <w:bCs w:val="false"/>
                <w:sz w:val="20"/>
                <w:szCs w:val="20"/>
              </w:rPr>
              <w:t xml:space="preserve">0,240</w:t>
            </w:r>
          </w:p>
        </w:tc>
      </w:tr>
    </w:tbl>
    <w:p>
      <w:pPr>
        <w:spacing w:after="160"/>
      </w:pPr>
    </w:p>
    <w:p>
      <w:pPr>
        <w:spacing w:after="160" w:line="360" w:lineRule="auto"/>
        <w:ind w:firstLine="425"/>
        <w:jc w:val="both"/>
      </w:pPr>
      <w:r>
        <w:rPr>
          <w:rFonts w:ascii="Arial" w:cs="Arial" w:eastAsia="Arial" w:hAnsi="Arial"/>
          <w:b/>
          <w:bCs/>
          <w:sz w:val="22"/>
          <w:szCs w:val="22"/>
        </w:rPr>
        <w:t xml:space="preserve">Ninguna comparación alcanza significación.</w:t>
      </w:r>
      <w:r>
        <w:rPr>
          <w:rFonts w:ascii="Arial" w:cs="Arial" w:eastAsia="Arial" w:hAnsi="Arial"/>
          <w:sz w:val="22"/>
          <w:szCs w:val="22"/>
        </w:rPr>
        <w:t xml:space="preserve"> La más extrema, entre los modelos de ocho y veinte mil millones de parámetros, queda justo en el límite convencional con el contraste sobre recuentos y claramente fuera con el dicotomizado.</w:t>
      </w:r>
    </w:p>
    <w:p>
      <w:pPr>
        <w:spacing w:after="160" w:line="360" w:lineRule="auto"/>
        <w:ind w:firstLine="425"/>
        <w:jc w:val="both"/>
      </w:pPr>
      <w:r>
        <w:rPr>
          <w:rFonts w:ascii="Arial" w:cs="Arial" w:eastAsia="Arial" w:hAnsi="Arial"/>
          <w:sz w:val="22"/>
          <w:szCs w:val="22"/>
        </w:rPr>
        <w:t xml:space="preserve">La conclusión defendible es por tanto que </w:t>
      </w:r>
      <w:r>
        <w:rPr>
          <w:rFonts w:ascii="Arial" w:cs="Arial" w:eastAsia="Arial" w:hAnsi="Arial"/>
          <w:b/>
          <w:bCs/>
          <w:sz w:val="22"/>
          <w:szCs w:val="22"/>
        </w:rPr>
        <w:t xml:space="preserve">la ordenación por tamaño de modelo es consistente en dirección y no está demostrada</w:t>
      </w:r>
      <w:r>
        <w:rPr>
          <w:rFonts w:ascii="Arial" w:cs="Arial" w:eastAsia="Arial" w:hAnsi="Arial"/>
          <w:sz w:val="22"/>
          <w:szCs w:val="22"/>
        </w:rPr>
        <w:t xml:space="preserve">. Se enuncia así en el capítulo 6 y no debe leerse de otro modo.</w:t>
      </w:r>
    </w:p>
    <w:p>
      <w:pPr>
        <w:spacing w:after="160" w:line="360" w:lineRule="auto"/>
        <w:ind w:firstLine="425"/>
        <w:jc w:val="both"/>
      </w:pPr>
      <w:r>
        <w:rPr>
          <w:rFonts w:ascii="Arial" w:cs="Arial" w:eastAsia="Arial" w:hAnsi="Arial"/>
          <w:sz w:val="22"/>
          <w:szCs w:val="22"/>
        </w:rPr>
        <w:t xml:space="preserve">Conviene explicar por qué se reportan dos contrastes.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 Se declara expresamente que el orden en que se calcularon fue el inverso.</w:t>
      </w:r>
    </w:p>
    <w:p>
      <w:pPr>
        <w:pStyle w:val="Heading3"/>
        <w:spacing w:after="200" w:before="360"/>
      </w:pPr>
      <w:r>
        <w:rPr>
          <w:rFonts w:ascii="Arial" w:cs="Arial" w:eastAsia="Arial" w:hAnsi="Arial"/>
          <w:b/>
          <w:bCs/>
          <w:color w:val="000000"/>
          <w:sz w:val="24"/>
          <w:szCs w:val="24"/>
        </w:rPr>
        <w:t xml:space="preserve">Una cifra retirada, y por qué</w:t>
      </w:r>
    </w:p>
    <w:p>
      <w:pPr>
        <w:spacing w:after="160" w:line="360" w:lineRule="auto"/>
        <w:ind w:firstLine="425"/>
        <w:jc w:val="both"/>
      </w:pPr>
      <w:r>
        <w:rPr>
          <w:rFonts w:ascii="Arial" w:cs="Arial" w:eastAsia="Arial" w:hAnsi="Arial"/>
          <w:sz w:val="22"/>
          <w:szCs w:val="22"/>
        </w:rPr>
        <w:t xml:space="preserve">Una versión anterior de esta memoria reportaba en esta misma sección treinta y dos ejecuciones por modelo, con treinta y siete, veintisiete y trece casos de fraude destruido, y contrastes significativos con p = 0,024 y p = 0,002.</w:t>
      </w:r>
    </w:p>
    <w:p>
      <w:pPr>
        <w:spacing w:after="160" w:line="360" w:lineRule="auto"/>
        <w:ind w:firstLine="425"/>
        <w:jc w:val="both"/>
      </w:pPr>
      <w:r>
        <w:rPr>
          <w:rFonts w:ascii="Arial" w:cs="Arial" w:eastAsia="Arial" w:hAnsi="Arial"/>
          <w:sz w:val="22"/>
          <w:szCs w:val="22"/>
        </w:rPr>
        <w:t xml:space="preserve">Aquellas cifras procedían de apilar tres ficheros de resultados obtenidos en días distintos. Al revisarlos se comprobó que veinticuatro de las cuarenta y ocho combinaciones de modelo, turno y repetición estaban duplicadas entre ficheros: eran re-ejecuciones del mismo turno con el mismo número de repetición, no réplicas nuevas. El tamaño muestral estaba inflado y, con él, la significación.</w:t>
      </w:r>
    </w:p>
    <w:p>
      <w:pPr>
        <w:spacing w:after="160" w:line="360" w:lineRule="auto"/>
        <w:ind w:firstLine="425"/>
        <w:jc w:val="both"/>
      </w:pPr>
      <w:r>
        <w:rPr>
          <w:rFonts w:ascii="Arial" w:cs="Arial" w:eastAsia="Arial" w:hAnsi="Arial"/>
          <w:sz w:val="22"/>
          <w:szCs w:val="22"/>
        </w:rPr>
        <w:t xml:space="preserve">Las cifras que figuran arriba proceden de la única tanda completa y sin solapamientos. </w:t>
      </w:r>
      <w:r>
        <w:rPr>
          <w:rFonts w:ascii="Arial" w:cs="Arial" w:eastAsia="Arial" w:hAnsi="Arial"/>
          <w:b/>
          <w:bCs/>
          <w:sz w:val="22"/>
          <w:szCs w:val="22"/>
        </w:rPr>
        <w:t xml:space="preserve">Al corregir el recuento, el resultado deja de ser significativo.</w:t>
      </w:r>
    </w:p>
    <w:p>
      <w:pPr>
        <w:spacing w:after="160" w:line="360" w:lineRule="auto"/>
        <w:ind w:firstLine="425"/>
        <w:jc w:val="both"/>
      </w:pPr>
      <w:r>
        <w:rPr>
          <w:rFonts w:ascii="Arial" w:cs="Arial" w:eastAsia="Arial" w:hAnsi="Arial"/>
          <w:sz w:val="22"/>
          <w:szCs w:val="22"/>
        </w:rPr>
        <w:t xml:space="preserve">Se deja constancia del episodio porque ilustra un modo de fallo que no produce ningún error visible: los ficheros se combinan sin dificultad, la tabla resultante tiene buen aspecto y el contraste devuelve un número más favorable.</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tandas sucesivas, y varias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dieciséis su tasa se sitúa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Ninguna de esas afirmaciones era falsa sobre los datos disponibles en su momento; todas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Reproducibilidad entre ejecuciones</w:t>
      </w:r>
    </w:p>
    <w:p>
      <w:pPr>
        <w:spacing w:after="160" w:line="360" w:lineRule="auto"/>
        <w:ind w:firstLine="425"/>
        <w:jc w:val="both"/>
      </w:pPr>
      <w:r>
        <w:rPr>
          <w:rFonts w:ascii="Arial" w:cs="Arial" w:eastAsia="Arial" w:hAnsi="Arial"/>
          <w:sz w:val="22"/>
          <w:szCs w:val="22"/>
        </w:rPr>
        <w:t xml:space="preserve">La sección anterior mide cuánto daño causa cada modelo. Queda una dimensión distinta y, en un dominio auditable, no menos importante: si ante la misma entrada el sistema decide lo mismo.</w:t>
      </w:r>
    </w:p>
    <w:p>
      <w:pPr>
        <w:spacing w:after="160" w:line="360" w:lineRule="auto"/>
        <w:ind w:firstLine="425"/>
        <w:jc w:val="both"/>
      </w:pPr>
      <w:r>
        <w:rPr>
          <w:rFonts w:ascii="Arial" w:cs="Arial" w:eastAsia="Arial" w:hAnsi="Arial"/>
          <w:sz w:val="22"/>
          <w:szCs w:val="22"/>
        </w:rPr>
        <w:t xml:space="preserve">La tabla recoge el recall del sistema en las cuatro repeticiones de cada turno, sobre turnos reales y con umbral permisivo. La entrada es idéntica dentro de cada fila; la única fuente de variación es el muestreo del modelo, con temperatura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Turno 0 h</w:t>
            </w:r>
          </w:p>
        </w:tc>
        <w:tc>
          <w:tcPr>
            <w:tcW w:type="dxa" w:w="1500"/>
            <w:shd w:fill="D9D9D9" w:val="clear"/>
          </w:tcPr>
          <w:p>
            <w:pPr>
              <w:spacing w:after="0"/>
            </w:pPr>
            <w:r>
              <w:rPr>
                <w:rFonts w:ascii="Arial" w:cs="Arial" w:eastAsia="Arial" w:hAnsi="Arial"/>
                <w:b/>
                <w:bCs/>
                <w:sz w:val="20"/>
                <w:szCs w:val="20"/>
              </w:rPr>
              <w:t xml:space="preserve">Turno 1 h</w:t>
            </w:r>
          </w:p>
        </w:tc>
        <w:tc>
          <w:tcPr>
            <w:tcW w:type="dxa" w:w="1500"/>
            <w:shd w:fill="D9D9D9" w:val="clear"/>
          </w:tcPr>
          <w:p>
            <w:pPr>
              <w:spacing w:after="0"/>
            </w:pPr>
            <w:r>
              <w:rPr>
                <w:rFonts w:ascii="Arial" w:cs="Arial" w:eastAsia="Arial" w:hAnsi="Arial"/>
                <w:b/>
                <w:bCs/>
                <w:sz w:val="20"/>
                <w:szCs w:val="20"/>
              </w:rPr>
              <w:t xml:space="preserve">Turno 2 h</w:t>
            </w:r>
          </w:p>
        </w:tc>
        <w:tc>
          <w:tcPr>
            <w:tcW w:type="dxa" w:w="1500"/>
            <w:shd w:fill="D9D9D9" w:val="clear"/>
          </w:tcPr>
          <w:p>
            <w:pPr>
              <w:spacing w:after="0"/>
            </w:pPr>
            <w:r>
              <w:rPr>
                <w:rFonts w:ascii="Arial" w:cs="Arial" w:eastAsia="Arial" w:hAnsi="Arial"/>
                <w:b/>
                <w:bCs/>
                <w:sz w:val="20"/>
                <w:szCs w:val="20"/>
              </w:rPr>
              <w:t xml:space="preserve">Turno 3 h</w:t>
            </w:r>
          </w:p>
        </w:tc>
        <w:tc>
          <w:tcPr>
            <w:tcW w:type="dxa" w:w="1500"/>
            <w:shd w:fill="D9D9D9" w:val="clear"/>
          </w:tcPr>
          <w:p>
            <w:pPr>
              <w:spacing w:after="0"/>
            </w:pPr>
            <w:r>
              <w:rPr>
                <w:rFonts w:ascii="Arial" w:cs="Arial" w:eastAsia="Arial" w:hAnsi="Arial"/>
                <w:b/>
                <w:bCs/>
                <w:sz w:val="20"/>
                <w:szCs w:val="20"/>
              </w:rPr>
              <w:t xml:space="preserve">Rango máximo</w:t>
            </w:r>
          </w:p>
        </w:tc>
      </w:tr>
      <w:tr>
        <w:tc>
          <w:tcPr>
            <w:tcW w:type="dxa" w:w="1500"/>
          </w:tcPr>
          <w:p>
            <w:pPr>
              <w:spacing w:after="0"/>
            </w:pPr>
            <w:r>
              <w:rPr>
                <w:rFonts w:ascii="Arial" w:cs="Arial" w:eastAsia="Arial" w:hAnsi="Arial"/>
                <w:b w:val="false"/>
                <w:bCs w:val="false"/>
                <w:sz w:val="20"/>
                <w:szCs w:val="20"/>
              </w:rPr>
              <w:t xml:space="preserve">llama3.1 8B</w:t>
            </w:r>
          </w:p>
        </w:tc>
        <w:tc>
          <w:tcPr>
            <w:tcW w:type="dxa" w:w="1500"/>
          </w:tcPr>
          <w:p>
            <w:pPr>
              <w:spacing w:after="0"/>
            </w:pPr>
            <w:r>
              <w:rPr>
                <w:rFonts w:ascii="Arial" w:cs="Arial" w:eastAsia="Arial" w:hAnsi="Arial"/>
                <w:b w:val="false"/>
                <w:bCs w:val="false"/>
                <w:sz w:val="20"/>
                <w:szCs w:val="20"/>
              </w:rPr>
              <w:t xml:space="preserve">0,778 · 0,778 · 0,759 · 0,778</w:t>
            </w:r>
          </w:p>
        </w:tc>
        <w:tc>
          <w:tcPr>
            <w:tcW w:type="dxa" w:w="1500"/>
          </w:tcPr>
          <w:p>
            <w:pPr>
              <w:spacing w:after="0"/>
            </w:pPr>
            <w:r>
              <w:rPr>
                <w:rFonts w:ascii="Arial" w:cs="Arial" w:eastAsia="Arial" w:hAnsi="Arial"/>
                <w:b w:val="false"/>
                <w:bCs w:val="false"/>
                <w:sz w:val="20"/>
                <w:szCs w:val="20"/>
              </w:rPr>
              <w:t xml:space="preserve">0,745 · 0,784 · 0,784 · 0,765</w:t>
            </w:r>
          </w:p>
        </w:tc>
        <w:tc>
          <w:tcPr>
            <w:tcW w:type="dxa" w:w="1500"/>
          </w:tcPr>
          <w:p>
            <w:pPr>
              <w:spacing w:after="0"/>
            </w:pPr>
            <w:r>
              <w:rPr>
                <w:rFonts w:ascii="Arial" w:cs="Arial" w:eastAsia="Arial" w:hAnsi="Arial"/>
                <w:b w:val="false"/>
                <w:bCs w:val="false"/>
                <w:sz w:val="20"/>
                <w:szCs w:val="20"/>
              </w:rPr>
              <w:t xml:space="preserve">0,711 · 0,684 · 0,684 · 0,684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0,039</w:t>
            </w:r>
          </w:p>
        </w:tc>
      </w:tr>
      <w:tr>
        <w:tc>
          <w:tcPr>
            <w:tcW w:type="dxa" w:w="1500"/>
          </w:tcPr>
          <w:p>
            <w:pPr>
              <w:spacing w:after="0"/>
            </w:pPr>
            <w:r>
              <w:rPr>
                <w:rFonts w:ascii="Arial" w:cs="Arial" w:eastAsia="Arial" w:hAnsi="Arial"/>
                <w:b w:val="false"/>
                <w:bCs w:val="false"/>
                <w:sz w:val="20"/>
                <w:szCs w:val="20"/>
              </w:rPr>
              <w:t xml:space="preserve">qwen2.5 14B</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**0,000**</w:t>
            </w:r>
          </w:p>
        </w:tc>
      </w:tr>
      <w:tr>
        <w:tc>
          <w:tcPr>
            <w:tcW w:type="dxa" w:w="1500"/>
          </w:tcPr>
          <w:p>
            <w:pPr>
              <w:spacing w:after="0"/>
            </w:pPr>
            <w:r>
              <w:rPr>
                <w:rFonts w:ascii="Arial" w:cs="Arial" w:eastAsia="Arial" w:hAnsi="Arial"/>
                <w:b w:val="false"/>
                <w:bCs w:val="false"/>
                <w:sz w:val="20"/>
                <w:szCs w:val="20"/>
              </w:rPr>
              <w:t xml:space="preserve">gpt-oss 20B</w:t>
            </w:r>
          </w:p>
        </w:tc>
        <w:tc>
          <w:tcPr>
            <w:tcW w:type="dxa" w:w="1500"/>
          </w:tcPr>
          <w:p>
            <w:pPr>
              <w:spacing w:after="0"/>
            </w:pPr>
            <w:r>
              <w:rPr>
                <w:rFonts w:ascii="Arial" w:cs="Arial" w:eastAsia="Arial" w:hAnsi="Arial"/>
                <w:b w:val="false"/>
                <w:bCs w:val="false"/>
                <w:sz w:val="20"/>
                <w:szCs w:val="20"/>
              </w:rPr>
              <w:t xml:space="preserve">0,778 · 0,778 · 0,796 · 0,815</w:t>
            </w:r>
          </w:p>
        </w:tc>
        <w:tc>
          <w:tcPr>
            <w:tcW w:type="dxa" w:w="1500"/>
          </w:tcPr>
          <w:p>
            <w:pPr>
              <w:spacing w:after="0"/>
            </w:pPr>
            <w:r>
              <w:rPr>
                <w:rFonts w:ascii="Arial" w:cs="Arial" w:eastAsia="Arial" w:hAnsi="Arial"/>
                <w:b w:val="false"/>
                <w:bCs w:val="false"/>
                <w:sz w:val="20"/>
                <w:szCs w:val="20"/>
              </w:rPr>
              <w:t xml:space="preserve">0,784 · 0,804 · 0,784 · 0,784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0,037</w:t>
            </w:r>
          </w:p>
        </w:tc>
      </w:tr>
    </w:tbl>
    <w:p>
      <w:pPr>
        <w:spacing w:after="160"/>
      </w:pPr>
    </w:p>
    <w:p>
      <w:pPr>
        <w:spacing w:after="160" w:line="360" w:lineRule="auto"/>
        <w:ind w:firstLine="425"/>
        <w:jc w:val="both"/>
      </w:pPr>
      <w:r>
        <w:rPr>
          <w:rFonts w:ascii="Arial" w:cs="Arial" w:eastAsia="Arial" w:hAnsi="Arial"/>
          <w:b/>
          <w:bCs/>
          <w:sz w:val="22"/>
          <w:szCs w:val="22"/>
        </w:rPr>
        <w:t xml:space="preserve">El modelo de catorce mil millones de parámetros produce resultados exactamente idénticos en las dieciséis ejecuciones</w:t>
      </w:r>
      <w:r>
        <w:rPr>
          <w:rFonts w:ascii="Arial" w:cs="Arial" w:eastAsia="Arial" w:hAnsi="Arial"/>
          <w:sz w:val="22"/>
          <w:szCs w:val="22"/>
        </w:rPr>
        <w:t xml:space="preserve">, descartando los mismos casos en todas ellas. Los otros dos varían: el menor en tres de los cuatro turnos y el mayor en dos.</w:t>
      </w:r>
    </w:p>
    <w:p>
      <w:pPr>
        <w:spacing w:after="160" w:line="360" w:lineRule="auto"/>
        <w:ind w:firstLine="425"/>
        <w:jc w:val="both"/>
      </w:pPr>
      <w:r>
        <w:rPr>
          <w:rFonts w:ascii="Arial" w:cs="Arial" w:eastAsia="Arial" w:hAnsi="Arial"/>
          <w:sz w:val="22"/>
          <w:szCs w:val="22"/>
        </w:rPr>
        <w:t xml:space="preserve">El dato relevante es que </w:t>
      </w:r>
      <w:r>
        <w:rPr>
          <w:rFonts w:ascii="Arial" w:cs="Arial" w:eastAsia="Arial" w:hAnsi="Arial"/>
          <w:b/>
          <w:bCs/>
          <w:sz w:val="22"/>
          <w:szCs w:val="22"/>
        </w:rPr>
        <w:t xml:space="preserve">la reproducibilidad no crece de forma monótona con el tamaño</w:t>
      </w:r>
      <w:r>
        <w:rPr>
          <w:rFonts w:ascii="Arial" w:cs="Arial" w:eastAsia="Arial" w:hAnsi="Arial"/>
          <w:sz w:val="22"/>
          <w:szCs w:val="22"/>
        </w:rPr>
        <w:t xml:space="preserve">. El modelo de veinte mil millones de parámetros, que es el que menos fraude destruye, es también menos reproducible que el de catorce mil. Son dos propiedades independientes, y un sistema antifraude necesita las dos: un modelo que decide distinto ante el mismo caso es inauditable con independencia de cuál sea su error medio.</w:t>
      </w:r>
    </w:p>
    <w:p>
      <w:pPr>
        <w:spacing w:after="160" w:line="360" w:lineRule="auto"/>
        <w:ind w:firstLine="425"/>
        <w:jc w:val="both"/>
      </w:pPr>
      <w:r>
        <w:rPr>
          <w:rFonts w:ascii="Arial" w:cs="Arial" w:eastAsia="Arial" w:hAnsi="Arial"/>
          <w:sz w:val="22"/>
          <w:szCs w:val="22"/>
        </w:rPr>
        <w:t xml:space="preserve">Conviene adelantar, no obstante, que esa reproducibilidad perfecta </w:t>
      </w:r>
      <w:r>
        <w:rPr>
          <w:rFonts w:ascii="Arial" w:cs="Arial" w:eastAsia="Arial" w:hAnsi="Arial"/>
          <w:b/>
          <w:bCs/>
          <w:sz w:val="22"/>
          <w:szCs w:val="22"/>
        </w:rPr>
        <w:t xml:space="preserve">no resultó ser una propiedad del modelo</w:t>
      </w:r>
      <w:r>
        <w:rPr>
          <w:rFonts w:ascii="Arial" w:cs="Arial" w:eastAsia="Arial" w:hAnsi="Arial"/>
          <w:sz w:val="22"/>
          <w:szCs w:val="22"/>
        </w:rPr>
        <w:t xml:space="preserve">. La ablación del expediente descrita en 5.8 muestra que depende de la información que se le entrega, y desaparece al retirarle la puntuación del detector. La conclusión de esta sección debe leerse, por tanto, junto a aquella.</w:t>
      </w:r>
    </w:p>
    <w:p>
      <w:pPr>
        <w:pStyle w:val="Heading3"/>
        <w:spacing w:after="200" w:before="360"/>
      </w:pPr>
      <w:r>
        <w:rPr>
          <w:rFonts w:ascii="Arial" w:cs="Arial" w:eastAsia="Arial" w:hAnsi="Arial"/>
          <w:b/>
          <w:bCs/>
          <w:color w:val="000000"/>
          <w:sz w:val="24"/>
          <w:szCs w:val="24"/>
        </w:rPr>
        <w:t xml:space="preserve">Una cifra que parecía peor de lo que es</w:t>
      </w:r>
    </w:p>
    <w:p>
      <w:pPr>
        <w:spacing w:after="160" w:line="360" w:lineRule="auto"/>
        <w:ind w:firstLine="425"/>
        <w:jc w:val="both"/>
      </w:pPr>
      <w:r>
        <w:rPr>
          <w:rFonts w:ascii="Arial" w:cs="Arial" w:eastAsia="Arial" w:hAnsi="Arial"/>
          <w:sz w:val="22"/>
          <w:szCs w:val="22"/>
        </w:rPr>
        <w:t xml:space="preserve">Una versión anterior de esta memoria ilustraba la falta de reproducibilidad del modelo menor con tres recalls de 0,60, 0,40 y 0,80 ante la misma entrada. La cifra es real y consta en el fichero de resultados correspondiente, pero procede de la primera tanda de experimentos, realizada sobre lotes sintéticos que contenían </w:t>
      </w:r>
      <w:r>
        <w:rPr>
          <w:rFonts w:ascii="Arial" w:cs="Arial" w:eastAsia="Arial" w:hAnsi="Arial"/>
          <w:b/>
          <w:bCs/>
          <w:sz w:val="22"/>
          <w:szCs w:val="22"/>
        </w:rPr>
        <w:t xml:space="preserve">cinco fraudes cada uno</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 cinco fraudes, un solo caso que cambie de veredicto mueve el recall en 0,20. Aquel rango de 0,40 correspondía por tanto a dos casos, no a un comportamiento errático. Sobre turnos reales, con entre veintiséis y cincuenta y cuatro fraudes, la variación del mismo modelo se sitúa entre 0,019 y 0,039.</w:t>
      </w:r>
    </w:p>
    <w:p>
      <w:pPr>
        <w:spacing w:after="160" w:line="360" w:lineRule="auto"/>
        <w:ind w:firstLine="425"/>
        <w:jc w:val="both"/>
      </w:pPr>
      <w:r>
        <w:rPr>
          <w:rFonts w:ascii="Arial" w:cs="Arial" w:eastAsia="Arial" w:hAnsi="Arial"/>
          <w:sz w:val="22"/>
          <w:szCs w:val="22"/>
        </w:rPr>
        <w:t xml:space="preserve">La conclusión cualitativa se mantiene —ese modelo no es reproducible y el de catorce mil millones sí—, pero la magnitud aparente dependía por completo del tamaño del denominador. Se documenta porque es un modo de fallo distinto de los recogidos en 6.2.5: aquí ningún dato era falso, y aun así la cifra comunicaba algo que no era.</w:t>
      </w:r>
    </w:p>
    <w:p>
      <w:pPr>
        <w:spacing w:after="160" w:line="360" w:lineRule="auto"/>
        <w:ind w:firstLine="425"/>
        <w:jc w:val="both"/>
      </w:pPr>
      <w:r>
        <w:rPr>
          <w:rFonts w:ascii="Arial" w:cs="Arial" w:eastAsia="Arial" w:hAnsi="Arial"/>
          <w:sz w:val="22"/>
          <w:szCs w:val="22"/>
        </w:rPr>
        <w:t xml:space="preserve">Una versión anterior de esta sección reportaba además un contraste exacto de Fisher con p = 0,0191 y un Wilcoxon pareado con p = 0,0235 sobre seis de dieciocho ejecuciones frente a cero de dieciocho. Esas cifras no se reproducen con los datos actuales y se han retirado.</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80" w:before="240"/>
        <w:jc w:val="center"/>
      </w:pPr>
      <w:r>
        <w:drawing>
          <wp:inline distT="0" distB="0" distL="0" distR="0">
            <wp:extent cx="540067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2305050"/>
                    </a:xfrm>
                    <a:prstGeom prst="rect">
                      <a:avLst/>
                    </a:prstGeom>
                  </pic:spPr>
                </pic:pic>
              </a:graphicData>
            </a:graphic>
          </wp:inline>
        </w:drawing>
      </w:r>
    </w:p>
    <w:p>
      <w:pPr>
        <w:spacing w:after="240"/>
        <w:jc w:val="center"/>
      </w:pPr>
      <w:r>
        <w:rPr>
          <w:i/>
          <w:iCs/>
          <w:sz w:val="20"/>
          <w:szCs w:val="20"/>
        </w:rPr>
        <w:t xml:space="preserve">Figura 18. Efecto del nivel de información del expediente sobre el volumen de descartes, su acierto y la reproducibilidad entre ejecuciones.</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80" w:before="24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2428875"/>
                    </a:xfrm>
                    <a:prstGeom prst="rect">
                      <a:avLst/>
                    </a:prstGeom>
                  </pic:spPr>
                </pic:pic>
              </a:graphicData>
            </a:graphic>
          </wp:inline>
        </w:drawing>
      </w:r>
    </w:p>
    <w:p>
      <w:pPr>
        <w:spacing w:after="240"/>
        <w:jc w:val="center"/>
      </w:pPr>
      <w:r>
        <w:rPr>
          <w:i/>
          <w:iCs/>
          <w:sz w:val="20"/>
          <w:szCs w:val="20"/>
        </w:rPr>
        <w:t xml:space="preserve">Figura 19. Latencia media hasta aparecer en un informe frente al tamaño de ventana, y ocupación de cómputo medida en las ejecuciones registradas.</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80" w:before="240"/>
        <w:jc w:val="center"/>
      </w:pPr>
      <w:r>
        <w:drawing>
          <wp:inline distT="0" distB="0" distL="0" distR="0">
            <wp:extent cx="540067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3267075"/>
                    </a:xfrm>
                    <a:prstGeom prst="rect">
                      <a:avLst/>
                    </a:prstGeom>
                  </pic:spPr>
                </pic:pic>
              </a:graphicData>
            </a:graphic>
          </wp:inline>
        </w:drawing>
      </w:r>
    </w:p>
    <w:p>
      <w:pPr>
        <w:spacing w:after="240"/>
        <w:jc w:val="center"/>
      </w:pPr>
      <w:r>
        <w:rPr>
          <w:i/>
          <w:iCs/>
          <w:sz w:val="20"/>
          <w:szCs w:val="20"/>
        </w:rPr>
        <w:t xml:space="preserve">Figura 20. Un fallo silencioso reproducido a voluntad: el modelo de razonamiento agota los 220 tokens pensando y devuelve una respuesta vacía. Sin el aviso, el veredicto ausente sería indistinguible de un dato.</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Comparación con un modelo de mayor capacidad</w:t>
      </w:r>
    </w:p>
    <w:p>
      <w:pPr>
        <w:spacing w:after="80" w:before="240"/>
        <w:jc w:val="center"/>
      </w:pPr>
      <w:r>
        <w:drawing>
          <wp:inline distT="0" distB="0" distL="0" distR="0">
            <wp:extent cx="54006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2657475"/>
                    </a:xfrm>
                    <a:prstGeom prst="rect">
                      <a:avLst/>
                    </a:prstGeom>
                  </pic:spPr>
                </pic:pic>
              </a:graphicData>
            </a:graphic>
          </wp:inline>
        </w:drawing>
      </w:r>
    </w:p>
    <w:p>
      <w:pPr>
        <w:spacing w:after="240"/>
        <w:jc w:val="center"/>
      </w:pPr>
      <w:r>
        <w:rPr>
          <w:i/>
          <w:iCs/>
          <w:sz w:val="20"/>
          <w:szCs w:val="20"/>
        </w:rPr>
        <w:t xml:space="preserve">Figura 21. Ejecución con AirLLM en curso junto a nvidia-smi: memoria de vídeo casi vacía (1,7 de 16 GB) y utilización de GPU de un solo dígito. La consola no imprime nada nuevo hasta que el caso termina —es una única llamada bloqueante de casi dos horas y media—, por lo que se ve la misma traza de carga de capas aunque el proceso ya esté generando; la evidencia es la utilización de nvidia-smi, no el texto de la consola.</w:t>
      </w:r>
    </w:p>
    <w:p>
      <w:pPr>
        <w:spacing w:after="160" w:line="360" w:lineRule="auto"/>
        <w:ind w:firstLine="425"/>
        <w:jc w:val="both"/>
      </w:pPr>
      <w:r>
        <w:rPr>
          <w:rFonts w:ascii="Arial" w:cs="Arial" w:eastAsia="Arial" w:hAnsi="Arial"/>
          <w:sz w:val="22"/>
          <w:szCs w:val="22"/>
        </w:rPr>
        <w:t xml:space="preserve">El objetivo específico 4 pedía cuantificar cuánto se pierde por emplear modelos que caben en la memoria de una tarjeta de consumo frente a modelos de mayor capacidad. La vía evidente, una interfaz comercial, habría contradicho la restricción de partida del trabajo: ejecución íntegramente local, sin enviar datos a terceros y sin coste recurrente.</w:t>
      </w:r>
    </w:p>
    <w:p>
      <w:pPr>
        <w:spacing w:after="160" w:line="360" w:lineRule="auto"/>
        <w:ind w:firstLine="425"/>
        <w:jc w:val="both"/>
      </w:pPr>
      <w:r>
        <w:rPr>
          <w:rFonts w:ascii="Arial" w:cs="Arial" w:eastAsia="Arial" w:hAnsi="Arial"/>
          <w:sz w:val="22"/>
          <w:szCs w:val="22"/>
        </w:rPr>
        <w:t xml:space="preserve">Se recurrió por ello a la descomposición por capas, que mantiene una sola capa del modelo en memoria de vídeo y lee las restantes desde disco conforme las necesita. La memoria requerida pasa así a depender del tamaño de una capa y no del modelo completo, lo que permitió ejecutar un modelo de 72.000 millones de parámetros en una tarjeta de 16 GB sin romper la restricción. Que el objetivo pueda cumplirse sin romperla es, en sí mismo, un resultado.</w:t>
      </w:r>
    </w:p>
    <w:p>
      <w:pPr>
        <w:pStyle w:val="Heading3"/>
        <w:spacing w:after="200" w:before="360"/>
      </w:pPr>
      <w:r>
        <w:rPr>
          <w:rFonts w:ascii="Arial" w:cs="Arial" w:eastAsia="Arial" w:hAnsi="Arial"/>
          <w:b/>
          <w:bCs/>
          <w:color w:val="000000"/>
          <w:sz w:val="24"/>
          <w:szCs w:val="24"/>
        </w:rPr>
        <w:t xml:space="preserve">Diseño de la comparación</w:t>
      </w:r>
    </w:p>
    <w:p>
      <w:pPr>
        <w:spacing w:after="160" w:line="360" w:lineRule="auto"/>
        <w:ind w:firstLine="425"/>
        <w:jc w:val="both"/>
      </w:pPr>
      <w:r>
        <w:rPr>
          <w:rFonts w:ascii="Arial" w:cs="Arial" w:eastAsia="Arial" w:hAnsi="Arial"/>
          <w:sz w:val="22"/>
          <w:szCs w:val="22"/>
        </w:rPr>
        <w:t xml:space="preserve">Se aisló el Investigador, único agente que emite veredictos. El Modelador se limita a presentar los casos y el Reportero ensambla una tabla que desde la última versión se construye sin intervención del modelo, de modo que ejecutar el sistema completo habría gastado horas en dos agentes que no influyen en lo medido. El arnés replica el enunciado exacto de la tarea del Investigador y mide con la misma función que el sistema completo.</w:t>
      </w:r>
    </w:p>
    <w:p>
      <w:pPr>
        <w:spacing w:after="160" w:line="360" w:lineRule="auto"/>
        <w:ind w:firstLine="425"/>
        <w:jc w:val="both"/>
      </w:pPr>
      <w:r>
        <w:rPr>
          <w:rFonts w:ascii="Arial" w:cs="Arial" w:eastAsia="Arial" w:hAnsi="Arial"/>
          <w:sz w:val="22"/>
          <w:szCs w:val="22"/>
        </w:rPr>
        <w:t xml:space="preserve">Antes de emplearlo se comprobó que reproduce el comportamiento del sistema: con el modelo de 14.000 millones sobre los casos 44 a 55 destruye los mismos dos fraudes que destruye el sistema completo en la comparativa de modelos.</w:t>
      </w:r>
    </w:p>
    <w:p>
      <w:pPr>
        <w:spacing w:after="160" w:line="360" w:lineRule="auto"/>
        <w:ind w:firstLine="425"/>
        <w:jc w:val="both"/>
      </w:pPr>
      <w:r>
        <w:rPr>
          <w:rFonts w:ascii="Arial" w:cs="Arial" w:eastAsia="Arial" w:hAnsi="Arial"/>
          <w:sz w:val="22"/>
          <w:szCs w:val="22"/>
        </w:rPr>
        <w:t xml:space="preserve">A una hora y cincuenta minutos por caso no cabía recorrer el expediente entero. La cola está compuesta casi por completo de transacciones legítimas que todos los modelos descartan y que por tanto no distinguen nada, de modo que se dirigió la comparación a los dos únicos casos de la cola que son fraude real, el 50 y el 55, y se añadieron dos legítimos como control. Es una selección deliberada y así debe leerse: la cifra resultante no es una tasa sobre la cola sino la respuesta a si el modelo mayor salva esos casos concretos.</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Caso</w:t>
            </w:r>
          </w:p>
        </w:tc>
        <w:tc>
          <w:tcPr>
            <w:tcW w:type="dxa" w:w="2250"/>
            <w:shd w:fill="D9D9D9" w:val="clear"/>
          </w:tcPr>
          <w:p>
            <w:pPr>
              <w:spacing w:after="0"/>
            </w:pPr>
            <w:r>
              <w:rPr>
                <w:rFonts w:ascii="Arial" w:cs="Arial" w:eastAsia="Arial" w:hAnsi="Arial"/>
                <w:b/>
                <w:bCs/>
                <w:sz w:val="20"/>
                <w:szCs w:val="20"/>
              </w:rPr>
              <w:t xml:space="preserve">Clase real</w:t>
            </w:r>
          </w:p>
        </w:tc>
        <w:tc>
          <w:tcPr>
            <w:tcW w:type="dxa" w:w="2250"/>
            <w:shd w:fill="D9D9D9" w:val="clear"/>
          </w:tcPr>
          <w:p>
            <w:pPr>
              <w:spacing w:after="0"/>
            </w:pPr>
            <w:r>
              <w:rPr>
                <w:rFonts w:ascii="Arial" w:cs="Arial" w:eastAsia="Arial" w:hAnsi="Arial"/>
                <w:b/>
                <w:bCs/>
                <w:sz w:val="20"/>
                <w:szCs w:val="20"/>
              </w:rPr>
              <w:t xml:space="preserve">qwen2.5 14B</w:t>
            </w:r>
          </w:p>
        </w:tc>
        <w:tc>
          <w:tcPr>
            <w:tcW w:type="dxa" w:w="2250"/>
            <w:shd w:fill="D9D9D9" w:val="clear"/>
          </w:tcPr>
          <w:p>
            <w:pPr>
              <w:spacing w:after="0"/>
            </w:pPr>
            <w:r>
              <w:rPr>
                <w:rFonts w:ascii="Arial" w:cs="Arial" w:eastAsia="Arial" w:hAnsi="Arial"/>
                <w:b/>
                <w:bCs/>
                <w:sz w:val="20"/>
                <w:szCs w:val="20"/>
              </w:rPr>
              <w:t xml:space="preserve">Qwen2.5 72B</w:t>
            </w:r>
          </w:p>
        </w:tc>
      </w:tr>
      <w:tr>
        <w:tc>
          <w:tcPr>
            <w:tcW w:type="dxa" w:w="2250"/>
          </w:tcPr>
          <w:p>
            <w:pPr>
              <w:spacing w:after="0"/>
            </w:pPr>
            <w:r>
              <w:rPr>
                <w:rFonts w:ascii="Arial" w:cs="Arial" w:eastAsia="Arial" w:hAnsi="Arial"/>
                <w:b w:val="false"/>
                <w:bCs w:val="false"/>
                <w:sz w:val="20"/>
                <w:szCs w:val="20"/>
              </w:rPr>
              <w:t xml:space="preserve">50</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54</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bl>
    <w:p>
      <w:pPr>
        <w:spacing w:after="160"/>
      </w:pPr>
    </w:p>
    <w:p>
      <w:pPr>
        <w:spacing w:after="160" w:line="360" w:lineRule="auto"/>
        <w:ind w:firstLine="425"/>
        <w:jc w:val="both"/>
      </w:pPr>
      <w:r>
        <w:rPr>
          <w:rFonts w:ascii="Arial" w:cs="Arial" w:eastAsia="Arial" w:hAnsi="Arial"/>
          <w:sz w:val="22"/>
          <w:szCs w:val="22"/>
        </w:rPr>
        <w:t xml:space="preserve">Los veredictos son idénticos. El modelo de 72.000 millones de parámetros destruye los mismos dos fraudes que el de 14.000, ni uno más ni uno menos.</w:t>
      </w:r>
    </w:p>
    <w:p>
      <w:pPr>
        <w:spacing w:after="160" w:line="360" w:lineRule="auto"/>
        <w:ind w:firstLine="425"/>
        <w:jc w:val="both"/>
      </w:pPr>
      <w:r>
        <w:rPr>
          <w:rFonts w:ascii="Arial" w:cs="Arial" w:eastAsia="Arial" w:hAnsi="Arial"/>
          <w:sz w:val="22"/>
          <w:szCs w:val="22"/>
        </w:rPr>
        <w:t xml:space="preserve">El coste, en cambio, no lo es en absoluto.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14B</w:t>
            </w:r>
          </w:p>
        </w:tc>
        <w:tc>
          <w:tcPr>
            <w:tcW w:type="dxa" w:w="3000"/>
            <w:shd w:fill="D9D9D9" w:val="clear"/>
          </w:tcPr>
          <w:p>
            <w:pPr>
              <w:spacing w:after="0"/>
            </w:pPr>
            <w:r>
              <w:rPr>
                <w:rFonts w:ascii="Arial" w:cs="Arial" w:eastAsia="Arial" w:hAnsi="Arial"/>
                <w:b/>
                <w:bCs/>
                <w:sz w:val="20"/>
                <w:szCs w:val="20"/>
              </w:rPr>
              <w:t xml:space="preserve">72B, cuantizado a 4 bits</w:t>
            </w:r>
          </w:p>
        </w:tc>
      </w:tr>
      <w:tr>
        <w:tc>
          <w:tcPr>
            <w:tcW w:type="dxa" w:w="3000"/>
          </w:tcPr>
          <w:p>
            <w:pPr>
              <w:spacing w:after="0"/>
            </w:pPr>
            <w:r>
              <w:rPr>
                <w:rFonts w:ascii="Arial" w:cs="Arial" w:eastAsia="Arial" w:hAnsi="Arial"/>
                <w:b w:val="false"/>
                <w:bCs w:val="false"/>
                <w:sz w:val="20"/>
                <w:szCs w:val="20"/>
              </w:rPr>
              <w:t xml:space="preserve">Segundos por caso</w:t>
            </w:r>
          </w:p>
        </w:tc>
        <w:tc>
          <w:tcPr>
            <w:tcW w:type="dxa" w:w="3000"/>
          </w:tcPr>
          <w:p>
            <w:pPr>
              <w:spacing w:after="0"/>
            </w:pPr>
            <w:r>
              <w:rPr>
                <w:rFonts w:ascii="Arial" w:cs="Arial" w:eastAsia="Arial" w:hAnsi="Arial"/>
                <w:b w:val="false"/>
                <w:bCs w:val="false"/>
                <w:sz w:val="20"/>
                <w:szCs w:val="20"/>
              </w:rPr>
              <w:t xml:space="preserve">3,7</w:t>
            </w:r>
          </w:p>
        </w:tc>
        <w:tc>
          <w:tcPr>
            <w:tcW w:type="dxa" w:w="3000"/>
          </w:tcPr>
          <w:p>
            <w:pPr>
              <w:spacing w:after="0"/>
            </w:pPr>
            <w:r>
              <w:rPr>
                <w:rFonts w:ascii="Arial" w:cs="Arial" w:eastAsia="Arial" w:hAnsi="Arial"/>
                <w:b w:val="false"/>
                <w:bCs w:val="false"/>
                <w:sz w:val="20"/>
                <w:szCs w:val="20"/>
              </w:rPr>
              <w:t xml:space="preserve">6.622,7</w:t>
            </w:r>
          </w:p>
        </w:tc>
      </w:tr>
      <w:tr>
        <w:tc>
          <w:tcPr>
            <w:tcW w:type="dxa" w:w="3000"/>
          </w:tcPr>
          <w:p>
            <w:pPr>
              <w:spacing w:after="0"/>
            </w:pPr>
            <w:r>
              <w:rPr>
                <w:rFonts w:ascii="Arial" w:cs="Arial" w:eastAsia="Arial" w:hAnsi="Arial"/>
                <w:b w:val="false"/>
                <w:bCs w:val="false"/>
                <w:sz w:val="20"/>
                <w:szCs w:val="20"/>
              </w:rPr>
              <w:t xml:space="preserve">Expediente de 55 casos</w:t>
            </w:r>
          </w:p>
        </w:tc>
        <w:tc>
          <w:tcPr>
            <w:tcW w:type="dxa" w:w="3000"/>
          </w:tcPr>
          <w:p>
            <w:pPr>
              <w:spacing w:after="0"/>
            </w:pPr>
            <w:r>
              <w:rPr>
                <w:rFonts w:ascii="Arial" w:cs="Arial" w:eastAsia="Arial" w:hAnsi="Arial"/>
                <w:b w:val="false"/>
                <w:bCs w:val="false"/>
                <w:sz w:val="20"/>
                <w:szCs w:val="20"/>
              </w:rPr>
              <w:t xml:space="preserve">3,4 min</w:t>
            </w:r>
          </w:p>
        </w:tc>
        <w:tc>
          <w:tcPr>
            <w:tcW w:type="dxa" w:w="3000"/>
          </w:tcPr>
          <w:p>
            <w:pPr>
              <w:spacing w:after="0"/>
            </w:pPr>
            <w:r>
              <w:rPr>
                <w:rFonts w:ascii="Arial" w:cs="Arial" w:eastAsia="Arial" w:hAnsi="Arial"/>
                <w:b w:val="false"/>
                <w:bCs w:val="false"/>
                <w:sz w:val="20"/>
                <w:szCs w:val="20"/>
              </w:rPr>
              <w:t xml:space="preserve">6.071 min (extrapolado)</w:t>
            </w:r>
          </w:p>
        </w:tc>
      </w:tr>
      <w:tr>
        <w:tc>
          <w:tcPr>
            <w:tcW w:type="dxa" w:w="3000"/>
          </w:tcPr>
          <w:p>
            <w:pPr>
              <w:spacing w:after="0"/>
            </w:pPr>
            <w:r>
              <w:rPr>
                <w:rFonts w:ascii="Arial" w:cs="Arial" w:eastAsia="Arial" w:hAnsi="Arial"/>
                <w:b w:val="false"/>
                <w:bCs w:val="false"/>
                <w:sz w:val="20"/>
                <w:szCs w:val="20"/>
              </w:rPr>
              <w:t xml:space="preserve">Utilización de GPU</w:t>
            </w:r>
          </w:p>
        </w:tc>
        <w:tc>
          <w:tcPr>
            <w:tcW w:type="dxa" w:w="3000"/>
          </w:tcPr>
          <w:p>
            <w:pPr>
              <w:spacing w:after="0"/>
            </w:pPr>
            <w:r>
              <w:rPr>
                <w:rFonts w:ascii="Arial" w:cs="Arial" w:eastAsia="Arial" w:hAnsi="Arial"/>
                <w:b w:val="false"/>
                <w:bCs w:val="false"/>
                <w:sz w:val="20"/>
                <w:szCs w:val="20"/>
              </w:rPr>
              <w:t xml:space="preserve">—</w:t>
            </w:r>
          </w:p>
        </w:tc>
        <w:tc>
          <w:tcPr>
            <w:tcW w:type="dxa" w:w="3000"/>
          </w:tcPr>
          <w:p>
            <w:pPr>
              <w:spacing w:after="0"/>
            </w:pPr>
            <w:r>
              <w:rPr>
                <w:rFonts w:ascii="Arial" w:cs="Arial" w:eastAsia="Arial" w:hAnsi="Arial"/>
                <w:b w:val="false"/>
                <w:bCs w:val="false"/>
                <w:sz w:val="20"/>
                <w:szCs w:val="20"/>
              </w:rPr>
              <w:t xml:space="preserve">9 % a 25 %</w:t>
            </w:r>
          </w:p>
        </w:tc>
      </w:tr>
    </w:tbl>
    <w:p>
      <w:pPr>
        <w:spacing w:after="160"/>
      </w:pPr>
    </w:p>
    <w:p>
      <w:pPr>
        <w:spacing w:after="160" w:line="360" w:lineRule="auto"/>
        <w:ind w:firstLine="425"/>
        <w:jc w:val="both"/>
      </w:pPr>
      <w:r>
        <w:rPr>
          <w:rFonts w:ascii="Arial" w:cs="Arial" w:eastAsia="Arial" w:hAnsi="Arial"/>
          <w:sz w:val="22"/>
          <w:szCs w:val="22"/>
        </w:rPr>
        <w:t xml:space="preserve">El factor es de 1.790. Analizar un turno de cuatro horas llevaría algo más de cuatro días. La utilización de GPU observada sitúa además el cuello de botella en la lectura de las ochenta capas desde disco por cada token generado, y no en el cómputo, de modo que tampoco se corregiría con una tarjeta más potente. La cuantización a cuatro bits, por añadidura, desactiva la lectura anticipada de la biblioteca empleada, con lo que no hay solapamiento entre disco y cálculo.</w:t>
      </w:r>
    </w:p>
    <w:p>
      <w:pPr>
        <w:pStyle w:val="Heading3"/>
        <w:spacing w:after="200" w:before="360"/>
      </w:pPr>
      <w:r>
        <w:rPr>
          <w:rFonts w:ascii="Arial" w:cs="Arial" w:eastAsia="Arial" w:hAnsi="Arial"/>
          <w:b/>
          <w:bCs/>
          <w:color w:val="000000"/>
          <w:sz w:val="24"/>
          <w:szCs w:val="24"/>
        </w:rPr>
        <w:t xml:space="preserve">Por qué falla, que no es por capacidad</w:t>
      </w:r>
    </w:p>
    <w:p>
      <w:pPr>
        <w:spacing w:after="160" w:line="360" w:lineRule="auto"/>
        <w:ind w:firstLine="425"/>
        <w:jc w:val="both"/>
      </w:pPr>
      <w:r>
        <w:rPr>
          <w:rFonts w:ascii="Arial" w:cs="Arial" w:eastAsia="Arial" w:hAnsi="Arial"/>
          <w:sz w:val="22"/>
          <w:szCs w:val="22"/>
        </w:rPr>
        <w:t xml:space="preserve">El veredicto por sí solo no explicaría gran cosa. El razonamiento escrito sí. Sobre el caso 55, que corresponde a un fraude real de 2,22 euros, el modelo escribió que dado que el nivel de riesgo es bajo y el importe muy reducido, es probable que se trate de un falso positivo. Sobre el caso 50, fraude real de 1,00 euro, que dado el bajo importe y el equilibrio entre factores, la transacción parece más bien una anomalía sin intención fraudulenta clara.</w:t>
      </w:r>
    </w:p>
    <w:p>
      <w:pPr>
        <w:spacing w:after="160" w:line="360" w:lineRule="auto"/>
        <w:ind w:firstLine="425"/>
        <w:jc w:val="both"/>
      </w:pPr>
      <w:r>
        <w:rPr>
          <w:rFonts w:ascii="Arial" w:cs="Arial" w:eastAsia="Arial" w:hAnsi="Arial"/>
          <w:sz w:val="22"/>
          <w:szCs w:val="22"/>
        </w:rPr>
        <w:t xml:space="preserve">Ambos se descartan porque el importe es bajo. Es una heurística razonable en abstracto y está exactamente invertida en este dominio, como muestra la distribución de importes del propio turno: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Fraude</w:t>
            </w:r>
          </w:p>
        </w:tc>
        <w:tc>
          <w:tcPr>
            <w:tcW w:type="dxa" w:w="3000"/>
            <w:shd w:fill="D9D9D9" w:val="clear"/>
          </w:tcPr>
          <w:p>
            <w:pPr>
              <w:spacing w:after="0"/>
            </w:pPr>
            <w:r>
              <w:rPr>
                <w:rFonts w:ascii="Arial" w:cs="Arial" w:eastAsia="Arial" w:hAnsi="Arial"/>
                <w:b/>
                <w:bCs/>
                <w:sz w:val="20"/>
                <w:szCs w:val="20"/>
              </w:rPr>
              <w:t xml:space="preserve">Legítima</w:t>
            </w:r>
          </w:p>
        </w:tc>
      </w:tr>
      <w:tr>
        <w:tc>
          <w:tcPr>
            <w:tcW w:type="dxa" w:w="3000"/>
          </w:tcPr>
          <w:p>
            <w:pPr>
              <w:spacing w:after="0"/>
            </w:pPr>
            <w:r>
              <w:rPr>
                <w:rFonts w:ascii="Arial" w:cs="Arial" w:eastAsia="Arial" w:hAnsi="Arial"/>
                <w:b w:val="false"/>
                <w:bCs w:val="false"/>
                <w:sz w:val="20"/>
                <w:szCs w:val="20"/>
              </w:rPr>
              <w:t xml:space="preserve">n</w:t>
            </w:r>
          </w:p>
        </w:tc>
        <w:tc>
          <w:tcPr>
            <w:tcW w:type="dxa" w:w="3000"/>
          </w:tcPr>
          <w:p>
            <w:pPr>
              <w:spacing w:after="0"/>
            </w:pPr>
            <w:r>
              <w:rPr>
                <w:rFonts w:ascii="Arial" w:cs="Arial" w:eastAsia="Arial" w:hAnsi="Arial"/>
                <w:b w:val="false"/>
                <w:bCs w:val="false"/>
                <w:sz w:val="20"/>
                <w:szCs w:val="20"/>
              </w:rPr>
              <w:t xml:space="preserve">54</w:t>
            </w:r>
          </w:p>
        </w:tc>
        <w:tc>
          <w:tcPr>
            <w:tcW w:type="dxa" w:w="3000"/>
          </w:tcPr>
          <w:p>
            <w:pPr>
              <w:spacing w:after="0"/>
            </w:pPr>
            <w:r>
              <w:rPr>
                <w:rFonts w:ascii="Arial" w:cs="Arial" w:eastAsia="Arial" w:hAnsi="Arial"/>
                <w:b w:val="false"/>
                <w:bCs w:val="false"/>
                <w:sz w:val="20"/>
                <w:szCs w:val="20"/>
              </w:rPr>
              <w:t xml:space="preserve">32.737</w:t>
            </w:r>
          </w:p>
        </w:tc>
      </w:tr>
      <w:tr>
        <w:tc>
          <w:tcPr>
            <w:tcW w:type="dxa" w:w="3000"/>
          </w:tcPr>
          <w:p>
            <w:pPr>
              <w:spacing w:after="0"/>
            </w:pPr>
            <w:r>
              <w:rPr>
                <w:rFonts w:ascii="Arial" w:cs="Arial" w:eastAsia="Arial" w:hAnsi="Arial"/>
                <w:b w:val="false"/>
                <w:bCs w:val="false"/>
                <w:sz w:val="20"/>
                <w:szCs w:val="20"/>
              </w:rPr>
              <w:t xml:space="preserve">Importe mediano</w:t>
            </w:r>
          </w:p>
        </w:tc>
        <w:tc>
          <w:tcPr>
            <w:tcW w:type="dxa" w:w="3000"/>
          </w:tcPr>
          <w:p>
            <w:pPr>
              <w:spacing w:after="0"/>
            </w:pPr>
            <w:r>
              <w:rPr>
                <w:rFonts w:ascii="Arial" w:cs="Arial" w:eastAsia="Arial" w:hAnsi="Arial"/>
                <w:b w:val="false"/>
                <w:bCs w:val="false"/>
                <w:sz w:val="20"/>
                <w:szCs w:val="20"/>
              </w:rPr>
              <w:t xml:space="preserve">2,11 EUR</w:t>
            </w:r>
          </w:p>
        </w:tc>
        <w:tc>
          <w:tcPr>
            <w:tcW w:type="dxa" w:w="3000"/>
          </w:tcPr>
          <w:p>
            <w:pPr>
              <w:spacing w:after="0"/>
            </w:pPr>
            <w:r>
              <w:rPr>
                <w:rFonts w:ascii="Arial" w:cs="Arial" w:eastAsia="Arial" w:hAnsi="Arial"/>
                <w:b w:val="false"/>
                <w:bCs w:val="false"/>
                <w:sz w:val="20"/>
                <w:szCs w:val="20"/>
              </w:rPr>
              <w:t xml:space="preserve">19,99 EUR</w:t>
            </w:r>
          </w:p>
        </w:tc>
      </w:tr>
      <w:tr>
        <w:tc>
          <w:tcPr>
            <w:tcW w:type="dxa" w:w="3000"/>
          </w:tcPr>
          <w:p>
            <w:pPr>
              <w:spacing w:after="0"/>
            </w:pPr>
            <w:r>
              <w:rPr>
                <w:rFonts w:ascii="Arial" w:cs="Arial" w:eastAsia="Arial" w:hAnsi="Arial"/>
                <w:b w:val="false"/>
                <w:bCs w:val="false"/>
                <w:sz w:val="20"/>
                <w:szCs w:val="20"/>
              </w:rPr>
              <w:t xml:space="preserve">Hasta 1 EUR</w:t>
            </w:r>
          </w:p>
        </w:tc>
        <w:tc>
          <w:tcPr>
            <w:tcW w:type="dxa" w:w="3000"/>
          </w:tcPr>
          <w:p>
            <w:pPr>
              <w:spacing w:after="0"/>
            </w:pPr>
            <w:r>
              <w:rPr>
                <w:rFonts w:ascii="Arial" w:cs="Arial" w:eastAsia="Arial" w:hAnsi="Arial"/>
                <w:b w:val="false"/>
                <w:bCs w:val="false"/>
                <w:sz w:val="20"/>
                <w:szCs w:val="20"/>
              </w:rPr>
              <w:t xml:space="preserve">40,7 %</w:t>
            </w:r>
          </w:p>
        </w:tc>
        <w:tc>
          <w:tcPr>
            <w:tcW w:type="dxa" w:w="3000"/>
          </w:tcPr>
          <w:p>
            <w:pPr>
              <w:spacing w:after="0"/>
            </w:pPr>
            <w:r>
              <w:rPr>
                <w:rFonts w:ascii="Arial" w:cs="Arial" w:eastAsia="Arial" w:hAnsi="Arial"/>
                <w:b w:val="false"/>
                <w:bCs w:val="false"/>
                <w:sz w:val="20"/>
                <w:szCs w:val="20"/>
              </w:rPr>
              <w:t xml:space="preserve">10,2 %</w:t>
            </w:r>
          </w:p>
        </w:tc>
      </w:tr>
      <w:tr>
        <w:tc>
          <w:tcPr>
            <w:tcW w:type="dxa" w:w="3000"/>
          </w:tcPr>
          <w:p>
            <w:pPr>
              <w:spacing w:after="0"/>
            </w:pPr>
            <w:r>
              <w:rPr>
                <w:rFonts w:ascii="Arial" w:cs="Arial" w:eastAsia="Arial" w:hAnsi="Arial"/>
                <w:b w:val="false"/>
                <w:bCs w:val="false"/>
                <w:sz w:val="20"/>
                <w:szCs w:val="20"/>
              </w:rPr>
              <w:t xml:space="preserve">Hasta 2 EUR</w:t>
            </w:r>
          </w:p>
        </w:tc>
        <w:tc>
          <w:tcPr>
            <w:tcW w:type="dxa" w:w="3000"/>
          </w:tcPr>
          <w:p>
            <w:pPr>
              <w:spacing w:after="0"/>
            </w:pPr>
            <w:r>
              <w:rPr>
                <w:rFonts w:ascii="Arial" w:cs="Arial" w:eastAsia="Arial" w:hAnsi="Arial"/>
                <w:b w:val="false"/>
                <w:bCs w:val="false"/>
                <w:sz w:val="20"/>
                <w:szCs w:val="20"/>
              </w:rPr>
              <w:t xml:space="preserve">50,0 %</w:t>
            </w:r>
          </w:p>
        </w:tc>
        <w:tc>
          <w:tcPr>
            <w:tcW w:type="dxa" w:w="3000"/>
          </w:tcPr>
          <w:p>
            <w:pPr>
              <w:spacing w:after="0"/>
            </w:pPr>
            <w:r>
              <w:rPr>
                <w:rFonts w:ascii="Arial" w:cs="Arial" w:eastAsia="Arial" w:hAnsi="Arial"/>
                <w:b w:val="false"/>
                <w:bCs w:val="false"/>
                <w:sz w:val="20"/>
                <w:szCs w:val="20"/>
              </w:rPr>
              <w:t xml:space="preserve">17,4 %</w:t>
            </w:r>
          </w:p>
        </w:tc>
      </w:tr>
      <w:tr>
        <w:tc>
          <w:tcPr>
            <w:tcW w:type="dxa" w:w="3000"/>
          </w:tcPr>
          <w:p>
            <w:pPr>
              <w:spacing w:after="0"/>
            </w:pPr>
            <w:r>
              <w:rPr>
                <w:rFonts w:ascii="Arial" w:cs="Arial" w:eastAsia="Arial" w:hAnsi="Arial"/>
                <w:b w:val="false"/>
                <w:bCs w:val="false"/>
                <w:sz w:val="20"/>
                <w:szCs w:val="20"/>
              </w:rPr>
              <w:t xml:space="preserve">Hasta 5 EUR</w:t>
            </w:r>
          </w:p>
        </w:tc>
        <w:tc>
          <w:tcPr>
            <w:tcW w:type="dxa" w:w="3000"/>
          </w:tcPr>
          <w:p>
            <w:pPr>
              <w:spacing w:after="0"/>
            </w:pPr>
            <w:r>
              <w:rPr>
                <w:rFonts w:ascii="Arial" w:cs="Arial" w:eastAsia="Arial" w:hAnsi="Arial"/>
                <w:b w:val="false"/>
                <w:bCs w:val="false"/>
                <w:sz w:val="20"/>
                <w:szCs w:val="20"/>
              </w:rPr>
              <w:t xml:space="preserve">59,3 %</w:t>
            </w:r>
          </w:p>
        </w:tc>
        <w:tc>
          <w:tcPr>
            <w:tcW w:type="dxa" w:w="3000"/>
          </w:tcPr>
          <w:p>
            <w:pPr>
              <w:spacing w:after="0"/>
            </w:pPr>
            <w:r>
              <w:rPr>
                <w:rFonts w:ascii="Arial" w:cs="Arial" w:eastAsia="Arial" w:hAnsi="Arial"/>
                <w:b w:val="false"/>
                <w:bCs w:val="false"/>
                <w:sz w:val="20"/>
                <w:szCs w:val="20"/>
              </w:rPr>
              <w:t xml:space="preserve">25,1 %</w:t>
            </w:r>
          </w:p>
        </w:tc>
      </w:tr>
    </w:tbl>
    <w:p>
      <w:pPr>
        <w:spacing w:after="160"/>
      </w:pPr>
    </w:p>
    <w:p>
      <w:pPr>
        <w:spacing w:after="160" w:line="360" w:lineRule="auto"/>
        <w:ind w:firstLine="425"/>
        <w:jc w:val="both"/>
      </w:pPr>
      <w:r>
        <w:rPr>
          <w:rFonts w:ascii="Arial" w:cs="Arial" w:eastAsia="Arial" w:hAnsi="Arial"/>
          <w:sz w:val="22"/>
          <w:szCs w:val="22"/>
        </w:rPr>
        <w:t xml:space="preserve">Una transacción fraudulenta tiene 2,4 veces más probabilidad de ser de cinco euros o menos que una legítima. El patrón dominante en fraude con tarjeta es el cargo mínimo de prueba antes del cargo grande, y el modelo lo lee como señal de inocencia.</w:t>
      </w:r>
    </w:p>
    <w:p>
      <w:pPr>
        <w:spacing w:after="160" w:line="360" w:lineRule="auto"/>
        <w:ind w:firstLine="425"/>
        <w:jc w:val="both"/>
      </w:pPr>
      <w:r>
        <w:rPr>
          <w:rFonts w:ascii="Arial" w:cs="Arial" w:eastAsia="Arial" w:hAnsi="Arial"/>
          <w:sz w:val="22"/>
          <w:szCs w:val="22"/>
        </w:rPr>
        <w:t xml:space="preserve">El caso 54 demuestra que no se trata de que ignore la evidencia: ante una transacción legítima de 912 euros razona correctamente sobre las contribuciones de las variables y la descarta con acierto. Lee los aportes, y a continuación los anula con una creencia sobre el mundo que en estos datos es falsa. El experimento descrito en 5.12 explora qué ocurre al corregir esa creencia.</w:t>
      </w:r>
    </w:p>
    <w:p>
      <w:pPr>
        <w:pStyle w:val="Heading3"/>
        <w:spacing w:after="200" w:before="360"/>
      </w:pPr>
      <w:r>
        <w:rPr>
          <w:rFonts w:ascii="Arial" w:cs="Arial" w:eastAsia="Arial" w:hAnsi="Arial"/>
          <w:b/>
          <w:bCs/>
          <w:color w:val="000000"/>
          <w:sz w:val="24"/>
          <w:szCs w:val="24"/>
        </w:rPr>
        <w:t xml:space="preserve">Advertencias</w:t>
      </w:r>
    </w:p>
    <w:p>
      <w:pPr>
        <w:spacing w:after="160" w:line="360" w:lineRule="auto"/>
        <w:ind w:firstLine="425"/>
        <w:jc w:val="both"/>
      </w:pPr>
      <w:r>
        <w:rPr>
          <w:rFonts w:ascii="Arial" w:cs="Arial" w:eastAsia="Arial" w:hAnsi="Arial"/>
          <w:sz w:val="22"/>
          <w:szCs w:val="22"/>
        </w:rPr>
        <w:t xml:space="preserve">Son cuatro casos y no hay contraste estadístico posible; es una demostración y así se reporta. La selección de casos es deliberada y está justificada más arriba. Una primera ejecución quedó invalidada porque la biblioteca de descomposición por capas no aplicaba la plantilla de conversación del modelo, de modo que este no interpretaba el texto como una petición sino como un documento a continuar; el detalle figura en 6.2.5 junto a los demás modos de fallo silencioso. Lo que no depende de nada de esto es el coste, que es el resultado más sólido de esta sección.</w:t>
      </w:r>
    </w:p>
    <w:p>
      <w:pPr>
        <w:pStyle w:val="Heading2"/>
        <w:spacing w:after="200" w:before="360"/>
      </w:pPr>
      <w:r>
        <w:rPr>
          <w:rFonts w:ascii="Arial" w:cs="Arial" w:eastAsia="Arial" w:hAnsi="Arial"/>
          <w:b/>
          <w:bCs/>
          <w:color w:val="000000"/>
          <w:sz w:val="26"/>
          <w:szCs w:val="26"/>
        </w:rPr>
        <w:t xml:space="preserve">5.12 Corrección de la premisa: ¿cambia el veredicto o solo la prosa?</w:t>
      </w:r>
    </w:p>
    <w:p>
      <w:pPr>
        <w:spacing w:after="80" w:before="240"/>
        <w:jc w:val="center"/>
      </w:pPr>
      <w:r>
        <w:drawing>
          <wp:inline distT="0" distB="0" distL="0" distR="0">
            <wp:extent cx="54006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390900"/>
                    </a:xfrm>
                    <a:prstGeom prst="rect">
                      <a:avLst/>
                    </a:prstGeom>
                  </pic:spPr>
                </pic:pic>
              </a:graphicData>
            </a:graphic>
          </wp:inline>
        </w:drawing>
      </w:r>
    </w:p>
    <w:p>
      <w:pPr>
        <w:spacing w:after="240"/>
        <w:jc w:val="center"/>
      </w:pPr>
      <w:r>
        <w:rPr>
          <w:i/>
          <w:iCs/>
          <w:sz w:val="20"/>
          <w:szCs w:val="20"/>
        </w:rPr>
        <w:t xml:space="preserve">Figura 22. Sin la corrección de dominio: el modelo usa el importe bajo como argumento y descarta el fraude 1885.</w:t>
      </w:r>
    </w:p>
    <w:p>
      <w:pPr>
        <w:spacing w:after="80" w:before="240"/>
        <w:jc w:val="center"/>
      </w:pPr>
      <w:r>
        <w:drawing>
          <wp:inline distT="0" distB="0" distL="0" distR="0">
            <wp:extent cx="54006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438525"/>
                    </a:xfrm>
                    <a:prstGeom prst="rect">
                      <a:avLst/>
                    </a:prstGeom>
                  </pic:spPr>
                </pic:pic>
              </a:graphicData>
            </a:graphic>
          </wp:inline>
        </w:drawing>
      </w:r>
    </w:p>
    <w:p>
      <w:pPr>
        <w:spacing w:after="240"/>
        <w:jc w:val="center"/>
      </w:pPr>
      <w:r>
        <w:rPr>
          <w:i/>
          <w:iCs/>
          <w:sz w:val="20"/>
          <w:szCs w:val="20"/>
        </w:rPr>
        <w:t xml:space="preserve">Figura 23. El resultado central, en vivo: con la corrección de dominio, el párrafo escribe que la transacción «podría ser una prueba inicial antes de realizar cargos más grandes» y el veredicto la descarta. El caso era el fraude 1885.</w:t>
      </w:r>
    </w:p>
    <w:p>
      <w:pPr>
        <w:spacing w:after="160" w:line="360" w:lineRule="auto"/>
        <w:ind w:firstLine="425"/>
        <w:jc w:val="both"/>
      </w:pPr>
      <w:r>
        <w:rPr>
          <w:rFonts w:ascii="Arial" w:cs="Arial" w:eastAsia="Arial" w:hAnsi="Arial"/>
          <w:sz w:val="22"/>
          <w:szCs w:val="22"/>
        </w:rPr>
        <w:t xml:space="preserve">La sección anterior mostró que los modelos descartan fraude alegando que el importe es reducido, premisa que en estos datos está invertida. Cabía esperar, por tanto, una corrección barata: bastaría con retirar esa creencia del enunciado.</w:t>
      </w:r>
    </w:p>
    <w:p>
      <w:pPr>
        <w:spacing w:after="160" w:line="360" w:lineRule="auto"/>
        <w:ind w:firstLine="425"/>
        <w:jc w:val="both"/>
      </w:pPr>
      <w:r>
        <w:rPr>
          <w:rFonts w:ascii="Arial" w:cs="Arial" w:eastAsia="Arial" w:hAnsi="Arial"/>
          <w:sz w:val="22"/>
          <w:szCs w:val="22"/>
        </w:rPr>
        <w:t xml:space="preserve">Se añadió al enunciado un párrafo que advierte de que el cargo mínimo de prueba es habitual en fraude con tarjeta y de que un importe reducido no basta por sí solo para descartar un caso. Se evitó deliberadamente la formulación contraria —que el importe bajo indica fraude—, porque habría entregado la respuesta en la entrada y reproducido el defecto de diseño que obligó a rehacer la ablación del expediente. Se retira una premisa falsa; no se instala la opuesta.</w:t>
      </w:r>
    </w:p>
    <w:p>
      <w:pPr>
        <w:spacing w:after="160" w:line="360" w:lineRule="auto"/>
        <w:ind w:firstLine="425"/>
        <w:jc w:val="both"/>
      </w:pPr>
      <w:r>
        <w:rPr>
          <w:rFonts w:ascii="Arial" w:cs="Arial" w:eastAsia="Arial" w:hAnsi="Arial"/>
          <w:sz w:val="22"/>
          <w:szCs w:val="22"/>
        </w:rPr>
        <w:t xml:space="preserve">La medición abarca cuatro turnos, doce casos de cola por turno y dos modelos, en las dos condiciones: 192 veredictos.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el resultado.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Sobre un caso escribe que podría ser un intento inicial de verificación previo a una transacción mayor, y lo descarta. Sobre otro, que el bajo importe se asocia habitualmente a intentos preliminares de uso fraudulento,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solo un 15 % de contradicción, pero el modelo pasa a confirmar treinta y seis de cuarenta y ocho casos. Recupera un fraude más y, a cambio, deja de filtrar: confirmar tres de cada cuatro casos elevados equivale a no aportar nada sobre la salida del detector.</w:t>
      </w:r>
    </w:p>
    <w:p>
      <w:pPr>
        <w:pStyle w:val="Heading3"/>
        <w:spacing w:after="200" w:before="360"/>
      </w:pPr>
      <w:r>
        <w:rPr>
          <w:rFonts w:ascii="Arial" w:cs="Arial" w:eastAsia="Arial" w:hAnsi="Arial"/>
          <w:b/>
          <w:bCs/>
          <w:color w:val="000000"/>
          <w:sz w:val="24"/>
          <w:szCs w:val="24"/>
        </w:rPr>
        <w:t xml:space="preserve">Cómo se cuenta una mención</w:t>
      </w:r>
    </w:p>
    <w:p>
      <w:pPr>
        <w:spacing w:after="160" w:line="360" w:lineRule="auto"/>
        <w:ind w:firstLine="425"/>
        <w:jc w:val="both"/>
      </w:pPr>
      <w:r>
        <w:rPr>
          <w:rFonts w:ascii="Arial" w:cs="Arial" w:eastAsia="Arial" w:hAnsi="Arial"/>
          <w:sz w:val="22"/>
          <w:szCs w:val="22"/>
        </w:rPr>
        <w:t xml:space="preserve">El reconocimiento de la mención se realiza de forma programática, exigiendo la coincidencia simultánea de dos familias de expresiones: la idea de prueba o tanteo y la de un cargo posterior de mayor importe. Cualquiera de ellas por separado aparece en contextos inocuos, dado que el modelo alude al importe continuamente sin referirse al patrón.</w:t>
      </w:r>
    </w:p>
    <w:p>
      <w:pPr>
        <w:spacing w:after="160" w:line="360" w:lineRule="auto"/>
        <w:ind w:firstLine="425"/>
        <w:jc w:val="both"/>
      </w:pPr>
      <w:r>
        <w:rPr>
          <w:rFonts w:ascii="Arial" w:cs="Arial" w:eastAsia="Arial" w:hAnsi="Arial"/>
          <w:sz w:val="22"/>
          <w:szCs w:val="22"/>
        </w:rPr>
        <w:t xml:space="preserve">El criterio es deliberadamente conservador y deja fuera menciones más sueltas que un lector humano sí contaría. Los falsos negativos subestiman la tasa de contradicción, que es la cifra que sostiene la conclusión, y ese es el lado seguro del error.</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Una tasa alta demuestra que la prosa y el veredicto no van juntos. </w:t>
      </w:r>
      <w:r>
        <w:rPr>
          <w:rFonts w:ascii="Arial" w:cs="Arial" w:eastAsia="Arial" w:hAnsi="Arial"/>
          <w:b/>
          <w:bCs/>
          <w:sz w:val="22"/>
          <w:szCs w:val="22"/>
        </w:rPr>
        <w:t xml:space="preserve">No demuestra por qué mecanismo interno ocurre</w:t>
      </w:r>
      <w:r>
        <w:rPr>
          <w:rFonts w:ascii="Arial" w:cs="Arial" w:eastAsia="Arial" w:hAnsi="Arial"/>
          <w:sz w:val="22"/>
          <w:szCs w:val="22"/>
        </w:rPr>
        <w:t xml:space="preserve">, y no debe redactarse como si lo hiciera. El montaje experimental no da acceso al proceso de decisión del modelo, solo a lo que escribe y a lo que decide.</w:t>
      </w:r>
    </w:p>
    <w:p>
      <w:pPr>
        <w:spacing w:after="160" w:line="360" w:lineRule="auto"/>
        <w:ind w:firstLine="425"/>
        <w:jc w:val="both"/>
      </w:pPr>
      <w:r>
        <w:rPr>
          <w:rFonts w:ascii="Arial" w:cs="Arial" w:eastAsia="Arial" w:hAnsi="Arial"/>
          <w:sz w:val="22"/>
          <w:szCs w:val="22"/>
        </w:rPr>
        <w:t xml:space="preserve">Queda además fuera de la comparación el modelo de razonamiento evaluado en secciones anteriores, por los motivos que se detallan en 6.2.5: consume su presupuesto de generación antes de emitir la respuesta y solo una de ocho ejecuciones completó los doce veredictos.</w:t>
      </w:r>
    </w:p>
    <w:p>
      <w:pPr>
        <w:pStyle w:val="Heading3"/>
        <w:spacing w:after="200" w:before="360"/>
      </w:pPr>
      <w:r>
        <w:rPr>
          <w:rFonts w:ascii="Arial" w:cs="Arial" w:eastAsia="Arial" w:hAnsi="Arial"/>
          <w:b/>
          <w:bCs/>
          <w:color w:val="000000"/>
          <w:sz w:val="24"/>
          <w:szCs w:val="24"/>
        </w:rPr>
        <w:t xml:space="preserve">Una comparación que no se ha realizado</w:t>
      </w:r>
    </w:p>
    <w:p>
      <w:pPr>
        <w:spacing w:after="160" w:line="360" w:lineRule="auto"/>
        <w:ind w:firstLine="425"/>
        <w:jc w:val="both"/>
      </w:pPr>
      <w:r>
        <w:rPr>
          <w:rFonts w:ascii="Arial" w:cs="Arial" w:eastAsia="Arial" w:hAnsi="Arial"/>
          <w:sz w:val="22"/>
          <w:szCs w:val="22"/>
        </w:rPr>
        <w:t xml:space="preserve">Este trabajo no contrasta sus resultados contra modelos accesibles por interfaz remota. La omisión es deliberada y conviene declararla, porque un lector puede echarla en falta.</w:t>
      </w:r>
    </w:p>
    <w:p>
      <w:pPr>
        <w:spacing w:after="160" w:line="360" w:lineRule="auto"/>
        <w:ind w:firstLine="425"/>
        <w:jc w:val="both"/>
      </w:pPr>
      <w:r>
        <w:rPr>
          <w:rFonts w:ascii="Arial" w:cs="Arial" w:eastAsia="Arial" w:hAnsi="Arial"/>
          <w:sz w:val="22"/>
          <w:szCs w:val="22"/>
        </w:rPr>
        <w:t xml:space="preserve">La restricción de ejecución íntegramente local no es una limitación técnica que se haya sufrido, sino la premisa de partida: el escenario que el trabajo modela es el de una entidad que no puede enviar datos de transacciones a un tercero. Medir contra un modelo remoto habría producido una cifra que, por construcción, no sería utilizable en ese escenario.</w:t>
      </w:r>
    </w:p>
    <w:p>
      <w:pPr>
        <w:spacing w:after="160" w:line="360" w:lineRule="auto"/>
        <w:ind w:firstLine="425"/>
        <w:jc w:val="both"/>
      </w:pPr>
      <w:r>
        <w:rPr>
          <w:rFonts w:ascii="Arial" w:cs="Arial" w:eastAsia="Arial" w:hAnsi="Arial"/>
          <w:sz w:val="22"/>
          <w:szCs w:val="22"/>
        </w:rPr>
        <w:t xml:space="preserve">El objetivo específico 4 se resolvió por ello mediante descomposición por capas, que permite ejecutar un modelo de 72.000 millones de parámetros sin romper la premisa. La cifra obtenida, un coste 1.790 veces mayor sin ningún cambio en los veredictos, responde a la pregunta dentro del marco del trabajo.</w:t>
      </w:r>
    </w:p>
    <w:p>
      <w:pPr>
        <w:pStyle w:val="Heading2"/>
        <w:spacing w:after="200" w:before="360"/>
      </w:pPr>
      <w:r>
        <w:rPr>
          <w:rFonts w:ascii="Arial" w:cs="Arial" w:eastAsia="Arial" w:hAnsi="Arial"/>
          <w:b/>
          <w:bCs/>
          <w:color w:val="000000"/>
          <w:sz w:val="26"/>
          <w:szCs w:val="26"/>
        </w:rPr>
        <w:t xml:space="preserve">5.13 Extensión exploratoria: un dataset con variables de negocio</w:t>
      </w:r>
    </w:p>
    <w:p>
      <w:pPr>
        <w:spacing w:after="160" w:line="360" w:lineRule="auto"/>
        <w:ind w:firstLine="425"/>
        <w:jc w:val="both"/>
      </w:pPr>
      <w:r>
        <w:rPr>
          <w:rFonts w:ascii="Arial" w:cs="Arial" w:eastAsia="Arial" w:hAnsi="Arial"/>
          <w:sz w:val="22"/>
          <w:szCs w:val="22"/>
        </w:rPr>
        <w:t xml:space="preserve">La sección 5.1 midió el coste de la anonimización del conjunto ULB: retirar las dos únicas variables interpretables, importe y hora, apenas cambia el AUC-PR, de modo que lo único que la capa 2 puede explicar en términos que un humano reconozca es casi irrelevante para la decisión. Esta sección comprueba qué ocurre con un dataset donde eso no es cierto. No sustituye a los experimentos anteriores ni sigue su misma exigencia metodológica: es una exploración con un único modelo, sin búsqueda de hiperparámetros y sin réplicas, pensada para responder una pregunta concreta y no para sustituir las conclusiones del capítulo.</w:t>
      </w:r>
    </w:p>
    <w:p>
      <w:pPr>
        <w:pStyle w:val="Heading3"/>
        <w:spacing w:after="200" w:before="360"/>
      </w:pPr>
      <w:r>
        <w:rPr>
          <w:rFonts w:ascii="Arial" w:cs="Arial" w:eastAsia="Arial" w:hAnsi="Arial"/>
          <w:b/>
          <w:bCs/>
          <w:color w:val="000000"/>
          <w:sz w:val="24"/>
          <w:szCs w:val="24"/>
        </w:rPr>
        <w:t xml:space="preserve">El dataset</w:t>
      </w:r>
    </w:p>
    <w:p>
      <w:pPr>
        <w:spacing w:after="160" w:line="360" w:lineRule="auto"/>
        <w:ind w:firstLine="425"/>
        <w:jc w:val="both"/>
      </w:pPr>
      <w:r>
        <w:rPr>
          <w:rFonts w:ascii="Arial" w:cs="Arial" w:eastAsia="Arial" w:hAnsi="Arial"/>
          <w:sz w:val="22"/>
          <w:szCs w:val="22"/>
        </w:rPr>
        <w:t xml:space="preserve">Se generó con Sparkov, el mismo generador que produjo el conjunto "Credit Card Transactions Fraud Detection Dataset" de Kaggle. Se generó en lugar de descargarlo porque el generador no exige credenciales y permite fijar exactamente el periodo y el número de clientes, cosa que la versión de Kaggle no permite: 1.000 clientes simulados, un año completo (2024), semilla fija para que sea reproducible.</w:t>
      </w:r>
    </w:p>
    <w:p>
      <w:pPr>
        <w:spacing w:after="160" w:line="360" w:lineRule="auto"/>
        <w:ind w:firstLine="425"/>
        <w:jc w:val="both"/>
      </w:pPr>
      <w:r>
        <w:rPr>
          <w:rFonts w:ascii="Arial" w:cs="Arial" w:eastAsia="Arial" w:hAnsi="Arial"/>
          <w:b/>
          <w:bCs/>
          <w:sz w:val="22"/>
          <w:szCs w:val="22"/>
        </w:rPr>
        <w:t xml:space="preserve">Es un dataset simulado, no transacciones reales.</w:t>
      </w:r>
      <w:r>
        <w:rPr>
          <w:rFonts w:ascii="Arial" w:cs="Arial" w:eastAsia="Arial" w:hAnsi="Arial"/>
          <w:sz w:val="22"/>
          <w:szCs w:val="22"/>
        </w:rPr>
        <w:t xml:space="preserve"> Es la limitación que hay que declarar frente al conjunto principal del trabajo, que sí lo es, y el motivo por el que esta sección se trata como exploratoria y no como una réplica del experimento principal sobre otro dominio.</w:t>
      </w:r>
    </w:p>
    <w:p>
      <w:pPr>
        <w:spacing w:after="160" w:line="360" w:lineRule="auto"/>
        <w:ind w:firstLine="425"/>
        <w:jc w:val="both"/>
      </w:pPr>
      <w:r>
        <w:rPr>
          <w:rFonts w:ascii="Arial" w:cs="Arial" w:eastAsia="Arial" w:hAnsi="Arial"/>
          <w:sz w:val="22"/>
          <w:szCs w:val="22"/>
        </w:rPr>
        <w:t xml:space="preserve">A cambio, cada transacción trae comercio, categoría de comercio, coordenadas del domicilio y del comercio, población de la ciudad, profesión y fecha de nacimiento del titular. Se derivaron seis variables de negocio a partir de esos campos: importe, hora del día, día de la semana, edad del titular, distancia en kilómetros entre domicilio y comercio, y población de la ciudad, más la categoría de comercio codificada en catorce indicadores binarios.</w:t>
      </w:r>
    </w:p>
    <w:p>
      <w:pPr>
        <w:spacing w:after="160" w:line="360" w:lineRule="auto"/>
        <w:ind w:firstLine="425"/>
        <w:jc w:val="both"/>
      </w:pPr>
      <w:r>
        <w:rPr>
          <w:rFonts w:ascii="Arial" w:cs="Arial" w:eastAsia="Arial" w:hAnsi="Arial"/>
          <w:sz w:val="22"/>
          <w:szCs w:val="22"/>
        </w:rPr>
        <w:t xml:space="preserve">El periodo de un año, frente a las cuarenta y ocho horas del conjunto ULB, permite además una partición temporal con volumen real: entrenamiento con los primeros diez meses y prueba con los últimos dos, en lugar de las últimas horas de un periodo de dos días.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
            </w:r>
          </w:p>
        </w:tc>
        <w:tc>
          <w:tcPr>
            <w:tcW w:type="dxa" w:w="2250"/>
            <w:shd w:fill="D9D9D9" w:val="clear"/>
          </w:tcPr>
          <w:p>
            <w:pPr>
              <w:spacing w:after="0"/>
            </w:pPr>
            <w:r>
              <w:rPr>
                <w:rFonts w:ascii="Arial" w:cs="Arial" w:eastAsia="Arial" w:hAnsi="Arial"/>
                <w:b/>
                <w:bCs/>
                <w:sz w:val="20"/>
                <w:szCs w:val="20"/>
              </w:rPr>
              <w:t xml:space="preserve">Filas</w:t>
            </w:r>
          </w:p>
        </w:tc>
        <w:tc>
          <w:tcPr>
            <w:tcW w:type="dxa" w:w="2250"/>
            <w:shd w:fill="D9D9D9" w:val="clear"/>
          </w:tcPr>
          <w:p>
            <w:pPr>
              <w:spacing w:after="0"/>
            </w:pPr>
            <w:r>
              <w:rPr>
                <w:rFonts w:ascii="Arial" w:cs="Arial" w:eastAsia="Arial" w:hAnsi="Arial"/>
                <w:b/>
                <w:bCs/>
                <w:sz w:val="20"/>
                <w:szCs w:val="20"/>
              </w:rPr>
              <w:t xml:space="preserve">Fraude</w:t>
            </w:r>
          </w:p>
        </w:tc>
        <w:tc>
          <w:tcPr>
            <w:tcW w:type="dxa" w:w="2250"/>
            <w:shd w:fill="D9D9D9" w:val="clear"/>
          </w:tcPr>
          <w:p>
            <w:pPr>
              <w:spacing w:after="0"/>
            </w:pPr>
            <w:r>
              <w:rPr>
                <w:rFonts w:ascii="Arial" w:cs="Arial" w:eastAsia="Arial" w:hAnsi="Arial"/>
                <w:b/>
                <w:bCs/>
                <w:sz w:val="20"/>
                <w:szCs w:val="20"/>
              </w:rPr>
              <w:t xml:space="preserve">Prevalencia</w:t>
            </w:r>
          </w:p>
        </w:tc>
      </w:tr>
      <w:tr>
        <w:tc>
          <w:tcPr>
            <w:tcW w:type="dxa" w:w="2250"/>
          </w:tcPr>
          <w:p>
            <w:pPr>
              <w:spacing w:after="0"/>
            </w:pPr>
            <w:r>
              <w:rPr>
                <w:rFonts w:ascii="Arial" w:cs="Arial" w:eastAsia="Arial" w:hAnsi="Arial"/>
                <w:b w:val="false"/>
                <w:bCs w:val="false"/>
                <w:sz w:val="20"/>
                <w:szCs w:val="20"/>
              </w:rPr>
              <w:t xml:space="preserve">Entrenamiento</w:t>
            </w:r>
          </w:p>
        </w:tc>
        <w:tc>
          <w:tcPr>
            <w:tcW w:type="dxa" w:w="2250"/>
          </w:tcPr>
          <w:p>
            <w:pPr>
              <w:spacing w:after="0"/>
            </w:pPr>
            <w:r>
              <w:rPr>
                <w:rFonts w:ascii="Arial" w:cs="Arial" w:eastAsia="Arial" w:hAnsi="Arial"/>
                <w:b w:val="false"/>
                <w:bCs w:val="false"/>
                <w:sz w:val="20"/>
                <w:szCs w:val="20"/>
              </w:rPr>
              <w:t xml:space="preserve">653.869</w:t>
            </w:r>
          </w:p>
        </w:tc>
        <w:tc>
          <w:tcPr>
            <w:tcW w:type="dxa" w:w="2250"/>
          </w:tcPr>
          <w:p>
            <w:pPr>
              <w:spacing w:after="0"/>
            </w:pPr>
            <w:r>
              <w:rPr>
                <w:rFonts w:ascii="Arial" w:cs="Arial" w:eastAsia="Arial" w:hAnsi="Arial"/>
                <w:b w:val="false"/>
                <w:bCs w:val="false"/>
                <w:sz w:val="20"/>
                <w:szCs w:val="20"/>
              </w:rPr>
              <w:t xml:space="preserve">8.161</w:t>
            </w:r>
          </w:p>
        </w:tc>
        <w:tc>
          <w:tcPr>
            <w:tcW w:type="dxa" w:w="2250"/>
          </w:tcPr>
          <w:p>
            <w:pPr>
              <w:spacing w:after="0"/>
            </w:pPr>
            <w:r>
              <w:rPr>
                <w:rFonts w:ascii="Arial" w:cs="Arial" w:eastAsia="Arial" w:hAnsi="Arial"/>
                <w:b w:val="false"/>
                <w:bCs w:val="false"/>
                <w:sz w:val="20"/>
                <w:szCs w:val="20"/>
              </w:rPr>
              <w:t xml:space="preserve">1,248 %</w:t>
            </w:r>
          </w:p>
        </w:tc>
      </w:tr>
      <w:tr>
        <w:tc>
          <w:tcPr>
            <w:tcW w:type="dxa" w:w="2250"/>
          </w:tcPr>
          <w:p>
            <w:pPr>
              <w:spacing w:after="0"/>
            </w:pPr>
            <w:r>
              <w:rPr>
                <w:rFonts w:ascii="Arial" w:cs="Arial" w:eastAsia="Arial" w:hAnsi="Arial"/>
                <w:b w:val="false"/>
                <w:bCs w:val="false"/>
                <w:sz w:val="20"/>
                <w:szCs w:val="20"/>
              </w:rPr>
              <w:t xml:space="preserve">Prueba</w:t>
            </w:r>
          </w:p>
        </w:tc>
        <w:tc>
          <w:tcPr>
            <w:tcW w:type="dxa" w:w="2250"/>
          </w:tcPr>
          <w:p>
            <w:pPr>
              <w:spacing w:after="0"/>
            </w:pPr>
            <w:r>
              <w:rPr>
                <w:rFonts w:ascii="Arial" w:cs="Arial" w:eastAsia="Arial" w:hAnsi="Arial"/>
                <w:b w:val="false"/>
                <w:bCs w:val="false"/>
                <w:sz w:val="20"/>
                <w:szCs w:val="20"/>
              </w:rPr>
              <w:t xml:space="preserve">192.881</w:t>
            </w:r>
          </w:p>
        </w:tc>
        <w:tc>
          <w:tcPr>
            <w:tcW w:type="dxa" w:w="2250"/>
          </w:tcPr>
          <w:p>
            <w:pPr>
              <w:spacing w:after="0"/>
            </w:pPr>
            <w:r>
              <w:rPr>
                <w:rFonts w:ascii="Arial" w:cs="Arial" w:eastAsia="Arial" w:hAnsi="Arial"/>
                <w:b w:val="false"/>
                <w:bCs w:val="false"/>
                <w:sz w:val="20"/>
                <w:szCs w:val="20"/>
              </w:rPr>
              <w:t xml:space="preserve">1.321</w:t>
            </w:r>
          </w:p>
        </w:tc>
        <w:tc>
          <w:tcPr>
            <w:tcW w:type="dxa" w:w="2250"/>
          </w:tcPr>
          <w:p>
            <w:pPr>
              <w:spacing w:after="0"/>
            </w:pPr>
            <w:r>
              <w:rPr>
                <w:rFonts w:ascii="Arial" w:cs="Arial" w:eastAsia="Arial" w:hAnsi="Arial"/>
                <w:b w:val="false"/>
                <w:bCs w:val="false"/>
                <w:sz w:val="20"/>
                <w:szCs w:val="20"/>
              </w:rPr>
              <w:t xml:space="preserve">0,685 %</w:t>
            </w:r>
          </w:p>
        </w:tc>
      </w:tr>
    </w:tbl>
    <w:p>
      <w:pPr>
        <w:spacing w:after="160"/>
      </w:pPr>
    </w:p>
    <w:p>
      <w:pPr>
        <w:pStyle w:val="Heading3"/>
        <w:spacing w:after="200" w:before="360"/>
      </w:pPr>
      <w:r>
        <w:rPr>
          <w:rFonts w:ascii="Arial" w:cs="Arial" w:eastAsia="Arial" w:hAnsi="Arial"/>
          <w:b/>
          <w:bCs/>
          <w:color w:val="000000"/>
          <w:sz w:val="24"/>
          <w:szCs w:val="24"/>
        </w:rPr>
        <w:t xml:space="preserve">El detector</w:t>
      </w:r>
    </w:p>
    <w:p>
      <w:pPr>
        <w:spacing w:after="160" w:line="360" w:lineRule="auto"/>
        <w:ind w:firstLine="425"/>
        <w:jc w:val="both"/>
      </w:pPr>
      <w:r>
        <w:rPr>
          <w:rFonts w:ascii="Arial" w:cs="Arial" w:eastAsia="Arial" w:hAnsi="Arial"/>
          <w:sz w:val="22"/>
          <w:szCs w:val="22"/>
        </w:rPr>
        <w:t xml:space="preserve">Se entrenó únicamente XGBoost, con la misma ponderación por gradiente que el sistema principal, sin ninguna búsqueda de hiperparámetros.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ROC-AUC</w:t>
            </w:r>
          </w:p>
        </w:tc>
        <w:tc>
          <w:tcPr>
            <w:tcW w:type="dxa" w:w="1800"/>
            <w:shd w:fill="D9D9D9" w:val="clear"/>
          </w:tcPr>
          <w:p>
            <w:pPr>
              <w:spacing w:after="0"/>
            </w:pPr>
            <w:r>
              <w:rPr>
                <w:rFonts w:ascii="Arial" w:cs="Arial" w:eastAsia="Arial" w:hAnsi="Arial"/>
                <w:b/>
                <w:bCs/>
                <w:sz w:val="20"/>
                <w:szCs w:val="20"/>
              </w:rPr>
              <w:t xml:space="preserve">P@50</w:t>
            </w:r>
          </w:p>
        </w:tc>
        <w:tc>
          <w:tcPr>
            <w:tcW w:type="dxa" w:w="1800"/>
            <w:shd w:fill="D9D9D9" w:val="clear"/>
          </w:tcPr>
          <w:p>
            <w:pPr>
              <w:spacing w:after="0"/>
            </w:pPr>
            <w:r>
              <w:rPr>
                <w:rFonts w:ascii="Arial" w:cs="Arial" w:eastAsia="Arial" w:hAnsi="Arial"/>
                <w:b/>
                <w:bCs/>
                <w:sz w:val="20"/>
                <w:szCs w:val="20"/>
              </w:rPr>
              <w:t xml:space="preserve">P@100</w:t>
            </w:r>
          </w:p>
        </w:tc>
        <w:tc>
          <w:tcPr>
            <w:tcW w:type="dxa" w:w="1800"/>
            <w:shd w:fill="D9D9D9" w:val="clear"/>
          </w:tcPr>
          <w:p>
            <w:pPr>
              <w:spacing w:after="0"/>
            </w:pPr>
            <w:r>
              <w:rPr>
                <w:rFonts w:ascii="Arial" w:cs="Arial" w:eastAsia="Arial" w:hAnsi="Arial"/>
                <w:b/>
                <w:bCs/>
                <w:sz w:val="20"/>
                <w:szCs w:val="20"/>
              </w:rPr>
              <w:t xml:space="preserve">P@200</w:t>
            </w:r>
          </w:p>
        </w:tc>
      </w:tr>
      <w:tr>
        <w:tc>
          <w:tcPr>
            <w:tcW w:type="dxa" w:w="1800"/>
          </w:tcPr>
          <w:p>
            <w:pPr>
              <w:spacing w:after="0"/>
            </w:pPr>
            <w:r>
              <w:rPr>
                <w:rFonts w:ascii="Arial" w:cs="Arial" w:eastAsia="Arial" w:hAnsi="Arial"/>
                <w:b w:val="false"/>
                <w:bCs w:val="false"/>
                <w:sz w:val="20"/>
                <w:szCs w:val="20"/>
              </w:rPr>
              <w:t xml:space="preserve">0,078</w:t>
            </w:r>
          </w:p>
        </w:tc>
        <w:tc>
          <w:tcPr>
            <w:tcW w:type="dxa" w:w="1800"/>
          </w:tcPr>
          <w:p>
            <w:pPr>
              <w:spacing w:after="0"/>
            </w:pPr>
            <w:r>
              <w:rPr>
                <w:rFonts w:ascii="Arial" w:cs="Arial" w:eastAsia="Arial" w:hAnsi="Arial"/>
                <w:b w:val="false"/>
                <w:bCs w:val="false"/>
                <w:sz w:val="20"/>
                <w:szCs w:val="20"/>
              </w:rPr>
              <w:t xml:space="preserve">0,723</w:t>
            </w:r>
          </w:p>
        </w:tc>
        <w:tc>
          <w:tcPr>
            <w:tcW w:type="dxa" w:w="1800"/>
          </w:tcPr>
          <w:p>
            <w:pPr>
              <w:spacing w:after="0"/>
            </w:pPr>
            <w:r>
              <w:rPr>
                <w:rFonts w:ascii="Arial" w:cs="Arial" w:eastAsia="Arial" w:hAnsi="Arial"/>
                <w:b w:val="false"/>
                <w:bCs w:val="false"/>
                <w:sz w:val="20"/>
                <w:szCs w:val="20"/>
              </w:rPr>
              <w:t xml:space="preserve">0,420</w:t>
            </w:r>
          </w:p>
        </w:tc>
        <w:tc>
          <w:tcPr>
            <w:tcW w:type="dxa" w:w="1800"/>
          </w:tcPr>
          <w:p>
            <w:pPr>
              <w:spacing w:after="0"/>
            </w:pPr>
            <w:r>
              <w:rPr>
                <w:rFonts w:ascii="Arial" w:cs="Arial" w:eastAsia="Arial" w:hAnsi="Arial"/>
                <w:b w:val="false"/>
                <w:bCs w:val="false"/>
                <w:sz w:val="20"/>
                <w:szCs w:val="20"/>
              </w:rPr>
              <w:t xml:space="preserve">0,400</w:t>
            </w:r>
          </w:p>
        </w:tc>
        <w:tc>
          <w:tcPr>
            <w:tcW w:type="dxa" w:w="1800"/>
          </w:tcPr>
          <w:p>
            <w:pPr>
              <w:spacing w:after="0"/>
            </w:pPr>
            <w:r>
              <w:rPr>
                <w:rFonts w:ascii="Arial" w:cs="Arial" w:eastAsia="Arial" w:hAnsi="Arial"/>
                <w:b w:val="false"/>
                <w:bCs w:val="false"/>
                <w:sz w:val="20"/>
                <w:szCs w:val="20"/>
              </w:rPr>
              <w:t xml:space="preserve">0,345</w:t>
            </w:r>
          </w:p>
        </w:tc>
      </w:tr>
    </w:tbl>
    <w:p>
      <w:pPr>
        <w:spacing w:after="160"/>
      </w:pPr>
    </w:p>
    <w:p>
      <w:pPr>
        <w:spacing w:after="160" w:line="360" w:lineRule="auto"/>
        <w:ind w:firstLine="425"/>
        <w:jc w:val="both"/>
      </w:pPr>
      <w:r>
        <w:rPr>
          <w:rFonts w:ascii="Arial" w:cs="Arial" w:eastAsia="Arial" w:hAnsi="Arial"/>
          <w:sz w:val="22"/>
          <w:szCs w:val="22"/>
        </w:rPr>
        <w:t xml:space="preserve">Las cifras no son comparables en crudo con las del conjunto ULB, y no deben leerse como que este problema sea inherentemente más difícil: el detector ULB pasó por una búsqueda de hiperparámetros completa (fase 7) y este no ha pasado por ninguna. Lo que sí es legítimo leer es la parte alta del ranking, que es la que opera un equipo real: entre los cincuenta casos de mayor puntuación, un 42 % son fraude auténtico, frente a una prevalencia del 0,685 % en la prueba. Es una señal real, sesenta y una veces por encima del azar, aunque muy por debajo del 0,98 del sistema principal en el mismo punto de operación.</w:t>
      </w:r>
    </w:p>
    <w:p>
      <w:pPr>
        <w:spacing w:after="160" w:line="360" w:lineRule="auto"/>
        <w:ind w:firstLine="425"/>
        <w:jc w:val="both"/>
      </w:pPr>
      <w:r>
        <w:rPr>
          <w:rFonts w:ascii="Arial" w:cs="Arial" w:eastAsia="Arial" w:hAnsi="Arial"/>
          <w:sz w:val="22"/>
          <w:szCs w:val="22"/>
        </w:rPr>
        <w:t xml:space="preserve">Conviene precisar que las métricas con umbral fijo en 0,5 —una precisión de 0,009 pese a un recall de 0,948— no son informativas aquí: la ponderación de la clase minoritaria empuja la mayoría de las probabilidades hacia arriba, igual que ocurre en el sistema principal, donde por eso el punto de operación se fija por P@N y no por un umbral de probabilidad fijo (4.5 y 5.2).</w:t>
      </w:r>
    </w:p>
    <w:p>
      <w:pPr>
        <w:pStyle w:val="Heading3"/>
        <w:spacing w:after="200" w:before="360"/>
      </w:pPr>
      <w:r>
        <w:rPr>
          <w:rFonts w:ascii="Arial" w:cs="Arial" w:eastAsia="Arial" w:hAnsi="Arial"/>
          <w:b/>
          <w:bCs/>
          <w:color w:val="000000"/>
          <w:sz w:val="24"/>
          <w:szCs w:val="24"/>
        </w:rPr>
        <w:t xml:space="preserve">Lo que cambia: las contribuciones son de negocio</w:t>
      </w:r>
    </w:p>
    <w:p>
      <w:pPr>
        <w:spacing w:after="160" w:line="360" w:lineRule="auto"/>
        <w:ind w:firstLine="425"/>
        <w:jc w:val="both"/>
      </w:pPr>
      <w:r>
        <w:rPr>
          <w:rFonts w:ascii="Arial" w:cs="Arial" w:eastAsia="Arial" w:hAnsi="Arial"/>
          <w:sz w:val="22"/>
          <w:szCs w:val="22"/>
        </w:rPr>
        <w:t xml:space="preserve">Es el resultado que motiva la sección. Las contribuciones de Shapley sobre los casos de fraude mejor puntuados citan variables que un analista reconoce sin traducción. Un ejemplo, el comercio "Kozey-Kuhlman", categoría cuidado personal, 744,54 USD, a 109,7 km del domicilio del titular, probabilidad 1,0000: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Variable</w:t>
            </w:r>
          </w:p>
        </w:tc>
        <w:tc>
          <w:tcPr>
            <w:tcW w:type="dxa" w:w="4500"/>
            <w:shd w:fill="D9D9D9" w:val="clear"/>
          </w:tcPr>
          <w:p>
            <w:pPr>
              <w:spacing w:after="0"/>
            </w:pPr>
            <w:r>
              <w:rPr>
                <w:rFonts w:ascii="Arial" w:cs="Arial" w:eastAsia="Arial" w:hAnsi="Arial"/>
                <w:b/>
                <w:bCs/>
                <w:sz w:val="20"/>
                <w:szCs w:val="20"/>
              </w:rPr>
              <w:t xml:space="preserve">Aporte</w:t>
            </w:r>
          </w:p>
        </w:tc>
      </w:tr>
      <w:tr>
        <w:tc>
          <w:tcPr>
            <w:tcW w:type="dxa" w:w="4500"/>
          </w:tcPr>
          <w:p>
            <w:pPr>
              <w:spacing w:after="0"/>
            </w:pPr>
            <w:r>
              <w:rPr>
                <w:rFonts w:ascii="Arial" w:cs="Arial" w:eastAsia="Arial" w:hAnsi="Arial"/>
                <w:b w:val="false"/>
                <w:bCs w:val="false"/>
                <w:sz w:val="20"/>
                <w:szCs w:val="20"/>
              </w:rPr>
              <w:t xml:space="preserve">categoria_personal_care</w:t>
            </w:r>
          </w:p>
        </w:tc>
        <w:tc>
          <w:tcPr>
            <w:tcW w:type="dxa" w:w="4500"/>
          </w:tcPr>
          <w:p>
            <w:pPr>
              <w:spacing w:after="0"/>
            </w:pPr>
            <w:r>
              <w:rPr>
                <w:rFonts w:ascii="Arial" w:cs="Arial" w:eastAsia="Arial" w:hAnsi="Arial"/>
                <w:b w:val="false"/>
                <w:bCs w:val="false"/>
                <w:sz w:val="20"/>
                <w:szCs w:val="20"/>
              </w:rPr>
              <w:t xml:space="preserve">+5,109</w:t>
            </w:r>
          </w:p>
        </w:tc>
      </w:tr>
      <w:tr>
        <w:tc>
          <w:tcPr>
            <w:tcW w:type="dxa" w:w="4500"/>
          </w:tcPr>
          <w:p>
            <w:pPr>
              <w:spacing w:after="0"/>
            </w:pPr>
            <w:r>
              <w:rPr>
                <w:rFonts w:ascii="Arial" w:cs="Arial" w:eastAsia="Arial" w:hAnsi="Arial"/>
                <w:b w:val="false"/>
                <w:bCs w:val="false"/>
                <w:sz w:val="20"/>
                <w:szCs w:val="20"/>
              </w:rPr>
              <w:t xml:space="preserve">hora</w:t>
            </w:r>
          </w:p>
        </w:tc>
        <w:tc>
          <w:tcPr>
            <w:tcW w:type="dxa" w:w="4500"/>
          </w:tcPr>
          <w:p>
            <w:pPr>
              <w:spacing w:after="0"/>
            </w:pPr>
            <w:r>
              <w:rPr>
                <w:rFonts w:ascii="Arial" w:cs="Arial" w:eastAsia="Arial" w:hAnsi="Arial"/>
                <w:b w:val="false"/>
                <w:bCs w:val="false"/>
                <w:sz w:val="20"/>
                <w:szCs w:val="20"/>
              </w:rPr>
              <w:t xml:space="preserve">+3,606</w:t>
            </w:r>
          </w:p>
        </w:tc>
      </w:tr>
      <w:tr>
        <w:tc>
          <w:tcPr>
            <w:tcW w:type="dxa" w:w="4500"/>
          </w:tcPr>
          <w:p>
            <w:pPr>
              <w:spacing w:after="0"/>
            </w:pPr>
            <w:r>
              <w:rPr>
                <w:rFonts w:ascii="Arial" w:cs="Arial" w:eastAsia="Arial" w:hAnsi="Arial"/>
                <w:b w:val="false"/>
                <w:bCs w:val="false"/>
                <w:sz w:val="20"/>
                <w:szCs w:val="20"/>
              </w:rPr>
              <w:t xml:space="preserve">importe</w:t>
            </w:r>
          </w:p>
        </w:tc>
        <w:tc>
          <w:tcPr>
            <w:tcW w:type="dxa" w:w="4500"/>
          </w:tcPr>
          <w:p>
            <w:pPr>
              <w:spacing w:after="0"/>
            </w:pPr>
            <w:r>
              <w:rPr>
                <w:rFonts w:ascii="Arial" w:cs="Arial" w:eastAsia="Arial" w:hAnsi="Arial"/>
                <w:b w:val="false"/>
                <w:bCs w:val="false"/>
                <w:sz w:val="20"/>
                <w:szCs w:val="20"/>
              </w:rPr>
              <w:t xml:space="preserve">+3,285</w:t>
            </w:r>
          </w:p>
        </w:tc>
      </w:tr>
      <w:tr>
        <w:tc>
          <w:tcPr>
            <w:tcW w:type="dxa" w:w="4500"/>
          </w:tcPr>
          <w:p>
            <w:pPr>
              <w:spacing w:after="0"/>
            </w:pPr>
            <w:r>
              <w:rPr>
                <w:rFonts w:ascii="Arial" w:cs="Arial" w:eastAsia="Arial" w:hAnsi="Arial"/>
                <w:b w:val="false"/>
                <w:bCs w:val="false"/>
                <w:sz w:val="20"/>
                <w:szCs w:val="20"/>
              </w:rPr>
              <w:t xml:space="preserve">edad</w:t>
            </w:r>
          </w:p>
        </w:tc>
        <w:tc>
          <w:tcPr>
            <w:tcW w:type="dxa" w:w="4500"/>
          </w:tcPr>
          <w:p>
            <w:pPr>
              <w:spacing w:after="0"/>
            </w:pPr>
            <w:r>
              <w:rPr>
                <w:rFonts w:ascii="Arial" w:cs="Arial" w:eastAsia="Arial" w:hAnsi="Arial"/>
                <w:b w:val="false"/>
                <w:bCs w:val="false"/>
                <w:sz w:val="20"/>
                <w:szCs w:val="20"/>
              </w:rPr>
              <w:t xml:space="preserve">+1,247</w:t>
            </w:r>
          </w:p>
        </w:tc>
      </w:tr>
      <w:tr>
        <w:tc>
          <w:tcPr>
            <w:tcW w:type="dxa" w:w="4500"/>
          </w:tcPr>
          <w:p>
            <w:pPr>
              <w:spacing w:after="0"/>
            </w:pPr>
            <w:r>
              <w:rPr>
                <w:rFonts w:ascii="Arial" w:cs="Arial" w:eastAsia="Arial" w:hAnsi="Arial"/>
                <w:b w:val="false"/>
                <w:bCs w:val="false"/>
                <w:sz w:val="20"/>
                <w:szCs w:val="20"/>
              </w:rPr>
              <w:t xml:space="preserve">categoria_home</w:t>
            </w:r>
          </w:p>
        </w:tc>
        <w:tc>
          <w:tcPr>
            <w:tcW w:type="dxa" w:w="4500"/>
          </w:tcPr>
          <w:p>
            <w:pPr>
              <w:spacing w:after="0"/>
            </w:pPr>
            <w:r>
              <w:rPr>
                <w:rFonts w:ascii="Arial" w:cs="Arial" w:eastAsia="Arial" w:hAnsi="Arial"/>
                <w:b w:val="false"/>
                <w:bCs w:val="false"/>
                <w:sz w:val="20"/>
                <w:szCs w:val="20"/>
              </w:rPr>
              <w:t xml:space="preserve">+0,365</w:t>
            </w:r>
          </w:p>
        </w:tc>
      </w:tr>
      <w:tr>
        <w:tc>
          <w:tcPr>
            <w:tcW w:type="dxa" w:w="4500"/>
          </w:tcPr>
          <w:p>
            <w:pPr>
              <w:spacing w:after="0"/>
            </w:pPr>
            <w:r>
              <w:rPr>
                <w:rFonts w:ascii="Arial" w:cs="Arial" w:eastAsia="Arial" w:hAnsi="Arial"/>
                <w:b w:val="false"/>
                <w:bCs w:val="false"/>
                <w:sz w:val="20"/>
                <w:szCs w:val="20"/>
              </w:rPr>
              <w:t xml:space="preserve">dia_semana</w:t>
            </w:r>
          </w:p>
        </w:tc>
        <w:tc>
          <w:tcPr>
            <w:tcW w:type="dxa" w:w="4500"/>
          </w:tcPr>
          <w:p>
            <w:pPr>
              <w:spacing w:after="0"/>
            </w:pPr>
            <w:r>
              <w:rPr>
                <w:rFonts w:ascii="Arial" w:cs="Arial" w:eastAsia="Arial" w:hAnsi="Arial"/>
                <w:b w:val="false"/>
                <w:bCs w:val="false"/>
                <w:sz w:val="20"/>
                <w:szCs w:val="20"/>
              </w:rPr>
              <w:t xml:space="preserve">+0,282</w:t>
            </w:r>
          </w:p>
        </w:tc>
      </w:tr>
    </w:tbl>
    <w:p>
      <w:pPr>
        <w:spacing w:after="160"/>
      </w:pPr>
    </w:p>
    <w:p>
      <w:pPr>
        <w:spacing w:after="160" w:line="360" w:lineRule="auto"/>
        <w:ind w:firstLine="425"/>
        <w:jc w:val="both"/>
      </w:pPr>
      <w:r>
        <w:rPr>
          <w:rFonts w:ascii="Arial" w:cs="Arial" w:eastAsia="Arial" w:hAnsi="Arial"/>
          <w:sz w:val="22"/>
          <w:szCs w:val="22"/>
        </w:rPr>
        <w:t xml:space="preserve">Frente al expediente del sistema principal, donde la variable de mayor aporte es una componente anonimizada como V14, aquí la explicación es directamente "la categoría de comercio, la hora del día y el importe son atípicos para este titular". Es exactamente la explicación que 4.2.1 declaraba imposible sobre el conjunto ULB.</w:t>
      </w:r>
    </w:p>
    <w:p>
      <w:pPr>
        <w:pStyle w:val="Heading3"/>
        <w:spacing w:after="200" w:before="360"/>
      </w:pPr>
      <w:r>
        <w:rPr>
          <w:rFonts w:ascii="Arial" w:cs="Arial" w:eastAsia="Arial" w:hAnsi="Arial"/>
          <w:b/>
          <w:bCs/>
          <w:color w:val="000000"/>
          <w:sz w:val="24"/>
          <w:szCs w:val="24"/>
        </w:rPr>
        <w:t xml:space="preserve">Prueba con el Investigador</w:t>
      </w:r>
    </w:p>
    <w:p>
      <w:pPr>
        <w:spacing w:after="160" w:line="360" w:lineRule="auto"/>
        <w:ind w:firstLine="425"/>
        <w:jc w:val="both"/>
      </w:pPr>
      <w:r>
        <w:rPr>
          <w:rFonts w:ascii="Arial" w:cs="Arial" w:eastAsia="Arial" w:hAnsi="Arial"/>
          <w:sz w:val="22"/>
          <w:szCs w:val="22"/>
        </w:rPr>
        <w:t xml:space="preserve">Se ejecutó qwen2.5-14b, el mismo modelo de 5.11 y 5.12, sobre los cinco casos de fraude de mayor puntuación, con el prompt exacto del arnés adaptado al expediente de negocio. Los cinco se confirman correctamente.</w:t>
      </w:r>
    </w:p>
    <w:p>
      <w:pPr>
        <w:spacing w:after="160" w:line="360" w:lineRule="auto"/>
        <w:ind w:firstLine="425"/>
        <w:jc w:val="both"/>
      </w:pPr>
      <w:r>
        <w:rPr>
          <w:rFonts w:ascii="Arial" w:cs="Arial" w:eastAsia="Arial" w:hAnsi="Arial"/>
          <w:sz w:val="22"/>
          <w:szCs w:val="22"/>
        </w:rPr>
        <w:t xml:space="preserve">Lo relevante no es el veredicto —con probabilidad 1,0000 en los cinco, confirmarlos no exige discriminar nada difícil— sino la prosa. Sobre el caso de Medhurst, Cartwright and Ebert, un cargo de 902,19 USD en la categoría de cuidado personal, el modelo escribe que el importe es alto para ese tipo de establecimiento, que la operación ocurre a las 22:00 h, y que el titular, de 85 años, vive a 120,7 km del comercio, lo que "dificulta la verosimilitud de la transacción". Sobre el caso de Mosciski Group, un cargo de viaje de 866,48 USD, sopesa explícitamente la distancia y la baja población de la ciudad del titular como atenuantes frente al importe y la categoría, y concluye que estos últimos "superan estas posibles anomalías geográficas".</w:t>
      </w:r>
    </w:p>
    <w:p>
      <w:pPr>
        <w:spacing w:after="160" w:line="360" w:lineRule="auto"/>
        <w:ind w:firstLine="425"/>
        <w:jc w:val="both"/>
      </w:pPr>
      <w:r>
        <w:rPr>
          <w:rFonts w:ascii="Arial" w:cs="Arial" w:eastAsia="Arial" w:hAnsi="Arial"/>
          <w:sz w:val="22"/>
          <w:szCs w:val="22"/>
        </w:rPr>
        <w:t xml:space="preserve">Es exactamente el tipo de razonamiento que 4.2.1 declaraba imposible sobre el conjunto ULB: aquí el modelo no se limita a citar una componente anónima como atípica, sino que combina categoría de comercio, edad del titular, distancia y hora en una explicación que un analista podría aceptar o rebatir con su propio criterio.</w:t>
      </w:r>
    </w:p>
    <w:p>
      <w:pPr>
        <w:pStyle w:val="Heading3"/>
        <w:spacing w:after="200" w:before="360"/>
      </w:pPr>
      <w:r>
        <w:rPr>
          <w:rFonts w:ascii="Arial" w:cs="Arial" w:eastAsia="Arial" w:hAnsi="Arial"/>
          <w:b/>
          <w:bCs/>
          <w:color w:val="000000"/>
          <w:sz w:val="24"/>
          <w:szCs w:val="24"/>
        </w:rPr>
        <w:t xml:space="preserve">Ablación: dossier completo frente a dossier reducido, mismo caso</w:t>
      </w:r>
    </w:p>
    <w:p>
      <w:pPr>
        <w:spacing w:after="160" w:line="360" w:lineRule="auto"/>
        <w:ind w:firstLine="425"/>
        <w:jc w:val="both"/>
      </w:pPr>
      <w:r>
        <w:rPr>
          <w:rFonts w:ascii="Arial" w:cs="Arial" w:eastAsia="Arial" w:hAnsi="Arial"/>
          <w:sz w:val="22"/>
          <w:szCs w:val="22"/>
        </w:rPr>
        <w:t xml:space="preserve">Comparar dos datasets distintos confunde el efecto del dominio con el de la legibilidad: cualquier diferencia de comportamiento podría deberse a que Sparkov es otro dominio, a que su detector es otro, o a que las variables tienen nombre. Para aislar esta última, únicamente esta, se repitió el experimento sobre los </w:t>
      </w:r>
      <w:r>
        <w:rPr>
          <w:rFonts w:ascii="Arial" w:cs="Arial" w:eastAsia="Arial" w:hAnsi="Arial"/>
          <w:b/>
          <w:bCs/>
          <w:sz w:val="22"/>
          <w:szCs w:val="22"/>
        </w:rPr>
        <w:t xml:space="preserve">mismos</w:t>
      </w:r>
      <w:r>
        <w:rPr>
          <w:rFonts w:ascii="Arial" w:cs="Arial" w:eastAsia="Arial" w:hAnsi="Arial"/>
          <w:sz w:val="22"/>
          <w:szCs w:val="22"/>
        </w:rPr>
        <w:t xml:space="preserve"> nueve casos con dos versiones del mismo dossier: </w:t>
      </w:r>
      <w:r>
        <w:rPr>
          <w:rFonts w:ascii="Arial" w:cs="Arial" w:eastAsia="Arial" w:hAnsi="Arial"/>
          <w:b/>
          <w:bCs/>
          <w:sz w:val="22"/>
          <w:szCs w:val="22"/>
        </w:rPr>
        <w:t xml:space="preserve">completo</w:t>
      </w:r>
      <w:r>
        <w:rPr>
          <w:rFonts w:ascii="Arial" w:cs="Arial" w:eastAsia="Arial" w:hAnsi="Arial"/>
          <w:sz w:val="22"/>
          <w:szCs w:val="22"/>
        </w:rPr>
        <w:t xml:space="preserve">, con comercio, categoría, edad, distancia y población con su nombre real, y </w:t>
      </w:r>
      <w:r>
        <w:rPr>
          <w:rFonts w:ascii="Arial" w:cs="Arial" w:eastAsia="Arial" w:hAnsi="Arial"/>
          <w:b/>
          <w:bCs/>
          <w:sz w:val="22"/>
          <w:szCs w:val="22"/>
        </w:rPr>
        <w:t xml:space="preserve">reducido</w:t>
      </w:r>
      <w:r>
        <w:rPr>
          <w:rFonts w:ascii="Arial" w:cs="Arial" w:eastAsia="Arial" w:hAnsi="Arial"/>
          <w:sz w:val="22"/>
          <w:szCs w:val="22"/>
        </w:rPr>
        <w:t xml:space="preserve">, con esas mismas cinco variables anonimizadas como var_1 a var_5 —el mismo techo de legibilidad que impone el conjunto ULB— y solo importe y hora conservando su nombre. Las contribuciones numéricas son idénticas en ambas versiones; solo cambia si la etiqueta dice algo reconocible.</w:t>
      </w:r>
    </w:p>
    <w:p>
      <w:pPr>
        <w:spacing w:after="160" w:line="360" w:lineRule="auto"/>
        <w:ind w:firstLine="425"/>
        <w:jc w:val="both"/>
      </w:pPr>
      <w:r>
        <w:rPr>
          <w:rFonts w:ascii="Arial" w:cs="Arial" w:eastAsia="Arial" w:hAnsi="Arial"/>
          <w:sz w:val="22"/>
          <w:szCs w:val="22"/>
        </w:rPr>
        <w:t xml:space="preserve">Los casos no se eligieron por posición en un ranking, sino por desacuerdo entre el detector y la realidad: los seis fraudes reales con la probabilidad más baja de todo el conjunto de prueba (entre 0,0018 y 0,0205 — el detector apenas los nota) y los tres legítimos con la probabilidad más alta (1,0000 — falsos positivos con la máxima confianza posible). Son los casos donde el criterio del modelo, si aporta algo distinto del detector, tendría más ocasión de notarse.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Caso</w:t>
            </w:r>
          </w:p>
        </w:tc>
        <w:tc>
          <w:tcPr>
            <w:tcW w:type="dxa" w:w="1800"/>
            <w:shd w:fill="D9D9D9" w:val="clear"/>
          </w:tcPr>
          <w:p>
            <w:pPr>
              <w:spacing w:after="0"/>
            </w:pPr>
            <w:r>
              <w:rPr>
                <w:rFonts w:ascii="Arial" w:cs="Arial" w:eastAsia="Arial" w:hAnsi="Arial"/>
                <w:b/>
                <w:bCs/>
                <w:sz w:val="20"/>
                <w:szCs w:val="20"/>
              </w:rPr>
              <w:t xml:space="preserve">Real</w:t>
            </w:r>
          </w:p>
        </w:tc>
        <w:tc>
          <w:tcPr>
            <w:tcW w:type="dxa" w:w="1800"/>
            <w:shd w:fill="D9D9D9" w:val="clear"/>
          </w:tcPr>
          <w:p>
            <w:pPr>
              <w:spacing w:after="0"/>
            </w:pPr>
            <w:r>
              <w:rPr>
                <w:rFonts w:ascii="Arial" w:cs="Arial" w:eastAsia="Arial" w:hAnsi="Arial"/>
                <w:b/>
                <w:bCs/>
                <w:sz w:val="20"/>
                <w:szCs w:val="20"/>
              </w:rPr>
              <w:t xml:space="preserve">Importe</w:t>
            </w:r>
          </w:p>
        </w:tc>
        <w:tc>
          <w:tcPr>
            <w:tcW w:type="dxa" w:w="1800"/>
            <w:shd w:fill="D9D9D9" w:val="clear"/>
          </w:tcPr>
          <w:p>
            <w:pPr>
              <w:spacing w:after="0"/>
            </w:pPr>
            <w:r>
              <w:rPr>
                <w:rFonts w:ascii="Arial" w:cs="Arial" w:eastAsia="Arial" w:hAnsi="Arial"/>
                <w:b/>
                <w:bCs/>
                <w:sz w:val="20"/>
                <w:szCs w:val="20"/>
              </w:rPr>
              <w:t xml:space="preserve">Completo</w:t>
            </w:r>
          </w:p>
        </w:tc>
        <w:tc>
          <w:tcPr>
            <w:tcW w:type="dxa" w:w="1800"/>
            <w:shd w:fill="D9D9D9" w:val="clear"/>
          </w:tcPr>
          <w:p>
            <w:pPr>
              <w:spacing w:after="0"/>
            </w:pPr>
            <w:r>
              <w:rPr>
                <w:rFonts w:ascii="Arial" w:cs="Arial" w:eastAsia="Arial" w:hAnsi="Arial"/>
                <w:b/>
                <w:bCs/>
                <w:sz w:val="20"/>
                <w:szCs w:val="20"/>
              </w:rPr>
              <w:t xml:space="preserve">Reducido</w:t>
            </w:r>
          </w:p>
        </w:tc>
      </w:tr>
      <w:tr>
        <w:tc>
          <w:tcPr>
            <w:tcW w:type="dxa" w:w="1800"/>
          </w:tcPr>
          <w:p>
            <w:pPr>
              <w:spacing w:after="0"/>
            </w:pPr>
            <w:r>
              <w:rPr>
                <w:rFonts w:ascii="Arial" w:cs="Arial" w:eastAsia="Arial" w:hAnsi="Arial"/>
                <w:b w:val="false"/>
                <w:bCs w:val="false"/>
                <w:sz w:val="20"/>
                <w:szCs w:val="20"/>
              </w:rPr>
              <w:t xml:space="preserve">1-6</w:t>
            </w:r>
          </w:p>
        </w:tc>
        <w:tc>
          <w:tcPr>
            <w:tcW w:type="dxa" w:w="1800"/>
          </w:tcPr>
          <w:p>
            <w:pPr>
              <w:spacing w:after="0"/>
            </w:pPr>
            <w:r>
              <w:rPr>
                <w:rFonts w:ascii="Arial" w:cs="Arial" w:eastAsia="Arial" w:hAnsi="Arial"/>
                <w:b w:val="false"/>
                <w:bCs w:val="false"/>
                <w:sz w:val="20"/>
                <w:szCs w:val="20"/>
              </w:rPr>
              <w:t xml:space="preserve">fraude</w:t>
            </w:r>
          </w:p>
        </w:tc>
        <w:tc>
          <w:tcPr>
            <w:tcW w:type="dxa" w:w="1800"/>
          </w:tcPr>
          <w:p>
            <w:pPr>
              <w:spacing w:after="0"/>
            </w:pPr>
            <w:r>
              <w:rPr>
                <w:rFonts w:ascii="Arial" w:cs="Arial" w:eastAsia="Arial" w:hAnsi="Arial"/>
                <w:b w:val="false"/>
                <w:bCs w:val="false"/>
                <w:sz w:val="20"/>
                <w:szCs w:val="20"/>
              </w:rPr>
              <w:t xml:space="preserve">9,67 a 156,52 USD</w:t>
            </w:r>
          </w:p>
        </w:tc>
        <w:tc>
          <w:tcPr>
            <w:tcW w:type="dxa" w:w="1800"/>
          </w:tcPr>
          <w:p>
            <w:pPr>
              <w:spacing w:after="0"/>
            </w:pPr>
            <w:r>
              <w:rPr>
                <w:rFonts w:ascii="Arial" w:cs="Arial" w:eastAsia="Arial" w:hAnsi="Arial"/>
                <w:b w:val="false"/>
                <w:bCs w:val="false"/>
                <w:sz w:val="20"/>
                <w:szCs w:val="20"/>
              </w:rPr>
              <w:t xml:space="preserve">DESCARTADO</w:t>
            </w:r>
          </w:p>
        </w:tc>
        <w:tc>
          <w:tcPr>
            <w:tcW w:type="dxa" w:w="1800"/>
          </w:tcPr>
          <w:p>
            <w:pPr>
              <w:spacing w:after="0"/>
            </w:pPr>
            <w:r>
              <w:rPr>
                <w:rFonts w:ascii="Arial" w:cs="Arial" w:eastAsia="Arial" w:hAnsi="Arial"/>
                <w:b w:val="false"/>
                <w:bCs w:val="false"/>
                <w:sz w:val="20"/>
                <w:szCs w:val="20"/>
              </w:rPr>
              <w:t xml:space="preserve">DESCARTADO</w:t>
            </w:r>
          </w:p>
        </w:tc>
      </w:tr>
      <w:tr>
        <w:tc>
          <w:tcPr>
            <w:tcW w:type="dxa" w:w="1800"/>
          </w:tcPr>
          <w:p>
            <w:pPr>
              <w:spacing w:after="0"/>
            </w:pPr>
            <w:r>
              <w:rPr>
                <w:rFonts w:ascii="Arial" w:cs="Arial" w:eastAsia="Arial" w:hAnsi="Arial"/>
                <w:b w:val="false"/>
                <w:bCs w:val="false"/>
                <w:sz w:val="20"/>
                <w:szCs w:val="20"/>
              </w:rPr>
              <w:t xml:space="preserve">7-9</w:t>
            </w:r>
          </w:p>
        </w:tc>
        <w:tc>
          <w:tcPr>
            <w:tcW w:type="dxa" w:w="1800"/>
          </w:tcPr>
          <w:p>
            <w:pPr>
              <w:spacing w:after="0"/>
            </w:pPr>
            <w:r>
              <w:rPr>
                <w:rFonts w:ascii="Arial" w:cs="Arial" w:eastAsia="Arial" w:hAnsi="Arial"/>
                <w:b w:val="false"/>
                <w:bCs w:val="false"/>
                <w:sz w:val="20"/>
                <w:szCs w:val="20"/>
              </w:rPr>
              <w:t xml:space="preserve">legítima</w:t>
            </w:r>
          </w:p>
        </w:tc>
        <w:tc>
          <w:tcPr>
            <w:tcW w:type="dxa" w:w="1800"/>
          </w:tcPr>
          <w:p>
            <w:pPr>
              <w:spacing w:after="0"/>
            </w:pPr>
            <w:r>
              <w:rPr>
                <w:rFonts w:ascii="Arial" w:cs="Arial" w:eastAsia="Arial" w:hAnsi="Arial"/>
                <w:b w:val="false"/>
                <w:bCs w:val="false"/>
                <w:sz w:val="20"/>
                <w:szCs w:val="20"/>
              </w:rPr>
              <w:t xml:space="preserve">955 a 2.135 USD</w:t>
            </w:r>
          </w:p>
        </w:tc>
        <w:tc>
          <w:tcPr>
            <w:tcW w:type="dxa" w:w="1800"/>
          </w:tcPr>
          <w:p>
            <w:pPr>
              <w:spacing w:after="0"/>
            </w:pPr>
            <w:r>
              <w:rPr>
                <w:rFonts w:ascii="Arial" w:cs="Arial" w:eastAsia="Arial" w:hAnsi="Arial"/>
                <w:b w:val="false"/>
                <w:bCs w:val="false"/>
                <w:sz w:val="20"/>
                <w:szCs w:val="20"/>
              </w:rPr>
              <w:t xml:space="preserve">CONFIRMADO</w:t>
            </w:r>
          </w:p>
        </w:tc>
        <w:tc>
          <w:tcPr>
            <w:tcW w:type="dxa" w:w="1800"/>
          </w:tcPr>
          <w:p>
            <w:pPr>
              <w:spacing w:after="0"/>
            </w:pPr>
            <w:r>
              <w:rPr>
                <w:rFonts w:ascii="Arial" w:cs="Arial" w:eastAsia="Arial" w:hAnsi="Arial"/>
                <w:b w:val="false"/>
                <w:bCs w:val="false"/>
                <w:sz w:val="20"/>
                <w:szCs w:val="20"/>
              </w:rPr>
              <w:t xml:space="preserve">CONFIRMADO</w:t>
            </w:r>
          </w:p>
        </w:tc>
      </w:tr>
    </w:tbl>
    <w:p>
      <w:pPr>
        <w:spacing w:after="160"/>
      </w:pPr>
    </w:p>
    <w:p>
      <w:pPr>
        <w:spacing w:after="160" w:line="360" w:lineRule="auto"/>
        <w:ind w:firstLine="425"/>
        <w:jc w:val="both"/>
      </w:pPr>
      <w:r>
        <w:rPr>
          <w:rFonts w:ascii="Arial" w:cs="Arial" w:eastAsia="Arial" w:hAnsi="Arial"/>
          <w:b/>
          <w:bCs/>
          <w:sz w:val="22"/>
          <w:szCs w:val="22"/>
        </w:rPr>
        <w:t xml:space="preserve">El veredicto es idéntico entre las dos versiones en los nueve casos, sin una sola excepción.</w:t>
      </w:r>
      <w:r>
        <w:rPr>
          <w:rFonts w:ascii="Arial" w:cs="Arial" w:eastAsia="Arial" w:hAnsi="Arial"/>
          <w:sz w:val="22"/>
          <w:szCs w:val="22"/>
        </w:rPr>
        <w:t xml:space="preserve"> Ni un fraude se recupera al dar nombre a las variables, ni un falso positivo se corrige al quitárselo. El modelo reproduce con exactitud el error del detector: confirma los tres legítimos que el detector puntúa alto y descarta los seis fraudes que puntúa bajo, tenga o no delante los nombres de las variables.</w:t>
      </w:r>
    </w:p>
    <w:p>
      <w:pPr>
        <w:spacing w:after="160" w:line="360" w:lineRule="auto"/>
        <w:ind w:firstLine="425"/>
        <w:jc w:val="both"/>
      </w:pPr>
      <w:r>
        <w:rPr>
          <w:rFonts w:ascii="Arial" w:cs="Arial" w:eastAsia="Arial" w:hAnsi="Arial"/>
          <w:sz w:val="22"/>
          <w:szCs w:val="22"/>
        </w:rPr>
        <w:t xml:space="preserve">La prosa sí es distinta, y de forma sistemática: en la versión completa nombra el comercio, comenta la categoría en sus propios términos —"servicios de transporte de gas", "categoría de comida y bebida"— y pondera explícitamente la edad o la distancia. En la reducida, la misma estructura argumental se sostiene sobre "var_1" y "var_2" sin perder coherencia interna. Es la confirmación experimental de 6.2.3 en su forma más limpia: el modelo no necesita entender qué es una variable para basar su veredicto en su magnitud, y entenderlo tampoco le hace decidir distinto. La legibilidad de negocio cambia lo que el texto puede argumentar, no lo que el sistema decide.</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 solo modelo, sin hiperparámetros ajustados, sobre datos simulados y con una sola semilla de generación. Nueve casos por versión no permiten ningún contraste estadístico, igual que las demostraciones de 5.11 y 5.14: es un resultado cualitativo y así debe leerse. Los cinco casos de la primera prueba y los nueve de la ablación no se solapan, y ambos apuntan en la misma dirección.</w:t>
      </w:r>
    </w:p>
    <w:p>
      <w:pPr>
        <w:spacing w:after="160" w:line="360" w:lineRule="auto"/>
        <w:ind w:firstLine="425"/>
        <w:jc w:val="both"/>
      </w:pPr>
      <w:r>
        <w:rPr>
          <w:rFonts w:ascii="Arial" w:cs="Arial" w:eastAsia="Arial" w:hAnsi="Arial"/>
          <w:sz w:val="22"/>
          <w:szCs w:val="22"/>
        </w:rPr>
        <w:t xml:space="preserve">Lo que sí permite, y es lo que se buscaba, es comprobar dos cosas por separado. Primera, que la limitación de 4.2.1 —las explicaciones no pueden ser de negocio porque el dato no lo es— es del dataset y no del sistema: con otro dataset, las mismas herramientas producen expedientes legibles por un humano y explicaciones que los aprovechan, sin cambiar una sola línea de la capa 2. Segunda, y más incómoda, que esa legibilidad no basta: sobre los mismos nueve casos de mayor desacuerdo entre el detector y la realidad, saber qué significa cada variable no cambió ni un veredicto. El problema que 5.12 y 5.14 documentan sobre ULB no es que el modelo no entienda las variables; es que su veredicto no depende de entenderlas.</w:t>
      </w:r>
    </w:p>
    <w:p>
      <w:pPr>
        <w:pStyle w:val="Heading2"/>
        <w:spacing w:after="200" w:before="360"/>
      </w:pPr>
      <w:r>
        <w:rPr>
          <w:rFonts w:ascii="Arial" w:cs="Arial" w:eastAsia="Arial" w:hAnsi="Arial"/>
          <w:b/>
          <w:bCs/>
          <w:color w:val="000000"/>
          <w:sz w:val="26"/>
          <w:szCs w:val="26"/>
        </w:rPr>
        <w:t xml:space="preserve">5.14 Ajuste fino QLoRA: ¿cambia por los pesos lo que no cambió por el enunciado?</w:t>
      </w:r>
    </w:p>
    <w:p>
      <w:pPr>
        <w:spacing w:after="160" w:line="360" w:lineRule="auto"/>
        <w:ind w:firstLine="425"/>
        <w:jc w:val="both"/>
      </w:pPr>
      <w:r>
        <w:rPr>
          <w:rFonts w:ascii="Arial" w:cs="Arial" w:eastAsia="Arial" w:hAnsi="Arial"/>
          <w:sz w:val="22"/>
          <w:szCs w:val="22"/>
        </w:rPr>
        <w:t xml:space="preserve">La sección 5.12 mostró que corregir en el enunciado la premisa sobre el importe bajo no cambia la decisión, solo la prosa. Queda una vía que 5.12 no podía probar: si esa misma corrección, en lugar de pedirse en el enunciado en cada llamada, se instala en los pesos del modelo mediante un ajuste fino, ¿deja de ser un consejo que el modelo puede ignorar y pasa a ser una disposición que aplica?</w:t>
      </w:r>
    </w:p>
    <w:p>
      <w:pPr>
        <w:pStyle w:val="Heading3"/>
        <w:spacing w:after="200" w:before="360"/>
      </w:pPr>
      <w:r>
        <w:rPr>
          <w:rFonts w:ascii="Arial" w:cs="Arial" w:eastAsia="Arial" w:hAnsi="Arial"/>
          <w:b/>
          <w:bCs/>
          <w:color w:val="000000"/>
          <w:sz w:val="24"/>
          <w:szCs w:val="24"/>
        </w:rPr>
        <w:t xml:space="preserve">Diseño</w:t>
      </w:r>
    </w:p>
    <w:p>
      <w:pPr>
        <w:spacing w:after="160" w:line="360" w:lineRule="auto"/>
        <w:ind w:firstLine="425"/>
        <w:jc w:val="both"/>
      </w:pPr>
      <w:r>
        <w:rPr>
          <w:rFonts w:ascii="Arial" w:cs="Arial" w:eastAsia="Arial" w:hAnsi="Arial"/>
          <w:sz w:val="22"/>
          <w:szCs w:val="22"/>
        </w:rPr>
        <w:t xml:space="preserve">Se entrenó un adaptador LoRA de rango 16 sobre Qwen2.5-14B-Instruct en 4 bits, con 540 ejemplos construidos exclusivamente con transacciones anteriores al corte de la partición temporal —una aserción explícita comprueba en cada ejemplo que su instante es anterior al límite de entrenamiento, para que ningún caso de la evaluación pueda haberse visto durante el ajuste—. El conjunto equilibra fraude y falso positivo y sobremuestrea el fraude de importe bajo dentro de su propia clase, precisamente el patrón que el modelo no reconocía. Las respuestas objetivo se generaron por plantilla a partir de las contribuciones reales del detector, no se redactaron a mano.</w:t>
      </w:r>
    </w:p>
    <w:p>
      <w:pPr>
        <w:spacing w:after="160" w:line="360" w:lineRule="auto"/>
        <w:ind w:firstLine="425"/>
        <w:jc w:val="both"/>
      </w:pPr>
      <w:r>
        <w:rPr>
          <w:rFonts w:ascii="Arial" w:cs="Arial" w:eastAsia="Arial" w:hAnsi="Arial"/>
          <w:sz w:val="22"/>
          <w:szCs w:val="22"/>
        </w:rPr>
        <w:t xml:space="preserve">Se comparan tres condiciones sobre los mismos doce casos de cola de 5.11 y 5.12, con el enunciado exacto del arnés: el modelo base, el modelo base con la corrección en el enunciado, y el modelo con el adaptador y sin corrección en el enunciado. El entrenamiento tardó 29,6 horas —muy por encima de lo esperado, por un cuello de botella de memoria compartida en una GPU de 16 GB compartida con el resto del sistema operativo— con una pérdida final de 0,086.</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Condición</w:t>
            </w:r>
          </w:p>
        </w:tc>
        <w:tc>
          <w:tcPr>
            <w:tcW w:type="dxa" w:w="2250"/>
            <w:shd w:fill="D9D9D9" w:val="clear"/>
          </w:tcPr>
          <w:p>
            <w:pPr>
              <w:spacing w:after="0"/>
            </w:pPr>
            <w:r>
              <w:rPr>
                <w:rFonts w:ascii="Arial" w:cs="Arial" w:eastAsia="Arial" w:hAnsi="Arial"/>
                <w:b/>
                <w:bCs/>
                <w:sz w:val="20"/>
                <w:szCs w:val="20"/>
              </w:rPr>
              <w:t xml:space="preserve">Confirma</w:t>
            </w:r>
          </w:p>
        </w:tc>
        <w:tc>
          <w:tcPr>
            <w:tcW w:type="dxa" w:w="2250"/>
            <w:shd w:fill="D9D9D9" w:val="clear"/>
          </w:tcPr>
          <w:p>
            <w:pPr>
              <w:spacing w:after="0"/>
            </w:pPr>
            <w:r>
              <w:rPr>
                <w:rFonts w:ascii="Arial" w:cs="Arial" w:eastAsia="Arial" w:hAnsi="Arial"/>
                <w:b/>
                <w:bCs/>
                <w:sz w:val="20"/>
                <w:szCs w:val="20"/>
              </w:rPr>
              <w:t xml:space="preserve">Fraude destruido</w:t>
            </w:r>
          </w:p>
        </w:tc>
        <w:tc>
          <w:tcPr>
            <w:tcW w:type="dxa" w:w="2250"/>
            <w:shd w:fill="D9D9D9" w:val="clear"/>
          </w:tcPr>
          <w:p>
            <w:pPr>
              <w:spacing w:after="0"/>
            </w:pPr>
            <w:r>
              <w:rPr>
                <w:rFonts w:ascii="Arial" w:cs="Arial" w:eastAsia="Arial" w:hAnsi="Arial"/>
                <w:b/>
                <w:bCs/>
                <w:sz w:val="20"/>
                <w:szCs w:val="20"/>
              </w:rPr>
              <w:t xml:space="preserve">Casos confirmados</w:t>
            </w:r>
          </w:p>
        </w:tc>
      </w:tr>
      <w:tr>
        <w:tc>
          <w:tcPr>
            <w:tcW w:type="dxa" w:w="2250"/>
          </w:tcPr>
          <w:p>
            <w:pPr>
              <w:spacing w:after="0"/>
            </w:pPr>
            <w:r>
              <w:rPr>
                <w:rFonts w:ascii="Arial" w:cs="Arial" w:eastAsia="Arial" w:hAnsi="Arial"/>
                <w:b w:val="false"/>
                <w:bCs w:val="false"/>
                <w:sz w:val="20"/>
                <w:szCs w:val="20"/>
              </w:rPr>
              <w:t xml:space="preserve">base</w:t>
            </w:r>
          </w:p>
        </w:tc>
        <w:tc>
          <w:tcPr>
            <w:tcW w:type="dxa" w:w="2250"/>
          </w:tcPr>
          <w:p>
            <w:pPr>
              <w:spacing w:after="0"/>
            </w:pPr>
            <w:r>
              <w:rPr>
                <w:rFonts w:ascii="Arial" w:cs="Arial" w:eastAsia="Arial" w:hAnsi="Arial"/>
                <w:b w:val="false"/>
                <w:bCs w:val="false"/>
                <w:sz w:val="20"/>
                <w:szCs w:val="20"/>
              </w:rPr>
              <w:t xml:space="preserve">0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ninguno</w:t>
            </w:r>
          </w:p>
        </w:tc>
      </w:tr>
      <w:tr>
        <w:tc>
          <w:tcPr>
            <w:tcW w:type="dxa" w:w="2250"/>
          </w:tcPr>
          <w:p>
            <w:pPr>
              <w:spacing w:after="0"/>
            </w:pPr>
            <w:r>
              <w:rPr>
                <w:rFonts w:ascii="Arial" w:cs="Arial" w:eastAsia="Arial" w:hAnsi="Arial"/>
                <w:b w:val="false"/>
                <w:bCs w:val="false"/>
                <w:sz w:val="20"/>
                <w:szCs w:val="20"/>
              </w:rPr>
              <w:t xml:space="preserve">base + dominio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r>
        <w:tc>
          <w:tcPr>
            <w:tcW w:type="dxa" w:w="2250"/>
          </w:tcPr>
          <w:p>
            <w:pPr>
              <w:spacing w:after="0"/>
            </w:pPr>
            <w:r>
              <w:rPr>
                <w:rFonts w:ascii="Arial" w:cs="Arial" w:eastAsia="Arial" w:hAnsi="Arial"/>
                <w:b w:val="false"/>
                <w:bCs w:val="false"/>
                <w:sz w:val="20"/>
                <w:szCs w:val="20"/>
              </w:rPr>
              <w:t xml:space="preserve">adaptado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bl>
    <w:p>
      <w:pPr>
        <w:spacing w:after="160"/>
      </w:pPr>
    </w:p>
    <w:p>
      <w:pPr>
        <w:spacing w:after="160" w:line="360" w:lineRule="auto"/>
        <w:ind w:firstLine="425"/>
        <w:jc w:val="both"/>
      </w:pPr>
      <w:r>
        <w:rPr>
          <w:rFonts w:ascii="Arial" w:cs="Arial" w:eastAsia="Arial" w:hAnsi="Arial"/>
          <w:b/>
          <w:bCs/>
          <w:sz w:val="22"/>
          <w:szCs w:val="22"/>
        </w:rPr>
        <w:t xml:space="preserve">Los veredictos de "adaptado" son idénticos a los de "base + dominio", caso por caso, en los doce.</w:t>
      </w:r>
      <w:r>
        <w:rPr>
          <w:rFonts w:ascii="Arial" w:cs="Arial" w:eastAsia="Arial" w:hAnsi="Arial"/>
          <w:sz w:val="22"/>
          <w:szCs w:val="22"/>
        </w:rPr>
        <w:t xml:space="preserve"> El adaptador no salva los fraudes 50 y 55, que siguen descartados, y confirma el mismo caso de control, el 44, que no es fraude. Instalar la corrección en los pesos no logró lo que instalarla en el enunciado tampoco logró.</w:t>
      </w:r>
    </w:p>
    <w:p>
      <w:pPr>
        <w:spacing w:after="160" w:line="360" w:lineRule="auto"/>
        <w:ind w:firstLine="425"/>
        <w:jc w:val="both"/>
      </w:pPr>
      <w:r>
        <w:rPr>
          <w:rFonts w:ascii="Arial" w:cs="Arial" w:eastAsia="Arial" w:hAnsi="Arial"/>
          <w:sz w:val="22"/>
          <w:szCs w:val="22"/>
        </w:rPr>
        <w:t xml:space="preserve">Lo que sí cambia por completo es la prosa. Frente al párrafo largo y con matices de las otras dos condiciones, el modelo adaptado responde con una estructura fija y telegráfica: cita la probabilidad exacta del expediente, dos variables a favor de la sospecha y dos en contra con sus valores, y cierra con una frase de conclusión. Sobre el caso 55 escribe: "el detector eleva el CASO 55 con probabilidad 0,0673 y un importe de 2,22 EUR. Empujan hacia fraude V14 (+3,004) y V4 (+2,180). En sentido contrario, V1 (-2,603) y V7 (-1,660). El conjunto de aportes no sostiene la sospecha: el patrón es compatible con una operación legítima."</w:t>
      </w:r>
    </w:p>
    <w:p>
      <w:pPr>
        <w:spacing w:after="160" w:line="360" w:lineRule="auto"/>
        <w:ind w:firstLine="425"/>
        <w:jc w:val="both"/>
      </w:pPr>
      <w:r>
        <w:rPr>
          <w:rFonts w:ascii="Arial" w:cs="Arial" w:eastAsia="Arial" w:hAnsi="Arial"/>
          <w:sz w:val="22"/>
          <w:szCs w:val="22"/>
        </w:rPr>
        <w:t xml:space="preserve">Y sobre el caso 44, el único que confirma, escribe: "el importe reducido no es un atenuante: el cargo mínimo de prueba es un patrón habitual de fraude, y las contribuciones dominantes lo respaldan."</w:t>
      </w:r>
    </w:p>
    <w:p>
      <w:pPr>
        <w:spacing w:after="160" w:line="360" w:lineRule="auto"/>
        <w:ind w:firstLine="425"/>
        <w:jc w:val="both"/>
      </w:pPr>
      <w:r>
        <w:rPr>
          <w:rFonts w:ascii="Arial" w:cs="Arial" w:eastAsia="Arial" w:hAnsi="Arial"/>
          <w:sz w:val="22"/>
          <w:szCs w:val="22"/>
        </w:rPr>
        <w:t xml:space="preserve">La cifra que cita —0,0673 en el caso 55, 0,1286 en el 50, 0,6081 en el 44— es la probabilidad que el propio expediente le entrega, y coincide en todos los casos con el sentido del veredicto: probabilidad baja, descarta; probabilidad más alta, confirma. Es la misma dependencia de la puntuación del detector que 5.7 y 5.8 documentaron sin ajuste fino de por medio: el modelo no aprendió a razonar distinto sobre el importe, aprendió una plantilla que resume fielmente las contribuciones y decide según la puntuación que ya traía el expediente. El entrenamiento con respuestas objetivo generadas por plantilla es la explicación más probable de por qué el estilo se volvió tan uniforme.</w:t>
      </w:r>
    </w:p>
    <w:p>
      <w:pPr>
        <w:pStyle w:val="Heading3"/>
        <w:spacing w:after="200" w:before="360"/>
      </w:pPr>
      <w:r>
        <w:rPr>
          <w:rFonts w:ascii="Arial" w:cs="Arial" w:eastAsia="Arial" w:hAnsi="Arial"/>
          <w:b/>
          <w:bCs/>
          <w:color w:val="000000"/>
          <w:sz w:val="24"/>
          <w:szCs w:val="24"/>
        </w:rPr>
        <w:t xml:space="preserve">Lectura</w:t>
      </w:r>
    </w:p>
    <w:p>
      <w:pPr>
        <w:spacing w:after="160" w:line="360" w:lineRule="auto"/>
        <w:ind w:firstLine="425"/>
        <w:jc w:val="both"/>
      </w:pPr>
      <w:r>
        <w:rPr>
          <w:rFonts w:ascii="Arial" w:cs="Arial" w:eastAsia="Arial" w:hAnsi="Arial"/>
          <w:sz w:val="22"/>
          <w:szCs w:val="22"/>
        </w:rPr>
        <w:t xml:space="preserve">Se comprobó lo que 6.4 dejaba como pregunta abierta: la disociación entre explicación y decisión no depende de que la corrección llegue por el enunciado o por los pesos. En ambos casos el modelo dispone de la misma evidencia —las contribuciones por variable— y en ambos casos decide con el mismo criterio, que no es el importe sino la puntuación previa del detector. Cambiar el canal de la corrección cambió el estilo de la respuesta y no cambió ni un solo veredicto.</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Doce casos y un adaptador entrenado una vez: no hay contraste estadístico posible, igual que en 5.11. El conjunto de ajuste usa respuestas objetivo plantilladas, lo que probablemente explica la uniformidad de la prosa resultante más que cualquier propiedad del ajuste fino en sí; un conjunto con respuestas más variadas podría comportarse distinto y queda como trabajo futuro. No se ha medido si el adaptador generaliza a casos de fraude de importe bajo fuera de los que motivaron su diseño.</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ind w:firstLine="425"/>
        <w:jc w:val="both"/>
      </w:pPr>
      <w:r>
        <w:rPr>
          <w:rFonts w:ascii="Arial" w:cs="Arial" w:eastAsia="Arial" w:hAnsi="Arial"/>
          <w:b/>
          <w:bCs/>
          <w:sz w:val="22"/>
          <w:szCs w:val="22"/>
        </w:rPr>
        <w:t xml:space="preserve">Objetivo 1 — construir un detector de anomalías sobre datos de transacciones.</w:t>
      </w:r>
      <w:r>
        <w:rPr>
          <w:rFonts w:ascii="Arial" w:cs="Arial" w:eastAsia="Arial" w:hAnsi="Arial"/>
          <w:sz w:val="22"/>
          <w:szCs w:val="22"/>
        </w:rPr>
        <w:t xml:space="preserve"> Alcanzado. El detector basado en XGBoost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Isolation Forest, que era el planteamiento inicial del trabajo, resultó concluyente en contra de este: 0,152 de AUC-PR frente a 0,883, y 0,034 frente a 0,797 en partición temporal. Un detector no supervisado no es competitivo cuando se dispone de etiquetas.</w:t>
      </w:r>
    </w:p>
    <w:p>
      <w:pPr>
        <w:spacing w:after="160" w:line="360" w:lineRule="auto"/>
        <w:ind w:firstLine="425"/>
        <w:jc w:val="both"/>
      </w:pPr>
      <w:r>
        <w:rPr>
          <w:rFonts w:ascii="Arial" w:cs="Arial" w:eastAsia="Arial" w:hAnsi="Arial"/>
          <w:b/>
          <w:bCs/>
          <w:sz w:val="22"/>
          <w:szCs w:val="22"/>
        </w:rPr>
        <w:t xml:space="preserve">Objetivo 2 — incorporar una capa de agentes que explique y filtre.</w:t>
      </w:r>
      <w:r>
        <w:rPr>
          <w:rFonts w:ascii="Arial" w:cs="Arial" w:eastAsia="Arial" w:hAnsi="Arial"/>
          <w:sz w:val="22"/>
          <w:szCs w:val="22"/>
        </w:rPr>
        <w:t xml:space="preserve"> Alcanzado en cuanto a la construcción, no en cuanto al beneficio. El sistema de seis agentes sobre CrewAI produce informes en castellano, con cobertura del cien por cien de los casos elevados y sin invenciones detectables por la auditoría automática. Pero la capa no mejora la detección: en el mejor de los casos deja el recall como estaba y en el resto lo empeora, al descartar casos que eran fraude real. Este resultado negativo es, a juicio de este trabajo, el hallazgo más útil de los obtenidos.</w:t>
      </w:r>
    </w:p>
    <w:p>
      <w:pPr>
        <w:spacing w:after="160" w:line="360" w:lineRule="auto"/>
        <w:ind w:firstLine="425"/>
        <w:jc w:val="both"/>
      </w:pPr>
      <w:r>
        <w:rPr>
          <w:rFonts w:ascii="Arial" w:cs="Arial" w:eastAsia="Arial" w:hAnsi="Arial"/>
          <w:b/>
          <w:bCs/>
          <w:sz w:val="22"/>
          <w:szCs w:val="22"/>
        </w:rPr>
        <w:t xml:space="preserve">Objetivo 3 — evaluar el sistema de forma reproducible.</w:t>
      </w:r>
      <w:r>
        <w:rPr>
          <w:rFonts w:ascii="Arial" w:cs="Arial" w:eastAsia="Arial" w:hAnsi="Arial"/>
          <w:sz w:val="22"/>
          <w:szCs w:val="22"/>
        </w:rP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pPr>
        <w:spacing w:after="160" w:line="360" w:lineRule="auto"/>
        <w:ind w:firstLine="425"/>
        <w:jc w:val="both"/>
      </w:pPr>
      <w:r>
        <w:rPr>
          <w:rFonts w:ascii="Arial" w:cs="Arial" w:eastAsia="Arial" w:hAnsi="Arial"/>
          <w:b/>
          <w:bCs/>
          <w:sz w:val="22"/>
          <w:szCs w:val="22"/>
        </w:rPr>
        <w:t xml:space="preserve">Objetivo 4 — cuantificar la pérdida frente a modelos de mayor capacidad.</w:t>
      </w:r>
      <w:r>
        <w:rPr>
          <w:rFonts w:ascii="Arial" w:cs="Arial" w:eastAsia="Arial" w:hAnsi="Arial"/>
          <w:sz w:val="22"/>
          <w:szCs w:val="22"/>
        </w:rPr>
        <w:t xml:space="preserve"> Alcanzado, y sin romper la restricción de ejecución local. Mediante descomposición por capas se ejecutó un modelo de 72.000 millones de parámetros en una tarjeta de 16 GB. El resultado se detalla en 6.2.</w:t>
      </w:r>
    </w:p>
    <w:p>
      <w:pPr>
        <w:pStyle w:val="Heading2"/>
        <w:spacing w:after="200" w:before="360"/>
      </w:pPr>
      <w:r>
        <w:rPr>
          <w:rFonts w:ascii="Arial" w:cs="Arial" w:eastAsia="Arial" w:hAnsi="Arial"/>
          <w:b/>
          <w:bCs/>
          <w:color w:val="000000"/>
          <w:sz w:val="26"/>
          <w:szCs w:val="26"/>
        </w:rPr>
        <w:t xml:space="preserve">6.2 Conclusiones principales</w:t>
      </w:r>
    </w:p>
    <w:p>
      <w:pPr>
        <w:pStyle w:val="Heading3"/>
        <w:spacing w:after="200" w:before="360"/>
      </w:pPr>
      <w:r>
        <w:rPr>
          <w:rFonts w:ascii="Arial" w:cs="Arial" w:eastAsia="Arial" w:hAnsi="Arial"/>
          <w:b/>
          <w:bCs/>
          <w:color w:val="000000"/>
          <w:sz w:val="24"/>
          <w:szCs w:val="24"/>
        </w:rPr>
        <w:t xml:space="preserve">6.2.1 La capacidad del modelo no es el factor limitante</w:t>
      </w:r>
    </w:p>
    <w:p>
      <w:pPr>
        <w:spacing w:after="160" w:line="360" w:lineRule="auto"/>
        <w:ind w:firstLine="425"/>
        <w:jc w:val="both"/>
      </w:pPr>
      <w:r>
        <w:rPr>
          <w:rFonts w:ascii="Arial" w:cs="Arial" w:eastAsia="Arial" w:hAnsi="Arial"/>
          <w:sz w:val="22"/>
          <w:szCs w:val="22"/>
        </w:rPr>
        <w:t xml:space="preserve">La hipótesis de partida era que los modelos que caben en memoria de consumo resultan insuficientes y que uno mayor decidiría mejor. Los datos no la respaldan.</w:t>
      </w:r>
    </w:p>
    <w:p>
      <w:pPr>
        <w:spacing w:after="160" w:line="360" w:lineRule="auto"/>
        <w:ind w:firstLine="425"/>
        <w:jc w:val="both"/>
      </w:pPr>
      <w:r>
        <w:rPr>
          <w:rFonts w:ascii="Arial" w:cs="Arial" w:eastAsia="Arial" w:hAnsi="Arial"/>
          <w:sz w:val="22"/>
          <w:szCs w:val="22"/>
        </w:rPr>
        <w:t xml:space="preserve">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pPr>
        <w:spacing w:after="160" w:line="360" w:lineRule="auto"/>
        <w:ind w:firstLine="425"/>
        <w:jc w:val="both"/>
      </w:pPr>
      <w:r>
        <w:rPr>
          <w:rFonts w:ascii="Arial" w:cs="Arial" w:eastAsia="Arial" w:hAnsi="Arial"/>
          <w:sz w:val="22"/>
          <w:szCs w:val="22"/>
        </w:rPr>
        <w:t xml:space="preserve">Entre los modelos que sí caben en memoria se observa una ordenación consistente en dirección —el de 8.000 millones destruye más fraude que el de 20.000— pero </w:t>
      </w:r>
      <w:r>
        <w:rPr>
          <w:rFonts w:ascii="Arial" w:cs="Arial" w:eastAsia="Arial" w:hAnsi="Arial"/>
          <w:b/>
          <w:bCs/>
          <w:sz w:val="22"/>
          <w:szCs w:val="22"/>
        </w:rPr>
        <w:t xml:space="preserve">esa diferencia no alcanza significación estadística</w:t>
      </w:r>
      <w:r>
        <w:rPr>
          <w:rFonts w:ascii="Arial" w:cs="Arial" w:eastAsia="Arial" w:hAnsi="Arial"/>
          <w:sz w:val="22"/>
          <w:szCs w:val="22"/>
        </w:rPr>
        <w:t xml:space="preserve"> con los datos disponibles: 19, 12 y 8 fraudes destruidos en dieciséis ejecuciones por modelo, con un contraste exacto de Fisher sobre la dicotomización que arroja p = 0,156 y una prueba de Mann-Whitney sobre los recuentos que arroja p = 0,050. La conclusión defendible es que la ordenación es sugerente y no está demostrada.</w:t>
      </w:r>
    </w:p>
    <w:p>
      <w:pPr>
        <w:pStyle w:val="Heading3"/>
        <w:spacing w:after="200" w:before="360"/>
      </w:pPr>
      <w:r>
        <w:rPr>
          <w:rFonts w:ascii="Arial" w:cs="Arial" w:eastAsia="Arial" w:hAnsi="Arial"/>
          <w:b/>
          <w:bCs/>
          <w:color w:val="000000"/>
          <w:sz w:val="24"/>
          <w:szCs w:val="24"/>
        </w:rPr>
        <w:t xml:space="preserve">6.2.2 Corregir la premisa declarada no corrige la decisión</w:t>
      </w:r>
    </w:p>
    <w:p>
      <w:pPr>
        <w:spacing w:after="160" w:line="360" w:lineRule="auto"/>
        <w:ind w:firstLine="425"/>
        <w:jc w:val="both"/>
      </w:pPr>
      <w:r>
        <w:rPr>
          <w:rFonts w:ascii="Arial" w:cs="Arial" w:eastAsia="Arial" w:hAnsi="Arial"/>
          <w:sz w:val="22"/>
          <w:szCs w:val="22"/>
        </w:rPr>
        <w:t xml:space="preserve">Es el resultado más relevante del trabajo y surgió de forma imprevista al analizar el objetivo 4.</w:t>
      </w:r>
    </w:p>
    <w:p>
      <w:pPr>
        <w:spacing w:after="160" w:line="360" w:lineRule="auto"/>
        <w:ind w:firstLine="425"/>
        <w:jc w:val="both"/>
      </w:pPr>
      <w:r>
        <w:rPr>
          <w:rFonts w:ascii="Arial" w:cs="Arial" w:eastAsia="Arial" w:hAnsi="Arial"/>
          <w:sz w:val="22"/>
          <w:szCs w:val="22"/>
        </w:rPr>
        <w:t xml:space="preserve">Al examinar los razonamientos escritos se observó que los modelos descartaban los fraudes alegando de forma explícita que el importe era reducido. En estos datos esa premisa está invertida: </w:t>
      </w:r>
      <w:r>
        <w:rPr>
          <w:rFonts w:ascii="Arial" w:cs="Arial" w:eastAsia="Arial" w:hAnsi="Arial"/>
          <w:b/>
          <w:bCs/>
          <w:sz w:val="22"/>
          <w:szCs w:val="22"/>
        </w:rPr>
        <w:t xml:space="preserve">sobre el turno evaluado</w:t>
      </w:r>
      <w:r>
        <w:rPr>
          <w:rFonts w:ascii="Arial" w:cs="Arial" w:eastAsia="Arial" w:hAnsi="Arial"/>
          <w:sz w:val="22"/>
          <w:szCs w:val="22"/>
        </w:rPr>
        <w:t xml:space="preserve">, el importe mediano de una transacción fraudulenta es de 2,11 euros frente a 19,99 de una legítima, y el 59,3 % de los fraudes no llega a cinco euros frente al 25,1 % de las legítimas: 2,4 veces más probabilidad de ser de importe reducido. La relación se mantiene sobre el conjunto completo, aunque con menor intensidad —mediana de 9,25 frente a 22,00 euros, y 45,1 % frente a 24,2 % por debajo de cinco euros, es decir 1,9 veces—, de modo que la premisa del modelo resulta falsa en ambas poblaciones.</w:t>
      </w:r>
    </w:p>
    <w:p>
      <w:pPr>
        <w:spacing w:after="160" w:line="360" w:lineRule="auto"/>
        <w:ind w:firstLine="425"/>
        <w:jc w:val="both"/>
      </w:pPr>
      <w:r>
        <w:rPr>
          <w:rFonts w:ascii="Arial" w:cs="Arial" w:eastAsia="Arial" w:hAnsi="Arial"/>
          <w:sz w:val="22"/>
          <w:szCs w:val="22"/>
        </w:rPr>
        <w:t xml:space="preserve">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pPr>
        <w:spacing w:after="160" w:line="360" w:lineRule="auto"/>
        <w:ind w:firstLine="425"/>
        <w:jc w:val="both"/>
      </w:pPr>
      <w:r>
        <w:rPr>
          <w:rFonts w:ascii="Arial" w:cs="Arial" w:eastAsia="Arial" w:hAnsi="Arial"/>
          <w:sz w:val="22"/>
          <w:szCs w:val="22"/>
        </w:rPr>
        <w:t xml:space="preserve">Se midió sobre cuatro turnos, doce casos de cola por turno y dos modelos, en las dos condiciones: 192 veredictos en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informativa.</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pPr>
        <w:spacing w:after="160" w:line="360" w:lineRule="auto"/>
        <w:ind w:firstLine="425"/>
        <w:jc w:val="both"/>
      </w:pPr>
      <w:r>
        <w:rPr>
          <w:rFonts w:ascii="Arial" w:cs="Arial" w:eastAsia="Arial" w:hAnsi="Arial"/>
          <w:sz w:val="22"/>
          <w:szCs w:val="22"/>
        </w:rPr>
        <w:t xml:space="preserve">De ello se siguen dos conclusiones distintas y ambas incómodas. La primera es que </w:t>
      </w:r>
      <w:r>
        <w:rPr>
          <w:rFonts w:ascii="Arial" w:cs="Arial" w:eastAsia="Arial" w:hAnsi="Arial"/>
          <w:b/>
          <w:bCs/>
          <w:sz w:val="22"/>
          <w:szCs w:val="22"/>
        </w:rPr>
        <w:t xml:space="preserve">la explicación redactada no es un indicador fiable de lo que el modelo va a decidir</w:t>
      </w:r>
      <w:r>
        <w:rPr>
          <w:rFonts w:ascii="Arial" w:cs="Arial" w:eastAsia="Arial" w:hAnsi="Arial"/>
          <w:sz w:val="22"/>
          <w:szCs w:val="22"/>
        </w:rPr>
        <w:t xml:space="preserve">: en el modelo de 14.000 millones de parámetros la contradice de forma directa en la mayoría de los casos en que la menciona. La segunda es que </w:t>
      </w:r>
      <w:r>
        <w:rPr>
          <w:rFonts w:ascii="Arial" w:cs="Arial" w:eastAsia="Arial" w:hAnsi="Arial"/>
          <w:b/>
          <w:bCs/>
          <w:sz w:val="22"/>
          <w:szCs w:val="22"/>
        </w:rPr>
        <w:t xml:space="preserve">cuando el veredicto sí sigue al texto, lo hace desplazando el criterio en bloque en lugar de discriminando mejor</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Este trabajo no afirma nada sobre el mecanismo interno que produce ese comportamiento. Sí constata que corregir la premisa declarada altera de forma sistemática lo que el modelo escribe y no mejora lo que el modelo decide.</w:t>
      </w:r>
    </w:p>
    <w:p>
      <w:pPr>
        <w:spacing w:after="160" w:line="360" w:lineRule="auto"/>
        <w:ind w:firstLine="425"/>
        <w:jc w:val="both"/>
      </w:pPr>
      <w:r>
        <w:rPr>
          <w:rFonts w:ascii="Arial" w:cs="Arial" w:eastAsia="Arial" w:hAnsi="Arial"/>
          <w:sz w:val="22"/>
          <w:szCs w:val="22"/>
        </w:rPr>
        <w:t xml:space="preserve">En los términos que la literatura de inteligencia artificial explicable emplea, y que se recogen en 2.4, lo observado es que </w:t>
      </w:r>
      <w:r>
        <w:rPr>
          <w:rFonts w:ascii="Arial" w:cs="Arial" w:eastAsia="Arial" w:hAnsi="Arial"/>
          <w:b/>
          <w:bCs/>
          <w:sz w:val="22"/>
          <w:szCs w:val="22"/>
        </w:rPr>
        <w:t xml:space="preserve">la corrección aumenta la plausibilidad de la explicación sin aumentar su fidelidad</w:t>
      </w:r>
      <w:r>
        <w:rPr>
          <w:rFonts w:ascii="Arial" w:cs="Arial" w:eastAsia="Arial" w:hAnsi="Arial"/>
          <w:sz w:val="22"/>
          <w:szCs w:val="22"/>
        </w:rPr>
        <w:t xml:space="preserve">. La plausibilidad crece de forma deliberada y verificable: el modelo pasa de no mencionar nunca el patrón del cargo de prueba a describirlo correctamente en 43 de 96 casos, empleando conocimiento válido del dominio. La fidelidad no acompaña: la decisión que sigue a esa descripción es la misma que antes.</w:t>
      </w:r>
    </w:p>
    <w:p>
      <w:pPr>
        <w:spacing w:after="160" w:line="360" w:lineRule="auto"/>
        <w:ind w:firstLine="425"/>
        <w:jc w:val="both"/>
      </w:pPr>
      <w:r>
        <w:rPr>
          <w:rFonts w:ascii="Arial" w:cs="Arial" w:eastAsia="Arial" w:hAnsi="Arial"/>
          <w:sz w:val="22"/>
          <w:szCs w:val="22"/>
        </w:rPr>
        <w:t xml:space="preserve">La consecuencia práctica para el diseño de sistemas como este es que </w:t>
      </w:r>
      <w:r>
        <w:rPr>
          <w:rFonts w:ascii="Arial" w:cs="Arial" w:eastAsia="Arial" w:hAnsi="Arial"/>
          <w:b/>
          <w:bCs/>
          <w:sz w:val="22"/>
          <w:szCs w:val="22"/>
        </w:rPr>
        <w:t xml:space="preserve">una explicación bien redactada y coherente con el dominio no constituye evidencia de que la decisión se haya tomado por esas razones</w:t>
      </w:r>
      <w:r>
        <w:rPr>
          <w:rFonts w:ascii="Arial" w:cs="Arial" w:eastAsia="Arial" w:hAnsi="Arial"/>
          <w:sz w:val="22"/>
          <w:szCs w:val="22"/>
        </w:rPr>
        <w:t xml:space="preserve">, y por tanto no debe emplearse para auditar al sistema que la produce. Es precisamente el riesgo que la literatura señala al distinguir ambas propiedades, observado aquí sobre un sistema en funcionamiento y con un denominador.</w:t>
      </w:r>
    </w:p>
    <w:p>
      <w:pPr>
        <w:spacing w:after="160" w:line="360" w:lineRule="auto"/>
        <w:ind w:firstLine="425"/>
        <w:jc w:val="both"/>
      </w:pPr>
      <w:r>
        <w:rPr>
          <w:rFonts w:ascii="Arial" w:cs="Arial" w:eastAsia="Arial" w:hAnsi="Arial"/>
          <w:sz w:val="22"/>
          <w:szCs w:val="22"/>
        </w:rPr>
        <w:t xml:space="preserve">La medida propuesta, la proporción de casos en que la prosa reconoce el indicio y el veredicto lo ignora, no es una medida de fidelidad en sentido estricto: el proceso interno del modelo no es observable en este montaje. Es algo más débil y, a cambio, comprobable en producción sin instrumentación adicional. Se propone denominarla </w:t>
      </w:r>
      <w:r>
        <w:rPr>
          <w:rFonts w:ascii="Arial" w:cs="Arial" w:eastAsia="Arial" w:hAnsi="Arial"/>
          <w:b/>
          <w:bCs/>
          <w:sz w:val="22"/>
          <w:szCs w:val="22"/>
        </w:rPr>
        <w:t xml:space="preserve">consistencia entre explicación y decisión</w:t>
      </w:r>
      <w:r>
        <w:rPr>
          <w:rFonts w:ascii="Arial" w:cs="Arial" w:eastAsia="Arial" w:hAnsi="Arial"/>
          <w:sz w:val="22"/>
          <w:szCs w:val="22"/>
        </w:rPr>
        <w:t xml:space="preserve">, y no confundirla con la fidelidad.</w:t>
      </w:r>
    </w:p>
    <w:p>
      <w:pPr>
        <w:spacing w:after="160" w:line="360" w:lineRule="auto"/>
        <w:ind w:firstLine="425"/>
        <w:jc w:val="both"/>
      </w:pPr>
      <w:r>
        <w:rPr>
          <w:rFonts w:ascii="Arial" w:cs="Arial" w:eastAsia="Arial" w:hAnsi="Arial"/>
          <w:sz w:val="22"/>
          <w:szCs w:val="22"/>
        </w:rPr>
        <w:t xml:space="preserve">Cabía preguntarse si el problema era el canal: quizá una corrección repetida en cada llamada, que el modelo puede en principio ignorar, se comporta distinto de una corrección instalada de forma permanente en los pesos. La sección 5.14 responde que no. Un adaptador LoRA entrenado sobre el propio dominio, con ejemplos que sí distinguen fraude de importe bajo de falso positivo de importe bajo, produce sobre los mismos doce casos de cola </w:t>
      </w:r>
      <w:r>
        <w:rPr>
          <w:rFonts w:ascii="Arial" w:cs="Arial" w:eastAsia="Arial" w:hAnsi="Arial"/>
          <w:b/>
          <w:bCs/>
          <w:sz w:val="22"/>
          <w:szCs w:val="22"/>
        </w:rPr>
        <w:t xml:space="preserve">veredictos idénticos, uno por uno, a los de la corrección en el enunciado</w:t>
      </w:r>
      <w:r>
        <w:rPr>
          <w:rFonts w:ascii="Arial" w:cs="Arial" w:eastAsia="Arial" w:hAnsi="Arial"/>
          <w:sz w:val="22"/>
          <w:szCs w:val="22"/>
        </w:rPr>
        <w:t xml:space="preserve">. Cambia la forma —una prosa telegráfica que cita las contribuciones con sus valores exactos— y no cambia la decisión. La causa más probable, discutida en 5.14, es que el modelo aprendió a resumir fielmente el expediente y a decidir según la puntuación que este ya traía, no a ponderar el importe de otra manera: el mismo mecanismo que describe 6.2.3, ahora instalado en los pesos en vez de sugerido en el prompt.</w:t>
      </w:r>
    </w:p>
    <w:p>
      <w:pPr>
        <w:pStyle w:val="Heading3"/>
        <w:spacing w:after="200" w:before="360"/>
      </w:pPr>
      <w:r>
        <w:rPr>
          <w:rFonts w:ascii="Arial" w:cs="Arial" w:eastAsia="Arial" w:hAnsi="Arial"/>
          <w:b/>
          <w:bCs/>
          <w:color w:val="000000"/>
          <w:sz w:val="24"/>
          <w:szCs w:val="24"/>
        </w:rPr>
        <w:t xml:space="preserve">6.2.3 La puntuación del detector aporta confianza, no criterio</w:t>
      </w:r>
    </w:p>
    <w:p>
      <w:pPr>
        <w:spacing w:after="160" w:line="360" w:lineRule="auto"/>
        <w:ind w:firstLine="425"/>
        <w:jc w:val="both"/>
      </w:pPr>
      <w:r>
        <w:rPr>
          <w:rFonts w:ascii="Arial" w:cs="Arial" w:eastAsia="Arial" w:hAnsi="Arial"/>
          <w:sz w:val="22"/>
          <w:szCs w:val="22"/>
        </w:rPr>
        <w:t xml:space="preserve">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pPr>
        <w:spacing w:after="160" w:line="360" w:lineRule="auto"/>
        <w:ind w:firstLine="425"/>
        <w:jc w:val="both"/>
      </w:pPr>
      <w:r>
        <w:rPr>
          <w:rFonts w:ascii="Arial" w:cs="Arial" w:eastAsia="Arial" w:hAnsi="Arial"/>
          <w:sz w:val="22"/>
          <w:szCs w:val="22"/>
        </w:rPr>
        <w:t xml:space="preserve">Es decir: la puntuación no le da al agente capacidad de distinguir un fraude de un falso positivo, le da seguridad para pronunciarse y estabilidad para repetirse. Es el mismo fenómeno que 6.2.2 describe desde el otro lado.</w:t>
      </w:r>
    </w:p>
    <w:p>
      <w:pPr>
        <w:spacing w:after="160" w:line="360" w:lineRule="auto"/>
        <w:ind w:firstLine="425"/>
        <w:jc w:val="both"/>
      </w:pPr>
      <w:r>
        <w:rPr>
          <w:rFonts w:ascii="Arial" w:cs="Arial" w:eastAsia="Arial" w:hAnsi="Arial"/>
          <w:sz w:val="22"/>
          <w:szCs w:val="22"/>
        </w:rPr>
        <w:t xml:space="preserve">La ablación de 5.13 sobre el dataset Sparkov lo confirma desde un ángulo que ULB no permitía probar. Sobre los mismos nueve casos —seis fraudes que el detector apenas nota y tres falsos positivos que señala con máxima confianza—, dar nombre real a comercio, categoría, edad y distancia frente a anonimizarlos como var_1 a var_5 no cambió un solo veredicto: el modelo reproduce el error del detector en los nueve casos, tenga o no delante el significado de las variables. Que el modelo entienda o no la variable es irrelevante para su decisión; lo relevante es su magnitud. La legibilidad de negocio mejora lo que el texto puede argumentar y no toca, en esta comprobación, lo que el sistema decide.</w:t>
      </w:r>
    </w:p>
    <w:p>
      <w:pPr>
        <w:pStyle w:val="Heading3"/>
        <w:spacing w:after="200" w:before="360"/>
      </w:pPr>
      <w:r>
        <w:rPr>
          <w:rFonts w:ascii="Arial" w:cs="Arial" w:eastAsia="Arial" w:hAnsi="Arial"/>
          <w:b/>
          <w:bCs/>
          <w:color w:val="000000"/>
          <w:sz w:val="24"/>
          <w:szCs w:val="24"/>
        </w:rPr>
        <w:t xml:space="preserve">6.2.4 El cuello de botella operativo es la capacidad de revisión</w:t>
      </w:r>
    </w:p>
    <w:p>
      <w:pPr>
        <w:spacing w:after="160" w:line="360" w:lineRule="auto"/>
        <w:ind w:firstLine="425"/>
        <w:jc w:val="both"/>
      </w:pPr>
      <w:r>
        <w:rPr>
          <w:rFonts w:ascii="Arial" w:cs="Arial" w:eastAsia="Arial" w:hAnsi="Arial"/>
          <w:sz w:val="22"/>
          <w:szCs w:val="22"/>
        </w:rPr>
        <w:t xml:space="preserve">El detector eleva más casos de los que un equipo puede revisar, y esa restricción, no la calidad del modelo de lenguaje,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pPr>
        <w:pStyle w:val="Heading3"/>
        <w:spacing w:after="200" w:before="360"/>
      </w:pPr>
      <w:r>
        <w:rPr>
          <w:rFonts w:ascii="Arial" w:cs="Arial" w:eastAsia="Arial" w:hAnsi="Arial"/>
          <w:b/>
          <w:bCs/>
          <w:color w:val="000000"/>
          <w:sz w:val="24"/>
          <w:szCs w:val="24"/>
        </w:rPr>
        <w:t xml:space="preserve">6.2.5 Los modos de fallo son silenciosos</w:t>
      </w:r>
    </w:p>
    <w:p>
      <w:pPr>
        <w:spacing w:after="160" w:line="360" w:lineRule="auto"/>
        <w:ind w:firstLine="425"/>
        <w:jc w:val="both"/>
      </w:pPr>
      <w:r>
        <w:rPr>
          <w:rFonts w:ascii="Arial" w:cs="Arial" w:eastAsia="Arial" w:hAnsi="Arial"/>
          <w:sz w:val="22"/>
          <w:szCs w:val="22"/>
        </w:rPr>
        <w:t xml:space="preserve">Ninguno de los fallos encontrados durante el desarrollo lanzó una excepción. Todos produjeron resultados que parecían correctos: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Aplicar SMOTE antes de dividir el conjunto produce un AUC-PR de 1,0000, cifra que sólo una revisión metodológica delata como imposible.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parámetro que no se propagaba al contexto hizo que el sistema elevara sesenta casos donde debía elevar uno, con un coste doce veces mayor y sin ningún aviso.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Omitir en el enunciado la descripción de la salida esperada hizo que el modelo escribiera el veredicto en un formato ligeramente distinto, y la extracción devolviera cero veredictos de diez con todas las métricas a cero.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agotan su presupuesto de generación pensando antes de responder, de modo que la respuesta llega vacía o cortada a mitad de frase, sin el veredicto final. Se observó primero en un modelo y las pruebas del demostrador lo reprodujeron en un segundo de otra familia: es una propiedad de la clase, no una rareza.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Apilar ficheros de experimento con combinaciones de turno y repetición duplicadas elevó el tamaño muestral de dieciséis a treinta y dos ejecuciones por modelo y convirtió en significativos dos contrastes que no lo son.</w:t>
      </w:r>
    </w:p>
    <w:p>
      <w:pPr>
        <w:spacing w:after="160" w:line="360" w:lineRule="auto"/>
        <w:ind w:firstLine="425"/>
        <w:jc w:val="both"/>
      </w:pPr>
      <w:r>
        <w:rPr>
          <w:rFonts w:ascii="Arial" w:cs="Arial" w:eastAsia="Arial" w:hAnsi="Arial"/>
          <w:sz w:val="22"/>
          <w:szCs w:val="22"/>
        </w:rPr>
        <w:t xml:space="preserve">Un sistema de este tipo exige, por tanto, validación programática de las salidas y desconfianza sistemática ante los resultados que confirman lo que se esperaba.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de 0,837 en partición aleatoria y 0,760 en temporal.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entre modelos que caben en memoria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repeticiones dentro de un mismo turno, con temperatura 0,1, son casi idénticas entre sí. El número de observaciones verdaderamente independientes es el de turnos, cuatro, y no el de ejecuciones.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se solapan parcialmente y no constituyen muestras independientes entre sí.</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con el modelo de mayor capacidad se realizó sobre cuatro casos elegidos de forma deliberada. Es una demostración, no una serie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realizó con un solo modelo, de modo que no puede afirmarse que la dependencia de la puntuación sea general.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dos únicas variables interpretables del conjunto apenas contribuyen: retirar la hora mejora el AUC-PR en 0,004 y emplear sólo las componentes principales lo empeora en 0,006. Las explicaciones de la capa de agentes se apoyan precisamente en esas dos variables.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conjunto principal está anonimizado, cubre un solo periodo de 48 horas y una sola región geográfica.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extensión de 5.13 sobre variables de negocio usa un dataset simulado, no transacciones reales, con un único modelo sin ajuste de hiperparámetros. Ni la prueba de los cinco casos de mayor probabilidad ni la ablación completo/reducido sobre los nueve de mayor desacuerdo permiten ningún contraste estadístico: son catorce casos en total y así deben leerse, como demostraciones y no como series.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ajuste QLoRA de 5.14 se evaluó sobre los mismos doce casos de cola que 5.11 y 5.12, con un solo adaptador entrenado una vez. Las respuestas objetivo del entrenamiento se generaron por plantilla, lo que probablemente influye en la uniformidad de la prosa resultante; no se ha probado un conjunto de entrenamiento con respuestas más variadas.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para un analista humano no se ha medido: haría falta un estudio con usuarios.</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ind w:firstLine="425"/>
        <w:jc w:val="both"/>
      </w:pPr>
      <w:r>
        <w:rPr>
          <w:rFonts w:ascii="Arial" w:cs="Arial" w:eastAsia="Arial" w:hAnsi="Arial"/>
          <w:b/>
          <w:bCs/>
          <w:sz w:val="22"/>
          <w:szCs w:val="22"/>
        </w:rPr>
        <w:t xml:space="preserve">Extensión a un dominio con contenido semántico.</w:t>
      </w:r>
      <w:r>
        <w:rPr>
          <w:rFonts w:ascii="Arial" w:cs="Arial" w:eastAsia="Arial" w:hAnsi="Arial"/>
          <w:sz w:val="22"/>
          <w:szCs w:val="22"/>
        </w:rP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pPr>
        <w:spacing w:after="160" w:line="360" w:lineRule="auto"/>
        <w:ind w:firstLine="425"/>
        <w:jc w:val="both"/>
      </w:pPr>
      <w:r>
        <w:rPr>
          <w:rFonts w:ascii="Arial" w:cs="Arial" w:eastAsia="Arial" w:hAnsi="Arial"/>
          <w:b/>
          <w:bCs/>
          <w:sz w:val="22"/>
          <w:szCs w:val="22"/>
        </w:rPr>
        <w:t xml:space="preserve">Repetir la extensión de negocio con transacciones reales y con un detector ajustado.</w:t>
      </w:r>
      <w:r>
        <w:rPr>
          <w:rFonts w:ascii="Arial" w:cs="Arial" w:eastAsia="Arial" w:hAnsi="Arial"/>
          <w:sz w:val="22"/>
          <w:szCs w:val="22"/>
        </w:rPr>
        <w:t xml:space="preserve"> La sección 5.13 agotó, dentro de lo razonable para una extensión exploratoria, la pregunta que la motivaba: sobre un dataset simulado (Sparkov) con variables de negocio, las contribuciones del detector y la prosa del Investigador dejan de citar componentes anónimas y pasan a citar comercio, categoría, distancia y edad; y una ablación que compara el mismo caso con esas variables legibles o anonimizadas muestra que esa legibilidad, por sí sola, no cambia ni un veredicto sobre los nueve casos de mayor desacuerdo entre el detector y la realidad. Queda pendiente repetir el ejercicio con transacciones reales y no simuladas, y con un detector que haya pasado por la misma búsqueda de hiperparámetros que el de ULB: la mediana de probabilidad de 0,95 sobre el conjunto de prueba de Sparkov sugiere que una parte del problema es de calibración, no solo de dominio, y separarlas requeriría ese ajuste.</w:t>
      </w:r>
    </w:p>
    <w:p>
      <w:pPr>
        <w:spacing w:after="160" w:line="360" w:lineRule="auto"/>
        <w:ind w:firstLine="425"/>
        <w:jc w:val="both"/>
      </w:pPr>
      <w:r>
        <w:rPr>
          <w:rFonts w:ascii="Arial" w:cs="Arial" w:eastAsia="Arial" w:hAnsi="Arial"/>
          <w:b/>
          <w:bCs/>
          <w:sz w:val="22"/>
          <w:szCs w:val="22"/>
        </w:rPr>
        <w:t xml:space="preserve">Ajuste fino sobre casos etiquetados, con un conjunto de entrenamiento más variado.</w:t>
      </w:r>
      <w:r>
        <w:rPr>
          <w:rFonts w:ascii="Arial" w:cs="Arial" w:eastAsia="Arial" w:hAnsi="Arial"/>
          <w:sz w:val="22"/>
          <w:szCs w:val="22"/>
        </w:rPr>
        <w:t xml:space="preserve"> Se realizó (5.14): un adaptador LoRA sobre el propio dominio, entrenado solo con casos anteriores al corte de prueba. El resultado fue negativo en el sentido relevante y positivo en el metodológico. Los veredictos sobre los doce casos de cola son idénticos a los de corregir la premisa en el enunciado, caso por caso: la disociación entre explicación y decisión persiste cuando la información llega por los pesos, no solo por el enunciado. Lo que queda abierto es si ese resultado depende de que las respuestas objetivo del entrenamiento se generaran por plantilla, lo que pudo enseñar al modelo a resumir el expediente en vez de a decidir distinto sobre él. Repetirlo con un conjunto de respuestas más variadas, redactadas o revisadas por un humano, separaría esas dos explicaciones.</w:t>
      </w:r>
    </w:p>
    <w:p>
      <w:pPr>
        <w:spacing w:after="160" w:line="360" w:lineRule="auto"/>
        <w:ind w:firstLine="425"/>
        <w:jc w:val="both"/>
      </w:pPr>
      <w:r>
        <w:rPr>
          <w:rFonts w:ascii="Arial" w:cs="Arial" w:eastAsia="Arial" w:hAnsi="Arial"/>
          <w:b/>
          <w:bCs/>
          <w:sz w:val="22"/>
          <w:szCs w:val="22"/>
        </w:rPr>
        <w:t xml:space="preserve">Suprimir el veredicto de la capa de agentes en la cola del expediente.</w:t>
      </w:r>
      <w:r>
        <w:rPr>
          <w:rFonts w:ascii="Arial" w:cs="Arial" w:eastAsia="Arial" w:hAnsi="Arial"/>
          <w:sz w:val="22"/>
          <w:szCs w:val="22"/>
        </w:rPr>
        <w:t xml:space="preserve"> Se ha comprobado que en la zona de menor probabilidad ningún modelo discrimina. Reservar la intervención del modelo a la explicación de los casos de cabeza, y no al filtrado, conservaría el beneficio sin el coste en recall.</w:t>
      </w:r>
    </w:p>
    <w:p>
      <w:pPr>
        <w:spacing w:after="160" w:line="360" w:lineRule="auto"/>
        <w:ind w:firstLine="425"/>
        <w:jc w:val="both"/>
      </w:pPr>
      <w:r>
        <w:rPr>
          <w:rFonts w:ascii="Arial" w:cs="Arial" w:eastAsia="Arial" w:hAnsi="Arial"/>
          <w:b/>
          <w:bCs/>
          <w:sz w:val="22"/>
          <w:szCs w:val="22"/>
        </w:rPr>
        <w:t xml:space="preserve">Medir el valor explicativo con analistas reales.</w:t>
      </w:r>
      <w:r>
        <w:rPr>
          <w:rFonts w:ascii="Arial" w:cs="Arial" w:eastAsia="Arial" w:hAnsi="Arial"/>
          <w:sz w:val="22"/>
          <w:szCs w:val="22"/>
        </w:rP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Baisholanova, K., et al. (2025). FraudX AI: An Interpretable Machine Learning Framework for Credit Card Fraud Detection on Imbalanced Datasets. Computers, 14(4), 120. https://doi.org/10.3390/computers14040120</w:t>
      </w:r>
    </w:p>
    <w:p>
      <w:pPr>
        <w:spacing w:after="160" w:line="360" w:lineRule="auto"/>
        <w:ind w:left="425" w:hanging="425"/>
      </w:pPr>
      <w:r>
        <w:rPr>
          <w:rFonts w:ascii="Arial" w:cs="Arial" w:eastAsia="Arial" w:hAnsi="Arial"/>
          <w:sz w:val="22"/>
          <w:szCs w:val="22"/>
        </w:rPr>
        <w:t xml:space="preserve">Bhattacharya, G., et al. (2025). MASCA: LLM based-Multi Agents System for Credit Assessment. arXiv:2507.22758.</w:t>
      </w:r>
    </w:p>
    <w:p>
      <w:pPr>
        <w:spacing w:after="160" w:line="360" w:lineRule="auto"/>
        <w:ind w:left="425" w:hanging="425"/>
      </w:pPr>
      <w:r>
        <w:rPr>
          <w:rFonts w:ascii="Arial" w:cs="Arial" w:eastAsia="Arial" w:hAnsi="Arial"/>
          <w:sz w:val="22"/>
          <w:szCs w:val="22"/>
        </w:rPr>
        <w:t xml:space="preserve">Bilal, A., Ebert, D., &amp; Lin, B. (2025). LLMs for Explainable AI: A Comprehensive Survey. arXiv:2504.00125.</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Kabane, S. (2024). Impact of Sampling Techniques and Data Leakage on XGBoost Performance in Credit Card Fraud Detection. arXiv:2412.07437.</w:t>
      </w:r>
    </w:p>
    <w:p>
      <w:pPr>
        <w:spacing w:after="160" w:line="360" w:lineRule="auto"/>
        <w:ind w:left="425" w:hanging="425"/>
      </w:pPr>
      <w:r>
        <w:rPr>
          <w:rFonts w:ascii="Arial" w:cs="Arial" w:eastAsia="Arial" w:hAnsi="Arial"/>
          <w:sz w:val="22"/>
          <w:szCs w:val="22"/>
        </w:rPr>
        <w:t xml:space="preserve">Li, A., Zhao, Y., Qiu, C., Kloft, M., Smyth, P., Rudolph, M., &amp; Mandt, S. (2024). Anomaly Detection of Tabular Data Using LLMs. arXiv:2406.16308.</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Magnier, B. (2025). Data Leakage and Deceptive Performance: A Critical Examination of Credit Card Fraud Detection Methodologies. Mathematics, 13(16), 2563. https://doi.org/10.3390/math13162563</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Qin, J., Xi, Y., Huang, J., Rui, R., Yin, D., Liu, W., Yu, Y., Zhang, W., &amp; Sun, X. (2025). APTBench: Benchmarking Agentic Potential of Base LLMs During Pre-Training. arXiv:2510.24397.</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Sun, H., Zhang, S., Niu, L., Ren, L., Xu, H., Fu, H., Zhao, F., Yuan, C., &amp; Wang, X. (2025). Collab-Overcooked: Benchmarking and Evaluating Large Language Models as Collaborative Agents. En Proceedings of EMNLP 2025 (pp. 4890-4919). https://doi.org/10.18653/v1/2025.emnlp-main.249</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spacing w:after="80" w:before="240"/>
        <w:jc w:val="center"/>
      </w:pPr>
      <w:r>
        <w:drawing>
          <wp:inline distT="0" distB="0" distL="0" distR="0">
            <wp:extent cx="540067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00675" cy="4324350"/>
                    </a:xfrm>
                    <a:prstGeom prst="rect">
                      <a:avLst/>
                    </a:prstGeom>
                  </pic:spPr>
                </pic:pic>
              </a:graphicData>
            </a:graphic>
          </wp:inline>
        </w:drawing>
      </w:r>
    </w:p>
    <w:p>
      <w:pPr>
        <w:spacing w:after="240"/>
        <w:jc w:val="center"/>
      </w:pPr>
      <w:r>
        <w:rPr>
          <w:i/>
          <w:iCs/>
          <w:sz w:val="20"/>
          <w:szCs w:val="20"/>
        </w:rPr>
        <w:t xml:space="preserve">Figura 24. Estructura del repositorio. En azul el código determinista de la capa 1, en rojo el estocástico de la capa 2, en verde los guiones de experimentación, en gris los datos y la documentación.</w:t>
      </w:r>
    </w:p>
    <w:p>
      <w:pPr>
        <w:spacing w:after="160" w:line="360" w:lineRule="auto"/>
        <w:ind w:firstLine="425"/>
        <w:jc w:val="both"/>
      </w:pPr>
      <w:r>
        <w:rPr>
          <w:rFonts w:ascii="Arial" w:cs="Arial" w:eastAsia="Arial" w:hAnsi="Arial"/>
          <w:sz w:val="22"/>
          <w:szCs w:val="22"/>
        </w:rPr>
        <w:t xml:space="preserve">El repositorio se organiza en cuatro directorios con responsabilidades separadas.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Directorio</w:t>
            </w:r>
          </w:p>
        </w:tc>
        <w:tc>
          <w:tcPr>
            <w:tcW w:type="dxa" w:w="4500"/>
            <w:shd w:fill="D9D9D9" w:val="clear"/>
          </w:tcPr>
          <w:p>
            <w:pPr>
              <w:spacing w:after="0"/>
            </w:pPr>
            <w:r>
              <w:rPr>
                <w:rFonts w:ascii="Arial" w:cs="Arial" w:eastAsia="Arial" w:hAnsi="Arial"/>
                <w:b/>
                <w:bCs/>
                <w:sz w:val="20"/>
                <w:szCs w:val="20"/>
              </w:rPr>
              <w:t xml:space="preserve">Contenido</w:t>
            </w:r>
          </w:p>
        </w:tc>
      </w:tr>
      <w:tr>
        <w:tc>
          <w:tcPr>
            <w:tcW w:type="dxa" w:w="4500"/>
          </w:tcPr>
          <w:p>
            <w:pPr>
              <w:spacing w:after="0"/>
            </w:pPr>
            <w:r>
              <w:rPr>
                <w:rFonts w:ascii="Arial" w:cs="Arial" w:eastAsia="Arial" w:hAnsi="Arial"/>
                <w:b w:val="false"/>
                <w:bCs w:val="false"/>
                <w:sz w:val="20"/>
                <w:szCs w:val="20"/>
              </w:rPr>
              <w:t xml:space="preserve">src/detector</w:t>
            </w:r>
          </w:p>
        </w:tc>
        <w:tc>
          <w:tcPr>
            <w:tcW w:type="dxa" w:w="4500"/>
          </w:tcPr>
          <w:p>
            <w:pPr>
              <w:spacing w:after="0"/>
            </w:pPr>
            <w:r>
              <w:rPr>
                <w:rFonts w:ascii="Arial" w:cs="Arial" w:eastAsia="Arial" w:hAnsi="Arial"/>
                <w:b w:val="false"/>
                <w:bCs w:val="false"/>
                <w:sz w:val="20"/>
                <w:szCs w:val="20"/>
              </w:rPr>
              <w:t xml:space="preserve">Carga de datos, entrenamiento y puntuación. Sin dependencias de la capa 2</w:t>
            </w:r>
          </w:p>
        </w:tc>
      </w:tr>
      <w:tr>
        <w:tc>
          <w:tcPr>
            <w:tcW w:type="dxa" w:w="4500"/>
          </w:tcPr>
          <w:p>
            <w:pPr>
              <w:spacing w:after="0"/>
            </w:pPr>
            <w:r>
              <w:rPr>
                <w:rFonts w:ascii="Arial" w:cs="Arial" w:eastAsia="Arial" w:hAnsi="Arial"/>
                <w:b w:val="false"/>
                <w:bCs w:val="false"/>
                <w:sz w:val="20"/>
                <w:szCs w:val="20"/>
              </w:rPr>
              <w:t xml:space="preserve">src/agents</w:t>
            </w:r>
          </w:p>
        </w:tc>
        <w:tc>
          <w:tcPr>
            <w:tcW w:type="dxa" w:w="4500"/>
          </w:tcPr>
          <w:p>
            <w:pPr>
              <w:spacing w:after="0"/>
            </w:pPr>
            <w:r>
              <w:rPr>
                <w:rFonts w:ascii="Arial" w:cs="Arial" w:eastAsia="Arial" w:hAnsi="Arial"/>
                <w:b w:val="false"/>
                <w:bCs w:val="false"/>
                <w:sz w:val="20"/>
                <w:szCs w:val="20"/>
              </w:rPr>
              <w:t xml:space="preserve">Definición de los agentes, herramientas y fragmentos de enunciado compartidos</w:t>
            </w:r>
          </w:p>
        </w:tc>
      </w:tr>
      <w:tr>
        <w:tc>
          <w:tcPr>
            <w:tcW w:type="dxa" w:w="4500"/>
          </w:tcPr>
          <w:p>
            <w:pPr>
              <w:spacing w:after="0"/>
            </w:pPr>
            <w:r>
              <w:rPr>
                <w:rFonts w:ascii="Arial" w:cs="Arial" w:eastAsia="Arial" w:hAnsi="Arial"/>
                <w:b w:val="false"/>
                <w:bCs w:val="false"/>
                <w:sz w:val="20"/>
                <w:szCs w:val="20"/>
              </w:rPr>
              <w:t xml:space="preserve">scripts</w:t>
            </w:r>
          </w:p>
        </w:tc>
        <w:tc>
          <w:tcPr>
            <w:tcW w:type="dxa" w:w="4500"/>
          </w:tcPr>
          <w:p>
            <w:pPr>
              <w:spacing w:after="0"/>
            </w:pPr>
            <w:r>
              <w:rPr>
                <w:rFonts w:ascii="Arial" w:cs="Arial" w:eastAsia="Arial" w:hAnsi="Arial"/>
                <w:b w:val="false"/>
                <w:bCs w:val="false"/>
                <w:sz w:val="20"/>
                <w:szCs w:val="20"/>
              </w:rPr>
              <w:t xml:space="preserve">Un guion por experimento, cada uno con su justificación en la cabecera</w:t>
            </w:r>
          </w:p>
        </w:tc>
      </w:tr>
      <w:tr>
        <w:tc>
          <w:tcPr>
            <w:tcW w:type="dxa" w:w="4500"/>
          </w:tcPr>
          <w:p>
            <w:pPr>
              <w:spacing w:after="0"/>
            </w:pPr>
            <w:r>
              <w:rPr>
                <w:rFonts w:ascii="Arial" w:cs="Arial" w:eastAsia="Arial" w:hAnsi="Arial"/>
                <w:b w:val="false"/>
                <w:bCs w:val="false"/>
                <w:sz w:val="20"/>
                <w:szCs w:val="20"/>
              </w:rPr>
              <w:t xml:space="preserve">reports</w:t>
            </w:r>
          </w:p>
        </w:tc>
        <w:tc>
          <w:tcPr>
            <w:tcW w:type="dxa" w:w="4500"/>
          </w:tcPr>
          <w:p>
            <w:pPr>
              <w:spacing w:after="0"/>
            </w:pPr>
            <w:r>
              <w:rPr>
                <w:rFonts w:ascii="Arial" w:cs="Arial" w:eastAsia="Arial" w:hAnsi="Arial"/>
                <w:b w:val="false"/>
                <w:bCs w:val="false"/>
                <w:sz w:val="20"/>
                <w:szCs w:val="20"/>
              </w:rPr>
              <w:t xml:space="preserve">Resultados de todas las ejecuciones, versionados</w:t>
            </w:r>
          </w:p>
        </w:tc>
      </w:tr>
    </w:tbl>
    <w:p>
      <w:pPr>
        <w:spacing w:after="160"/>
      </w:pPr>
    </w:p>
    <w:p>
      <w:pPr>
        <w:spacing w:after="160" w:line="360" w:lineRule="auto"/>
        <w:ind w:firstLine="425"/>
        <w:jc w:val="both"/>
      </w:pPr>
      <w:r>
        <w:rPr>
          <w:rFonts w:ascii="Arial" w:cs="Arial" w:eastAsia="Arial" w:hAnsi="Arial"/>
          <w:sz w:val="22"/>
          <w:szCs w:val="22"/>
        </w:rPr>
        <w:t xml:space="preserve">La reproducción completa requiere Python 3.12, un servidor de modelos local y el conjunto de datos, que no se distribuye con el repositorio por su tamaño.</w:t>
      </w:r>
    </w:p>
    <w:p>
      <w:pPr>
        <w:spacing w:after="160" w:line="360" w:lineRule="auto"/>
        <w:ind w:firstLine="425"/>
        <w:jc w:val="both"/>
      </w:pPr>
      <w:r>
        <w:rPr>
          <w:rFonts w:ascii="Arial" w:cs="Arial" w:eastAsia="Arial" w:hAnsi="Arial"/>
          <w:sz w:val="22"/>
          <w:szCs w:val="22"/>
        </w:rPr>
        <w:t xml:space="preserve">Todos los resultados experimentales están bajo control de versiones junto al código que los generó, de modo que cualquier cifra de esta memoria puede rastrearse hasta la ejecución concreta que la produjo y hasta la versión del código vigente en ese momento. Los guiones registran en cada fichero de salida los parámetros con que fueron invocados, incluidos los que afectan a la comparabilidad entre tandas, como el presupuesto de tokens por caso.</w:t>
      </w:r>
    </w:p>
    <w:p>
      <w:pPr>
        <w:pStyle w:val="Heading2"/>
        <w:spacing w:after="200" w:before="360"/>
      </w:pPr>
      <w:r>
        <w:rPr>
          <w:rFonts w:ascii="Arial" w:cs="Arial" w:eastAsia="Arial" w:hAnsi="Arial"/>
          <w:b/>
          <w:bCs/>
          <w:color w:val="000000"/>
          <w:sz w:val="26"/>
          <w:szCs w:val="26"/>
        </w:rPr>
        <w:t xml:space="preserve">B. Código fuente</w:t>
      </w:r>
    </w:p>
    <w:p>
      <w:pPr>
        <w:spacing w:after="80" w:before="240"/>
        <w:jc w:val="center"/>
      </w:pPr>
      <w:r>
        <w:drawing>
          <wp:inline distT="0" distB="0" distL="0" distR="0">
            <wp:extent cx="5400675"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00675" cy="3914775"/>
                    </a:xfrm>
                    <a:prstGeom prst="rect">
                      <a:avLst/>
                    </a:prstGeom>
                  </pic:spPr>
                </pic:pic>
              </a:graphicData>
            </a:graphic>
          </wp:inline>
        </w:drawing>
      </w:r>
    </w:p>
    <w:p>
      <w:pPr>
        <w:spacing w:after="240"/>
        <w:jc w:val="center"/>
      </w:pPr>
      <w:r>
        <w:rPr>
          <w:i/>
          <w:iCs/>
          <w:sz w:val="20"/>
          <w:szCs w:val="20"/>
        </w:rPr>
        <w:t xml:space="preserve">Figura 25. La función de selección de casos del detector, con la documentación de sus decisiones de diseño.</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 veintidós entregas, 2.173 líneas de código en los módulos del sistema y 3.637 en los guiones de experimentación, además de 131 ficheros de resultados.</w:t>
      </w:r>
    </w:p>
    <w:p>
      <w:pPr>
        <w:spacing w:after="160" w:line="360" w:lineRule="auto"/>
        <w:ind w:firstLine="425"/>
        <w:jc w:val="both"/>
      </w:pPr>
      <w:r>
        <w:rPr>
          <w:rFonts w:ascii="Arial" w:cs="Arial" w:eastAsia="Arial" w:hAnsi="Arial"/>
          <w:sz w:val="22"/>
          <w:szCs w:val="22"/>
        </w:rPr>
        <w:t xml:space="preserve">Los guiones se agrupan en tres familias, y cada uno declara en su cabecera la pregunta a la que responde y las decisiones de diseño que la afectan.</w:t>
      </w:r>
    </w:p>
    <w:p>
      <w:pPr>
        <w:spacing w:after="160" w:line="360" w:lineRule="auto"/>
        <w:ind w:firstLine="425"/>
        <w:jc w:val="both"/>
      </w:pPr>
      <w:r>
        <w:rPr>
          <w:rFonts w:ascii="Arial" w:cs="Arial" w:eastAsia="Arial" w:hAnsi="Arial"/>
          <w:b/>
          <w:bCs/>
          <w:sz w:val="22"/>
          <w:szCs w:val="22"/>
        </w:rPr>
        <w:t xml:space="preserve">Sistema en funcionamiento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Función</w:t>
            </w:r>
          </w:p>
        </w:tc>
      </w:tr>
      <w:tr>
        <w:tc>
          <w:tcPr>
            <w:tcW w:type="dxa" w:w="4500"/>
          </w:tcPr>
          <w:p>
            <w:pPr>
              <w:spacing w:after="0"/>
            </w:pPr>
            <w:r>
              <w:rPr>
                <w:rFonts w:ascii="Arial" w:cs="Arial" w:eastAsia="Arial" w:hAnsi="Arial"/>
                <w:b w:val="false"/>
                <w:bCs w:val="false"/>
                <w:sz w:val="20"/>
                <w:szCs w:val="20"/>
              </w:rPr>
              <w:t xml:space="preserve">check_entorno.py</w:t>
            </w:r>
          </w:p>
        </w:tc>
        <w:tc>
          <w:tcPr>
            <w:tcW w:type="dxa" w:w="4500"/>
          </w:tcPr>
          <w:p>
            <w:pPr>
              <w:spacing w:after="0"/>
            </w:pPr>
            <w:r>
              <w:rPr>
                <w:rFonts w:ascii="Arial" w:cs="Arial" w:eastAsia="Arial" w:hAnsi="Arial"/>
                <w:b w:val="false"/>
                <w:bCs w:val="false"/>
                <w:sz w:val="20"/>
                <w:szCs w:val="20"/>
              </w:rPr>
              <w:t xml:space="preserve">Verificación del entorno antes de nada</w:t>
            </w:r>
          </w:p>
        </w:tc>
      </w:tr>
      <w:tr>
        <w:tc>
          <w:tcPr>
            <w:tcW w:type="dxa" w:w="4500"/>
          </w:tcPr>
          <w:p>
            <w:pPr>
              <w:spacing w:after="0"/>
            </w:pPr>
            <w:r>
              <w:rPr>
                <w:rFonts w:ascii="Arial" w:cs="Arial" w:eastAsia="Arial" w:hAnsi="Arial"/>
                <w:b w:val="false"/>
                <w:bCs w:val="false"/>
                <w:sz w:val="20"/>
                <w:szCs w:val="20"/>
              </w:rPr>
              <w:t xml:space="preserve">run_departamento.py</w:t>
            </w:r>
          </w:p>
        </w:tc>
        <w:tc>
          <w:tcPr>
            <w:tcW w:type="dxa" w:w="4500"/>
          </w:tcPr>
          <w:p>
            <w:pPr>
              <w:spacing w:after="0"/>
            </w:pPr>
            <w:r>
              <w:rPr>
                <w:rFonts w:ascii="Arial" w:cs="Arial" w:eastAsia="Arial" w:hAnsi="Arial"/>
                <w:b w:val="false"/>
                <w:bCs w:val="false"/>
                <w:sz w:val="20"/>
                <w:szCs w:val="20"/>
              </w:rPr>
              <w:t xml:space="preserve">Ejecución completa del sistema sobre un turno</w:t>
            </w:r>
          </w:p>
        </w:tc>
      </w:tr>
      <w:tr>
        <w:tc>
          <w:tcPr>
            <w:tcW w:type="dxa" w:w="4500"/>
          </w:tcPr>
          <w:p>
            <w:pPr>
              <w:spacing w:after="0"/>
            </w:pPr>
            <w:r>
              <w:rPr>
                <w:rFonts w:ascii="Arial" w:cs="Arial" w:eastAsia="Arial" w:hAnsi="Arial"/>
                <w:b w:val="false"/>
                <w:bCs w:val="false"/>
                <w:sz w:val="20"/>
                <w:szCs w:val="20"/>
              </w:rPr>
              <w:t xml:space="preserve">run_streaming.py</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tune_detector.py</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bl>
    <w:p>
      <w:pPr>
        <w:spacing w:after="160"/>
      </w:pPr>
    </w:p>
    <w:p>
      <w:pPr>
        <w:spacing w:after="160" w:line="360" w:lineRule="auto"/>
        <w:ind w:firstLine="425"/>
        <w:jc w:val="both"/>
      </w:pPr>
      <w:r>
        <w:rPr>
          <w:rFonts w:ascii="Arial" w:cs="Arial" w:eastAsia="Arial" w:hAnsi="Arial"/>
          <w:b/>
          <w:bCs/>
          <w:sz w:val="22"/>
          <w:szCs w:val="22"/>
        </w:rPr>
        <w:t xml:space="preserve">Experimentos y ablaciones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Pregunta que responde</w:t>
            </w:r>
          </w:p>
        </w:tc>
      </w:tr>
      <w:tr>
        <w:tc>
          <w:tcPr>
            <w:tcW w:type="dxa" w:w="4500"/>
          </w:tcPr>
          <w:p>
            <w:pPr>
              <w:spacing w:after="0"/>
            </w:pPr>
            <w:r>
              <w:rPr>
                <w:rFonts w:ascii="Arial" w:cs="Arial" w:eastAsia="Arial" w:hAnsi="Arial"/>
                <w:b w:val="false"/>
                <w:bCs w:val="false"/>
                <w:sz w:val="20"/>
                <w:szCs w:val="20"/>
              </w:rPr>
              <w:t xml:space="preserve">experimento.py</w:t>
            </w:r>
          </w:p>
        </w:tc>
        <w:tc>
          <w:tcPr>
            <w:tcW w:type="dxa" w:w="4500"/>
          </w:tcPr>
          <w:p>
            <w:pPr>
              <w:spacing w:after="0"/>
            </w:pPr>
            <w:r>
              <w:rPr>
                <w:rFonts w:ascii="Arial" w:cs="Arial" w:eastAsia="Arial" w:hAnsi="Arial"/>
                <w:b w:val="false"/>
                <w:bCs w:val="false"/>
                <w:sz w:val="20"/>
                <w:szCs w:val="20"/>
              </w:rPr>
              <w:t xml:space="preserve">Comparativa entre modelos y modos</w:t>
            </w:r>
          </w:p>
        </w:tc>
      </w:tr>
      <w:tr>
        <w:tc>
          <w:tcPr>
            <w:tcW w:type="dxa" w:w="4500"/>
          </w:tcPr>
          <w:p>
            <w:pPr>
              <w:spacing w:after="0"/>
            </w:pPr>
            <w:r>
              <w:rPr>
                <w:rFonts w:ascii="Arial" w:cs="Arial" w:eastAsia="Arial" w:hAnsi="Arial"/>
                <w:b w:val="false"/>
                <w:bCs w:val="false"/>
                <w:sz w:val="20"/>
                <w:szCs w:val="20"/>
              </w:rPr>
              <w:t xml:space="preserve">analisis.py</w:t>
            </w:r>
          </w:p>
        </w:tc>
        <w:tc>
          <w:tcPr>
            <w:tcW w:type="dxa" w:w="4500"/>
          </w:tcPr>
          <w:p>
            <w:pPr>
              <w:spacing w:after="0"/>
            </w:pPr>
            <w:r>
              <w:rPr>
                <w:rFonts w:ascii="Arial" w:cs="Arial" w:eastAsia="Arial" w:hAnsi="Arial"/>
                <w:b w:val="false"/>
                <w:bCs w:val="false"/>
                <w:sz w:val="20"/>
                <w:szCs w:val="20"/>
              </w:rPr>
              <w:t xml:space="preserve">Análisis estadístico de los resultados anteriores</w:t>
            </w:r>
          </w:p>
        </w:tc>
      </w:tr>
      <w:tr>
        <w:tc>
          <w:tcPr>
            <w:tcW w:type="dxa" w:w="4500"/>
          </w:tcPr>
          <w:p>
            <w:pPr>
              <w:spacing w:after="0"/>
            </w:pPr>
            <w:r>
              <w:rPr>
                <w:rFonts w:ascii="Arial" w:cs="Arial" w:eastAsia="Arial" w:hAnsi="Arial"/>
                <w:b w:val="false"/>
                <w:bCs w:val="false"/>
                <w:sz w:val="20"/>
                <w:szCs w:val="20"/>
              </w:rPr>
              <w:t xml:space="preserve">comparar_detectores.py</w:t>
            </w:r>
          </w:p>
        </w:tc>
        <w:tc>
          <w:tcPr>
            <w:tcW w:type="dxa" w:w="4500"/>
          </w:tcPr>
          <w:p>
            <w:pPr>
              <w:spacing w:after="0"/>
            </w:pPr>
            <w:r>
              <w:rPr>
                <w:rFonts w:ascii="Arial" w:cs="Arial" w:eastAsia="Arial" w:hAnsi="Arial"/>
                <w:b w:val="false"/>
                <w:bCs w:val="false"/>
                <w:sz w:val="20"/>
                <w:szCs w:val="20"/>
              </w:rPr>
              <w:t xml:space="preserve">¿Difieren XGBoost y Random Forest de forma significativa?</w:t>
            </w:r>
          </w:p>
        </w:tc>
      </w:tr>
      <w:tr>
        <w:tc>
          <w:tcPr>
            <w:tcW w:type="dxa" w:w="4500"/>
          </w:tcPr>
          <w:p>
            <w:pPr>
              <w:spacing w:after="0"/>
            </w:pPr>
            <w:r>
              <w:rPr>
                <w:rFonts w:ascii="Arial" w:cs="Arial" w:eastAsia="Arial" w:hAnsi="Arial"/>
                <w:b w:val="false"/>
                <w:bCs w:val="false"/>
                <w:sz w:val="20"/>
                <w:szCs w:val="20"/>
              </w:rPr>
              <w:t xml:space="preserve">ablacion_desbalanceo.py</w:t>
            </w:r>
          </w:p>
        </w:tc>
        <w:tc>
          <w:tcPr>
            <w:tcW w:type="dxa" w:w="4500"/>
          </w:tcPr>
          <w:p>
            <w:pPr>
              <w:spacing w:after="0"/>
            </w:pPr>
            <w:r>
              <w:rPr>
                <w:rFonts w:ascii="Arial" w:cs="Arial" w:eastAsia="Arial" w:hAnsi="Arial"/>
                <w:b w:val="false"/>
                <w:bCs w:val="false"/>
                <w:sz w:val="20"/>
                <w:szCs w:val="20"/>
              </w:rPr>
              <w:t xml:space="preserve">¿Qué aporta cada estrategia frente al desbalanceo?</w:t>
            </w:r>
          </w:p>
        </w:tc>
      </w:tr>
      <w:tr>
        <w:tc>
          <w:tcPr>
            <w:tcW w:type="dxa" w:w="4500"/>
          </w:tcPr>
          <w:p>
            <w:pPr>
              <w:spacing w:after="0"/>
            </w:pPr>
            <w:r>
              <w:rPr>
                <w:rFonts w:ascii="Arial" w:cs="Arial" w:eastAsia="Arial" w:hAnsi="Arial"/>
                <w:b w:val="false"/>
                <w:bCs w:val="false"/>
                <w:sz w:val="20"/>
                <w:szCs w:val="20"/>
              </w:rPr>
              <w:t xml:space="preserve">ablacion_variables.py</w:t>
            </w:r>
          </w:p>
        </w:tc>
        <w:tc>
          <w:tcPr>
            <w:tcW w:type="dxa" w:w="4500"/>
          </w:tcPr>
          <w:p>
            <w:pPr>
              <w:spacing w:after="0"/>
            </w:pPr>
            <w:r>
              <w:rPr>
                <w:rFonts w:ascii="Arial" w:cs="Arial" w:eastAsia="Arial" w:hAnsi="Arial"/>
                <w:b w:val="false"/>
                <w:bCs w:val="false"/>
                <w:sz w:val="20"/>
                <w:szCs w:val="20"/>
              </w:rPr>
              <w:t xml:space="preserve">¿Cuánto contribuye cada grupo de variables?</w:t>
            </w:r>
          </w:p>
        </w:tc>
      </w:tr>
      <w:tr>
        <w:tc>
          <w:tcPr>
            <w:tcW w:type="dxa" w:w="4500"/>
          </w:tcPr>
          <w:p>
            <w:pPr>
              <w:spacing w:after="0"/>
            </w:pPr>
            <w:r>
              <w:rPr>
                <w:rFonts w:ascii="Arial" w:cs="Arial" w:eastAsia="Arial" w:hAnsi="Arial"/>
                <w:b w:val="false"/>
                <w:bCs w:val="false"/>
                <w:sz w:val="20"/>
                <w:szCs w:val="20"/>
              </w:rPr>
              <w:t xml:space="preserve">ablacion_dominio.py</w:t>
            </w:r>
          </w:p>
        </w:tc>
        <w:tc>
          <w:tcPr>
            <w:tcW w:type="dxa" w:w="4500"/>
          </w:tcPr>
          <w:p>
            <w:pPr>
              <w:spacing w:after="0"/>
            </w:pPr>
            <w:r>
              <w:rPr>
                <w:rFonts w:ascii="Arial" w:cs="Arial" w:eastAsia="Arial" w:hAnsi="Arial"/>
                <w:b w:val="false"/>
                <w:bCs w:val="false"/>
                <w:sz w:val="20"/>
                <w:szCs w:val="20"/>
              </w:rPr>
              <w:t xml:space="preserve">¿Cambia el veredicto al corregir la premisa, o solo la prosa?</w:t>
            </w:r>
          </w:p>
        </w:tc>
      </w:tr>
      <w:tr>
        <w:tc>
          <w:tcPr>
            <w:tcW w:type="dxa" w:w="4500"/>
          </w:tcPr>
          <w:p>
            <w:pPr>
              <w:spacing w:after="0"/>
            </w:pPr>
            <w:r>
              <w:rPr>
                <w:rFonts w:ascii="Arial" w:cs="Arial" w:eastAsia="Arial" w:hAnsi="Arial"/>
                <w:b w:val="false"/>
                <w:bCs w:val="false"/>
                <w:sz w:val="20"/>
                <w:szCs w:val="20"/>
              </w:rPr>
              <w:t xml:space="preserve">investigador_solo.py</w:t>
            </w:r>
          </w:p>
        </w:tc>
        <w:tc>
          <w:tcPr>
            <w:tcW w:type="dxa" w:w="4500"/>
          </w:tcPr>
          <w:p>
            <w:pPr>
              <w:spacing w:after="0"/>
            </w:pPr>
            <w:r>
              <w:rPr>
                <w:rFonts w:ascii="Arial" w:cs="Arial" w:eastAsia="Arial" w:hAnsi="Arial"/>
                <w:b w:val="false"/>
                <w:bCs w:val="false"/>
                <w:sz w:val="20"/>
                <w:szCs w:val="20"/>
              </w:rPr>
              <w:t xml:space="preserve">Comparación con modelos de mayor capacidad</w:t>
            </w:r>
          </w:p>
        </w:tc>
      </w:tr>
    </w:tbl>
    <w:p>
      <w:pPr>
        <w:spacing w:after="160"/>
      </w:pPr>
    </w:p>
    <w:p>
      <w:pPr>
        <w:spacing w:after="160" w:line="360" w:lineRule="auto"/>
        <w:ind w:firstLine="425"/>
        <w:jc w:val="both"/>
      </w:pPr>
      <w:r>
        <w:rPr>
          <w:rFonts w:ascii="Arial" w:cs="Arial" w:eastAsia="Arial" w:hAnsi="Arial"/>
          <w:b/>
          <w:bCs/>
          <w:sz w:val="22"/>
          <w:szCs w:val="22"/>
        </w:rPr>
        <w:t xml:space="preserve">Pruebas sin modelo de lenguaje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Qué comprueba</w:t>
            </w:r>
          </w:p>
        </w:tc>
      </w:tr>
      <w:tr>
        <w:tc>
          <w:tcPr>
            <w:tcW w:type="dxa" w:w="4500"/>
          </w:tcPr>
          <w:p>
            <w:pPr>
              <w:spacing w:after="0"/>
            </w:pPr>
            <w:r>
              <w:rPr>
                <w:rFonts w:ascii="Arial" w:cs="Arial" w:eastAsia="Arial" w:hAnsi="Arial"/>
                <w:b w:val="false"/>
                <w:bCs w:val="false"/>
                <w:sz w:val="20"/>
                <w:szCs w:val="20"/>
              </w:rPr>
              <w:t xml:space="preserve">test_detector.py</w:t>
            </w:r>
          </w:p>
        </w:tc>
        <w:tc>
          <w:tcPr>
            <w:tcW w:type="dxa" w:w="4500"/>
          </w:tcPr>
          <w:p>
            <w:pPr>
              <w:spacing w:after="0"/>
            </w:pPr>
            <w:r>
              <w:rPr>
                <w:rFonts w:ascii="Arial" w:cs="Arial" w:eastAsia="Arial" w:hAnsi="Arial"/>
                <w:b w:val="false"/>
                <w:bCs w:val="false"/>
                <w:sz w:val="20"/>
                <w:szCs w:val="20"/>
              </w:rPr>
              <w:t xml:space="preserve">El detector como herramienta</w:t>
            </w:r>
          </w:p>
        </w:tc>
      </w:tr>
      <w:tr>
        <w:tc>
          <w:tcPr>
            <w:tcW w:type="dxa" w:w="4500"/>
          </w:tcPr>
          <w:p>
            <w:pPr>
              <w:spacing w:after="0"/>
            </w:pPr>
            <w:r>
              <w:rPr>
                <w:rFonts w:ascii="Arial" w:cs="Arial" w:eastAsia="Arial" w:hAnsi="Arial"/>
                <w:b w:val="false"/>
                <w:bCs w:val="false"/>
                <w:sz w:val="20"/>
                <w:szCs w:val="20"/>
              </w:rPr>
              <w:t xml:space="preserve">test_tools.py</w:t>
            </w:r>
          </w:p>
        </w:tc>
        <w:tc>
          <w:tcPr>
            <w:tcW w:type="dxa" w:w="4500"/>
          </w:tcPr>
          <w:p>
            <w:pPr>
              <w:spacing w:after="0"/>
            </w:pPr>
            <w:r>
              <w:rPr>
                <w:rFonts w:ascii="Arial" w:cs="Arial" w:eastAsia="Arial" w:hAnsi="Arial"/>
                <w:b w:val="false"/>
                <w:bCs w:val="false"/>
                <w:sz w:val="20"/>
                <w:szCs w:val="20"/>
              </w:rPr>
              <w:t xml:space="preserve">Las herramientas de construcción del expediente</w:t>
            </w:r>
          </w:p>
        </w:tc>
      </w:tr>
      <w:tr>
        <w:tc>
          <w:tcPr>
            <w:tcW w:type="dxa" w:w="4500"/>
          </w:tcPr>
          <w:p>
            <w:pPr>
              <w:spacing w:after="0"/>
            </w:pPr>
            <w:r>
              <w:rPr>
                <w:rFonts w:ascii="Arial" w:cs="Arial" w:eastAsia="Arial" w:hAnsi="Arial"/>
                <w:b w:val="false"/>
                <w:bCs w:val="false"/>
                <w:sz w:val="20"/>
                <w:szCs w:val="20"/>
              </w:rPr>
              <w:t xml:space="preserve">test_auditor.py</w:t>
            </w:r>
          </w:p>
        </w:tc>
        <w:tc>
          <w:tcPr>
            <w:tcW w:type="dxa" w:w="4500"/>
          </w:tcPr>
          <w:p>
            <w:pPr>
              <w:spacing w:after="0"/>
            </w:pPr>
            <w:r>
              <w:rPr>
                <w:rFonts w:ascii="Arial" w:cs="Arial" w:eastAsia="Arial" w:hAnsi="Arial"/>
                <w:b w:val="false"/>
                <w:bCs w:val="false"/>
                <w:sz w:val="20"/>
                <w:szCs w:val="20"/>
              </w:rPr>
              <w:t xml:space="preserve">Regresión del auditor de informes</w:t>
            </w:r>
          </w:p>
        </w:tc>
      </w:tr>
      <w:tr>
        <w:tc>
          <w:tcPr>
            <w:tcW w:type="dxa" w:w="4500"/>
          </w:tcPr>
          <w:p>
            <w:pPr>
              <w:spacing w:after="0"/>
            </w:pPr>
            <w:r>
              <w:rPr>
                <w:rFonts w:ascii="Arial" w:cs="Arial" w:eastAsia="Arial" w:hAnsi="Arial"/>
                <w:b w:val="false"/>
                <w:bCs w:val="false"/>
                <w:sz w:val="20"/>
                <w:szCs w:val="20"/>
              </w:rPr>
              <w:t xml:space="preserve">test_crew_minimo.py</w:t>
            </w:r>
          </w:p>
        </w:tc>
        <w:tc>
          <w:tcPr>
            <w:tcW w:type="dxa" w:w="4500"/>
          </w:tcPr>
          <w:p>
            <w:pPr>
              <w:spacing w:after="0"/>
            </w:pPr>
            <w:r>
              <w:rPr>
                <w:rFonts w:ascii="Arial" w:cs="Arial" w:eastAsia="Arial" w:hAnsi="Arial"/>
                <w:b w:val="false"/>
                <w:bCs w:val="false"/>
                <w:sz w:val="20"/>
                <w:szCs w:val="20"/>
              </w:rPr>
              <w:t xml:space="preserve">Un agente y una herramienta, para acotar fallos de integración</w:t>
            </w:r>
          </w:p>
        </w:tc>
      </w:tr>
      <w:tr>
        <w:tc>
          <w:tcPr>
            <w:tcW w:type="dxa" w:w="4500"/>
          </w:tcPr>
          <w:p>
            <w:pPr>
              <w:spacing w:after="0"/>
            </w:pPr>
            <w:r>
              <w:rPr>
                <w:rFonts w:ascii="Arial" w:cs="Arial" w:eastAsia="Arial" w:hAnsi="Arial"/>
                <w:b w:val="false"/>
                <w:bCs w:val="false"/>
                <w:sz w:val="20"/>
                <w:szCs w:val="20"/>
              </w:rPr>
              <w:t xml:space="preserve">reauditar.py</w:t>
            </w:r>
          </w:p>
        </w:tc>
        <w:tc>
          <w:tcPr>
            <w:tcW w:type="dxa" w:w="4500"/>
          </w:tcPr>
          <w:p>
            <w:pPr>
              <w:spacing w:after="0"/>
            </w:pPr>
            <w:r>
              <w:rPr>
                <w:rFonts w:ascii="Arial" w:cs="Arial" w:eastAsia="Arial" w:hAnsi="Arial"/>
                <w:b w:val="false"/>
                <w:bCs w:val="false"/>
                <w:sz w:val="20"/>
                <w:szCs w:val="20"/>
              </w:rPr>
              <w:t xml:space="preserve">Reaplica el auditor actual a informes antiguos</w:t>
            </w:r>
          </w:p>
        </w:tc>
      </w:tr>
    </w:tbl>
    <w:p>
      <w:pPr>
        <w:spacing w:after="160"/>
      </w:pPr>
    </w:p>
    <w:p>
      <w:pPr>
        <w:spacing w:after="160" w:line="360" w:lineRule="auto"/>
        <w:ind w:firstLine="425"/>
        <w:jc w:val="both"/>
      </w:pPr>
      <w:r>
        <w:rPr>
          <w:rFonts w:ascii="Arial" w:cs="Arial" w:eastAsia="Arial" w:hAnsi="Arial"/>
          <w:sz w:val="22"/>
          <w:szCs w:val="22"/>
        </w:rPr>
        <w:t xml:space="preserve">Que cuatro de los dieciséis guiones sean pruebas que no invocan al modelo de lenguaje no es casual. La taxonomía de modos de fallo recogida en 6.2.5 muestra que los errores de este tipo de sistema no se manifiestan como excepciones, de modo que la única defensa es comprobar de forma programática lo que el modelo devuelve.</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ind w:firstLine="425"/>
        <w:jc w:val="both"/>
      </w:pPr>
      <w:r>
        <w:rPr>
          <w:rFonts w:ascii="Arial" w:cs="Arial" w:eastAsia="Arial" w:hAnsi="Arial"/>
          <w:b/>
          <w:bCs/>
          <w:sz w:val="22"/>
          <w:szCs w:val="22"/>
        </w:rPr>
        <w:t xml:space="preserve">AUC-PR.</w:t>
      </w:r>
      <w:r>
        <w:rPr>
          <w:rFonts w:ascii="Arial" w:cs="Arial" w:eastAsia="Arial" w:hAnsi="Arial"/>
          <w:sz w:val="22"/>
          <w:szCs w:val="22"/>
        </w:rPr>
        <w:t xml:space="preserve"> Área bajo la curva de precisión y exhaustividad. Con clases muy desbalanceadas resulta preferible al área bajo la curva ROC, porque solo atiende a la cabeza de la ordenación, que es la parte que un analista revisa.</w:t>
      </w:r>
    </w:p>
    <w:p>
      <w:pPr>
        <w:spacing w:after="160" w:line="360" w:lineRule="auto"/>
        <w:ind w:firstLine="425"/>
        <w:jc w:val="both"/>
      </w:pPr>
      <w:r>
        <w:rPr>
          <w:rFonts w:ascii="Arial" w:cs="Arial" w:eastAsia="Arial" w:hAnsi="Arial"/>
          <w:b/>
          <w:bCs/>
          <w:sz w:val="22"/>
          <w:szCs w:val="22"/>
        </w:rPr>
        <w:t xml:space="preserve">Descomposición por capas.</w:t>
      </w:r>
      <w:r>
        <w:rPr>
          <w:rFonts w:ascii="Arial" w:cs="Arial" w:eastAsia="Arial" w:hAnsi="Arial"/>
          <w:sz w:val="22"/>
          <w:szCs w:val="22"/>
        </w:rPr>
        <w:t xml:space="preserve"> Técnica que mantiene en memoria de vídeo una sola capa del modelo cada vez, leyendo las restantes desde disco. Permite ejecutar modelos que no cabrían en la memoria disponible, a costa de la velocidad.</w:t>
      </w:r>
    </w:p>
    <w:p>
      <w:pPr>
        <w:spacing w:after="160" w:line="360" w:lineRule="auto"/>
        <w:ind w:firstLine="425"/>
        <w:jc w:val="both"/>
      </w:pPr>
      <w:r>
        <w:rPr>
          <w:rFonts w:ascii="Arial" w:cs="Arial" w:eastAsia="Arial" w:hAnsi="Arial"/>
          <w:b/>
          <w:bCs/>
          <w:sz w:val="22"/>
          <w:szCs w:val="22"/>
        </w:rPr>
        <w:t xml:space="preserve">Expediente.</w:t>
      </w:r>
      <w:r>
        <w:rPr>
          <w:rFonts w:ascii="Arial" w:cs="Arial" w:eastAsia="Arial" w:hAnsi="Arial"/>
          <w:sz w:val="22"/>
          <w:szCs w:val="22"/>
        </w:rPr>
        <w:t xml:space="preserve"> Conjunto de casos que el detector eleva a revisión en un turno, junto a la información que acompaña a cada uno.</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Grado en que una explicación representa el proceso de decisión que el modelo siguió realmente. Distinta de la plausibilidad.</w:t>
      </w:r>
    </w:p>
    <w:p>
      <w:pPr>
        <w:spacing w:after="160" w:line="360" w:lineRule="auto"/>
        <w:ind w:firstLine="425"/>
        <w:jc w:val="both"/>
      </w:pPr>
      <w:r>
        <w:rPr>
          <w:rFonts w:ascii="Arial" w:cs="Arial" w:eastAsia="Arial" w:hAnsi="Arial"/>
          <w:b/>
          <w:bCs/>
          <w:sz w:val="22"/>
          <w:szCs w:val="22"/>
        </w:rPr>
        <w:t xml:space="preserve">Fuga de información.</w:t>
      </w:r>
      <w:r>
        <w:rPr>
          <w:rFonts w:ascii="Arial" w:cs="Arial" w:eastAsia="Arial" w:hAnsi="Arial"/>
          <w:sz w:val="22"/>
          <w:szCs w:val="22"/>
        </w:rPr>
        <w:t xml:space="preserve"> Contaminación del conjunto de prueba con información del entrenamiento, o a la inversa. Produce métricas infladas que no se sostienen fuera de la evaluación.</w:t>
      </w:r>
    </w:p>
    <w:p>
      <w:pPr>
        <w:spacing w:after="160" w:line="360" w:lineRule="auto"/>
        <w:ind w:firstLine="425"/>
        <w:jc w:val="both"/>
      </w:pPr>
      <w:r>
        <w:rPr>
          <w:rFonts w:ascii="Arial" w:cs="Arial" w:eastAsia="Arial" w:hAnsi="Arial"/>
          <w:b/>
          <w:bCs/>
          <w:sz w:val="22"/>
          <w:szCs w:val="22"/>
        </w:rPr>
        <w:t xml:space="preserve">Modo interpreta y modo revisa.</w:t>
      </w:r>
      <w:r>
        <w:rPr>
          <w:rFonts w:ascii="Arial" w:cs="Arial" w:eastAsia="Arial" w:hAnsi="Arial"/>
          <w:sz w:val="22"/>
          <w:szCs w:val="22"/>
        </w:rPr>
        <w:t xml:space="preserve"> Los dos regímenes de la capa 2. En el primero explica sin decidir; en el segundo se le concede autoridad para descartar casos elevados por el detector.</w:t>
      </w:r>
    </w:p>
    <w:p>
      <w:pPr>
        <w:spacing w:after="160" w:line="360" w:lineRule="auto"/>
        <w:ind w:firstLine="425"/>
        <w:jc w:val="both"/>
      </w:pPr>
      <w:r>
        <w:rPr>
          <w:rFonts w:ascii="Arial" w:cs="Arial" w:eastAsia="Arial" w:hAnsi="Arial"/>
          <w:b/>
          <w:bCs/>
          <w:sz w:val="22"/>
          <w:szCs w:val="22"/>
        </w:rPr>
        <w:t xml:space="preserve">Partición temporal.</w:t>
      </w:r>
      <w:r>
        <w:rPr>
          <w:rFonts w:ascii="Arial" w:cs="Arial" w:eastAsia="Arial" w:hAnsi="Arial"/>
          <w:sz w:val="22"/>
          <w:szCs w:val="22"/>
        </w:rPr>
        <w:t xml:space="preserve"> División entre entrenamiento y prueba según el orden cronológico, entrenando con el pasado y evaluando sobre el futuro. Más exigente y más realista que la aleatoria.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Coherencia lógica de una explicación y su consistencia con el conocimiento del dominio. Una explicación puede ser plausible sin ser fiel.</w:t>
      </w:r>
    </w:p>
    <w:p>
      <w:pPr>
        <w:spacing w:after="160" w:line="360" w:lineRule="auto"/>
        <w:ind w:firstLine="425"/>
        <w:jc w:val="both"/>
      </w:pPr>
      <w:r>
        <w:rPr>
          <w:rFonts w:ascii="Arial" w:cs="Arial" w:eastAsia="Arial" w:hAnsi="Arial"/>
          <w:b/>
          <w:bCs/>
          <w:sz w:val="22"/>
          <w:szCs w:val="22"/>
        </w:rPr>
        <w:t xml:space="preserve">Precision@N.</w:t>
      </w:r>
      <w:r>
        <w:rPr>
          <w:rFonts w:ascii="Arial" w:cs="Arial" w:eastAsia="Arial" w:hAnsi="Arial"/>
          <w:sz w:val="22"/>
          <w:szCs w:val="22"/>
        </w:rPr>
        <w:t xml:space="preserve"> Proporción de aciertos entre los N casos de mayor puntuación. Métrica operativa: N es la capacidad de revisión del equipo.</w:t>
      </w:r>
    </w:p>
    <w:p>
      <w:pPr>
        <w:spacing w:after="160" w:line="360" w:lineRule="auto"/>
        <w:ind w:firstLine="425"/>
        <w:jc w:val="both"/>
      </w:pPr>
      <w:r>
        <w:rPr>
          <w:rFonts w:ascii="Arial" w:cs="Arial" w:eastAsia="Arial" w:hAnsi="Arial"/>
          <w:b/>
          <w:bCs/>
          <w:sz w:val="22"/>
          <w:szCs w:val="22"/>
        </w:rPr>
        <w:t xml:space="preserve">Prueba de importe mínimo.</w:t>
      </w:r>
      <w:r>
        <w:rPr>
          <w:rFonts w:ascii="Arial" w:cs="Arial" w:eastAsia="Arial" w:hAnsi="Arial"/>
          <w:sz w:val="22"/>
          <w:szCs w:val="22"/>
        </w:rPr>
        <w:t xml:space="preserve"> Patrón de fraude con tarjeta consistente en un cargo pequeño para comprobar que la tarjeta funciona, previo a un cargo mayor.</w:t>
      </w:r>
    </w:p>
    <w:p>
      <w:pPr>
        <w:spacing w:after="160" w:line="360" w:lineRule="auto"/>
        <w:ind w:firstLine="425"/>
        <w:jc w:val="both"/>
      </w:pPr>
      <w:r>
        <w:rPr>
          <w:rFonts w:ascii="Arial" w:cs="Arial" w:eastAsia="Arial" w:hAnsi="Arial"/>
          <w:b/>
          <w:bCs/>
          <w:sz w:val="22"/>
          <w:szCs w:val="22"/>
        </w:rPr>
        <w:t xml:space="preserve">scale_pos_weight.</w:t>
      </w:r>
      <w:r>
        <w:rPr>
          <w:rFonts w:ascii="Arial" w:cs="Arial" w:eastAsia="Arial" w:hAnsi="Arial"/>
          <w:sz w:val="22"/>
          <w:szCs w:val="22"/>
        </w:rPr>
        <w:t xml:space="preserve"> Parámetro que pondera el gradiente de la clase minoritaria durante el entrenamiento. Alternativa al remuestreo que, por construcción, no puede filtrar información entre particiones.</w:t>
      </w:r>
    </w:p>
    <w:p>
      <w:pPr>
        <w:spacing w:after="160" w:line="360" w:lineRule="auto"/>
        <w:ind w:firstLine="425"/>
        <w:jc w:val="both"/>
      </w:pPr>
      <w:r>
        <w:rPr>
          <w:rFonts w:ascii="Arial" w:cs="Arial" w:eastAsia="Arial" w:hAnsi="Arial"/>
          <w:b/>
          <w:bCs/>
          <w:sz w:val="22"/>
          <w:szCs w:val="22"/>
        </w:rPr>
        <w:t xml:space="preserve">SHAP.</w:t>
      </w:r>
      <w:r>
        <w:rPr>
          <w:rFonts w:ascii="Arial" w:cs="Arial" w:eastAsia="Arial" w:hAnsi="Arial"/>
          <w:sz w:val="22"/>
          <w:szCs w:val="22"/>
        </w:rPr>
        <w:t xml:space="preserve"> Método de atribución que reparte la predicción entre las variables de entrada. Aquí se calcula de forma exacta sobre los árboles del modelo.</w:t>
      </w:r>
    </w:p>
    <w:p>
      <w:pPr>
        <w:spacing w:after="160" w:line="360" w:lineRule="auto"/>
        <w:ind w:firstLine="425"/>
        <w:jc w:val="both"/>
      </w:pPr>
      <w:r>
        <w:rPr>
          <w:rFonts w:ascii="Arial" w:cs="Arial" w:eastAsia="Arial" w:hAnsi="Arial"/>
          <w:b/>
          <w:bCs/>
          <w:sz w:val="22"/>
          <w:szCs w:val="22"/>
        </w:rPr>
        <w:t xml:space="preserve">SMOTE.</w:t>
      </w:r>
      <w:r>
        <w:rPr>
          <w:rFonts w:ascii="Arial" w:cs="Arial" w:eastAsia="Arial" w:hAnsi="Arial"/>
          <w:sz w:val="22"/>
          <w:szCs w:val="22"/>
        </w:rPr>
        <w:t xml:space="preserve"> Técnica de sobremuestreo que genera ejemplos sintéticos de la clase minoritaria por interpolación. Aplicada antes de dividir el conjunto, produce fuga de información.</w:t>
      </w:r>
    </w:p>
    <w:p>
      <w:pPr>
        <w:spacing w:after="160" w:line="360" w:lineRule="auto"/>
        <w:ind w:firstLine="425"/>
        <w:jc w:val="both"/>
      </w:pPr>
      <w:r>
        <w:rPr>
          <w:rFonts w:ascii="Arial" w:cs="Arial" w:eastAsia="Arial" w:hAnsi="Arial"/>
          <w:b/>
          <w:bCs/>
          <w:sz w:val="22"/>
          <w:szCs w:val="22"/>
        </w:rPr>
        <w:t xml:space="preserve">Turno.</w:t>
      </w:r>
      <w:r>
        <w:rPr>
          <w:rFonts w:ascii="Arial" w:cs="Arial" w:eastAsia="Arial" w:hAnsi="Arial"/>
          <w:sz w:val="22"/>
          <w:szCs w:val="22"/>
        </w:rPr>
        <w:t xml:space="preserve"> Ventana temporal de transacciones que el sistema procesa como unidad, cuatro horas salvo indicación contraria.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43ce0513705a1a875e21816bffbf8a742fe66a.undefined"/><Relationship Id="rId10" Type="http://schemas.openxmlformats.org/officeDocument/2006/relationships/image" Target="media/2be6a6ffb4dccdb361e690e14d1923b3966c5d35.undefined"/><Relationship Id="rId11" Type="http://schemas.openxmlformats.org/officeDocument/2006/relationships/image" Target="media/a6b6d20894f1cab8dc1529ece5855991ac15d6bb.undefined"/><Relationship Id="rId12" Type="http://schemas.openxmlformats.org/officeDocument/2006/relationships/image" Target="media/d37a123c935edd168749901f4d906c02844ea0ed.undefined"/><Relationship Id="rId13" Type="http://schemas.openxmlformats.org/officeDocument/2006/relationships/image" Target="media/42beb2628c02c6b8adc537789f9a586158e08491.undefined"/><Relationship Id="rId14" Type="http://schemas.openxmlformats.org/officeDocument/2006/relationships/image" Target="media/2713710ee29419713561b184a3002afd976b2207.undefined"/><Relationship Id="rId15" Type="http://schemas.openxmlformats.org/officeDocument/2006/relationships/image" Target="media/44645f6f8714ba53cc9389784c5c7c515192d70b.undefined"/><Relationship Id="rId16" Type="http://schemas.openxmlformats.org/officeDocument/2006/relationships/image" Target="media/a74094da72a41ef8e2c3d86c1192a359067c3f1d.undefined"/><Relationship Id="rId17" Type="http://schemas.openxmlformats.org/officeDocument/2006/relationships/image" Target="media/0b390121a6aaed94d77ea8e9cefc970c0b49d4cd.undefined"/><Relationship Id="rId18" Type="http://schemas.openxmlformats.org/officeDocument/2006/relationships/image" Target="media/05990224bd2725101f6ceff62e5c78ee113146e2.undefined"/><Relationship Id="rId19" Type="http://schemas.openxmlformats.org/officeDocument/2006/relationships/image" Target="media/9c91d20d4cae95ff6d7eda2c91e5e685b0f68972.undefined"/><Relationship Id="rId20" Type="http://schemas.openxmlformats.org/officeDocument/2006/relationships/image" Target="media/38c5ec19b99ee9190b70907c0a80c42d6c63245b.undefined"/><Relationship Id="rId21" Type="http://schemas.openxmlformats.org/officeDocument/2006/relationships/image" Target="media/05c0b7d501886dcf150e5436f3bd51051f8655d2.undefined"/><Relationship Id="rId22" Type="http://schemas.openxmlformats.org/officeDocument/2006/relationships/image" Target="media/743fde3fa19a4d9af3a0d552d0885bc41cd1782d.undefined"/><Relationship Id="rId23" Type="http://schemas.openxmlformats.org/officeDocument/2006/relationships/image" Target="media/5675489fa005bb45a4ede8333934108712bc1ca5.undefined"/><Relationship Id="rId24" Type="http://schemas.openxmlformats.org/officeDocument/2006/relationships/image" Target="media/98202948ec9eb0cbae25c5a891cfd359798b6f8b.undefined"/><Relationship Id="rId25" Type="http://schemas.openxmlformats.org/officeDocument/2006/relationships/image" Target="media/fa87e9b94964b7ac6b39b193cfe90066807f23f2.undefined"/><Relationship Id="rId26" Type="http://schemas.openxmlformats.org/officeDocument/2006/relationships/image" Target="media/e9eb82f9d619f54b8a5e5c786275a7d71471689f.undefined"/><Relationship Id="rId27" Type="http://schemas.openxmlformats.org/officeDocument/2006/relationships/image" Target="media/44cc1f6ac5a890f53af0bded2769c3f38cb39993.undefined"/><Relationship Id="rId28" Type="http://schemas.openxmlformats.org/officeDocument/2006/relationships/image" Target="media/de208c8bdfc1b72fb7cc009bd6233f427ec124fb.undefined"/><Relationship Id="rId29" Type="http://schemas.openxmlformats.org/officeDocument/2006/relationships/image" Target="media/9650882ce3bff5ab96b2293773da8a83bdd3e419.undefined"/><Relationship Id="rId30" Type="http://schemas.openxmlformats.org/officeDocument/2006/relationships/image" Target="media/a80073e287482b324a824f92247d68a6a964b84d.undefined"/><Relationship Id="rId31" Type="http://schemas.openxmlformats.org/officeDocument/2006/relationships/image" Target="media/d682c3a07272ade658918fe78be6cc337a30c1a1.undefined"/><Relationship Id="rId32" Type="http://schemas.openxmlformats.org/officeDocument/2006/relationships/image" Target="media/9b5b41875f85b8320587bd4ae0a413dd1043647a.undefined"/><Relationship Id="rId33" Type="http://schemas.openxmlformats.org/officeDocument/2006/relationships/image" Target="media/41df8aee3fdd86aeed79be20e5e3a348d5de5cba.undefined"/><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2026-08-30T10:55:05.120Z</dcterms:created>
  <dcterms:modified xsi:type="dcterms:W3CDTF">2026-08-30T10:55:05.120Z</dcterms:modified>
</cp:coreProperties>
</file>

<file path=docProps/custom.xml><?xml version="1.0" encoding="utf-8"?>
<Properties xmlns="http://schemas.openxmlformats.org/officeDocument/2006/custom-properties" xmlns:vt="http://schemas.openxmlformats.org/officeDocument/2006/docPropsVTypes"/>
</file>