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El detector alcanza un AUC-PR de 0,883 en partición aleatoria y de 0,797 en partición temporal, dentro del rango publicado para este conjunto de datos. La ordenación de los modelos de lenguaje por tamaño resulta consistente en dirección pero no alcanza significación estadística, y un modelo de 72.000 millones de parámetros, ejecutado en la misma máquina mediante descomposición por capas, emite exactamente los mismos veredictos que uno de 14.000 a un coste 1.790 veces mayor.</w:t>
      </w:r>
    </w:p>
    <w:p>
      <w:pPr>
        <w:spacing w:after="160" w:line="360" w:lineRule="auto"/>
        <w:ind w:firstLine="425"/>
        <w:jc w:val="both"/>
      </w:pPr>
      <w:r>
        <w:rPr>
          <w:rFonts w:ascii="Arial" w:cs="Arial" w:eastAsia="Arial" w:hAnsi="Arial"/>
          <w:sz w:val="22"/>
          <w:szCs w:val="22"/>
        </w:rPr>
        <w:t xml:space="preserve">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exactly the same verdicts as a 14-billion one at 1,790 times the cost.</w:t>
      </w:r>
    </w:p>
    <w:p>
      <w:pPr>
        <w:spacing w:after="160" w:line="360" w:lineRule="auto"/>
        <w:ind w:firstLine="425"/>
        <w:jc w:val="both"/>
      </w:pPr>
      <w:r>
        <w:rPr>
          <w:rFonts w:ascii="Arial" w:cs="Arial" w:eastAsia="Arial" w:hAnsi="Arial"/>
          <w:sz w:val="22"/>
          <w:szCs w:val="22"/>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states, and therefore must not be used to audit the system that produced it.</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p>
      <w:pPr>
        <w:spacing w:after="80" w:before="240"/>
        <w:jc w:val="center"/>
      </w:pPr>
      <w:r>
        <w:drawing>
          <wp:inline distT="0" distB="0" distL="0" distR="0">
            <wp:extent cx="5400675"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5276850"/>
                    </a:xfrm>
                    <a:prstGeom prst="rect">
                      <a:avLst/>
                    </a:prstGeom>
                  </pic:spPr>
                </pic:pic>
              </a:graphicData>
            </a:graphic>
          </wp:inline>
        </w:drawing>
      </w:r>
    </w:p>
    <w:p>
      <w:pPr>
        <w:spacing w:after="240"/>
        <w:jc w:val="center"/>
      </w:pPr>
      <w:r>
        <w:rPr>
          <w:i/>
          <w:iCs/>
          <w:sz w:val="20"/>
          <w:szCs w:val="20"/>
        </w:rPr>
        <w:t xml:space="preserve">Figura 1. Verificación del entorno: versión de Python, GPU, servidor de modelos y conjunto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ind w:firstLine="425"/>
        <w:jc w:val="both"/>
      </w:pPr>
      <w:r>
        <w:rPr>
          <w:rFonts w:ascii="Arial" w:cs="Arial" w:eastAsia="Arial" w:hAnsi="Arial"/>
          <w:sz w:val="22"/>
          <w:szCs w:val="22"/>
        </w:rPr>
        <w:t xml:space="preserve">En el extremo alto de esa horquilla se sitúa FraudX AI (Baisholanova y otros, 2025), un marco de conjunto que promedia las probabilidades de Random Forest y XGBoost y optimiza el umbral de decisión, evaluado sobre este mismo conjunto de datos. Reporta un 95 % de exhaustividad y un 97 % de AUC-PR, y aplica atribución de Shapley para interpretar las predicciones.</w:t>
      </w:r>
    </w:p>
    <w:p>
      <w:pPr>
        <w:spacing w:after="160" w:line="360" w:lineRule="auto"/>
        <w:ind w:firstLine="425"/>
        <w:jc w:val="both"/>
      </w:pPr>
      <w:r>
        <w:rPr>
          <w:rFonts w:ascii="Arial" w:cs="Arial" w:eastAsia="Arial" w:hAnsi="Arial"/>
          <w:sz w:val="22"/>
          <w:szCs w:val="22"/>
        </w:rPr>
        <w:t xml:space="preserve">Conviene subrayar un detalle metodológico de ese trabajo, porque desmiente una lectura fácil. </w:t>
      </w:r>
      <w:r>
        <w:rPr>
          <w:rFonts w:ascii="Arial" w:cs="Arial" w:eastAsia="Arial" w:hAnsi="Arial"/>
          <w:b/>
          <w:bCs/>
          <w:sz w:val="22"/>
          <w:szCs w:val="22"/>
        </w:rPr>
        <w:t xml:space="preserve">FraudX AI no emplea remuestreo sintético</w:t>
      </w:r>
      <w:r>
        <w:rPr>
          <w:rFonts w:ascii="Arial" w:cs="Arial" w:eastAsia="Arial" w:hAnsi="Arial"/>
          <w:sz w:val="22"/>
          <w:szCs w:val="22"/>
        </w:rPr>
        <w:t xml:space="preserve">: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pPr>
        <w:spacing w:after="160" w:line="360" w:lineRule="auto"/>
        <w:ind w:firstLine="425"/>
        <w:jc w:val="both"/>
      </w:pPr>
      <w:r>
        <w:rPr>
          <w:rFonts w:ascii="Arial" w:cs="Arial" w:eastAsia="Arial" w:hAnsi="Arial"/>
          <w:sz w:val="22"/>
          <w:szCs w:val="22"/>
        </w:rPr>
        <w:t xml:space="preserve">Es decir: el extremo alto de la horquilla </w:t>
      </w:r>
      <w:r>
        <w:rPr>
          <w:rFonts w:ascii="Arial" w:cs="Arial" w:eastAsia="Arial" w:hAnsi="Arial"/>
          <w:b/>
          <w:bCs/>
          <w:sz w:val="22"/>
          <w:szCs w:val="22"/>
        </w:rPr>
        <w:t xml:space="preserve">no se explica en su totalidad por defectos metodológicos</w:t>
      </w:r>
      <w:r>
        <w:rPr>
          <w:rFonts w:ascii="Arial" w:cs="Arial" w:eastAsia="Arial" w:hAnsi="Arial"/>
          <w:sz w:val="22"/>
          <w:szCs w:val="22"/>
        </w:rPr>
        <w:t xml:space="preserve">. Existe al menos un trabajo que alcanza 0,97 de AUC-PR con las mismas cautelas que se han adoptado aquí, y que además supera con holgura los 0,883 obtenidos en este trabajo bajo partición aleatoria. La diferencia es real y no un artefacto.</w:t>
      </w:r>
    </w:p>
    <w:p>
      <w:pPr>
        <w:spacing w:after="160" w:line="360" w:lineRule="auto"/>
        <w:ind w:firstLine="425"/>
        <w:jc w:val="both"/>
      </w:pPr>
      <w:r>
        <w:rPr>
          <w:rFonts w:ascii="Arial" w:cs="Arial" w:eastAsia="Arial" w:hAnsi="Arial"/>
          <w:sz w:val="22"/>
          <w:szCs w:val="22"/>
        </w:rPr>
        <w:t xml:space="preserve">Esa constatación delimita con precisión lo que este trabajo puede reclamar y lo que no. </w:t>
      </w:r>
      <w:r>
        <w:rPr>
          <w:rFonts w:ascii="Arial" w:cs="Arial" w:eastAsia="Arial" w:hAnsi="Arial"/>
          <w:b/>
          <w:bCs/>
          <w:sz w:val="22"/>
          <w:szCs w:val="22"/>
        </w:rPr>
        <w:t xml:space="preserve">El detector construido aquí no es el estado del arte y no se presenta como tal.</w:t>
      </w:r>
      <w:r>
        <w:rPr>
          <w:rFonts w:ascii="Arial" w:cs="Arial" w:eastAsia="Arial" w:hAnsi="Arial"/>
          <w:sz w:val="22"/>
          <w:szCs w:val="22"/>
        </w:rPr>
        <w:t xml:space="preserve"> Sus cifras son suficientes para sostener el sistema sobre el que se realiza el resto de la investigación, que es su función, y sitúan el trabajo dentro del rango publicado sin destacar en él.</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ind w:firstLine="425"/>
        <w:jc w:val="both"/>
      </w:pPr>
      <w:r>
        <w:rPr>
          <w:rFonts w:ascii="Arial" w:cs="Arial" w:eastAsia="Arial" w:hAnsi="Arial"/>
          <w:sz w:val="22"/>
          <w:szCs w:val="22"/>
        </w:rPr>
        <w:t xml:space="preserve">Se recoge aquí únicamente el resultado que los autores declaran como principal, sin entrar en las condiciones concretas en que lo obtienen. Lo que sostiene la comparación de esta memoria no es la magnitud de ese resultado sino su signo: basta con que los modelos de lenguaje no queden manifiestamente por detrás para que la diferencia con este trabajo haya de buscarse en el planteamiento y no en el rendimiento.</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ind w:firstLine="425"/>
        <w:jc w:val="both"/>
      </w:pPr>
      <w:r>
        <w:rPr>
          <w:rFonts w:ascii="Arial" w:cs="Arial" w:eastAsia="Arial" w:hAnsi="Arial"/>
          <w:sz w:val="22"/>
          <w:szCs w:val="22"/>
        </w:rPr>
        <w:t xml:space="preserve">De esa diferencia de planteamiento se sigue la línea de trabajo futuro propuesta en 6.4, hacia dominios con contenido semántico como las transferencias o la prevención de blanqueo de capitales. Conviene declarar que </w:t>
      </w:r>
      <w:r>
        <w:rPr>
          <w:rFonts w:ascii="Arial" w:cs="Arial" w:eastAsia="Arial" w:hAnsi="Arial"/>
          <w:b/>
          <w:bCs/>
          <w:sz w:val="22"/>
          <w:szCs w:val="22"/>
        </w:rPr>
        <w:t xml:space="preserve">esa propuesta se apoya en el razonamiento desarrollado en esta memoria y no en una referencia que lo establezca</w:t>
      </w:r>
      <w:r>
        <w:rPr>
          <w:rFonts w:ascii="Arial" w:cs="Arial" w:eastAsia="Arial" w:hAnsi="Arial"/>
          <w:sz w:val="22"/>
          <w:szCs w:val="22"/>
        </w:rPr>
        <w:t xml:space="preserve">. El argumento es que sobre veintiocho componentes anonimizadas, un importe y una hora no hay nada que interpretar más allá de lo que el detector ya ha calculado, mientras que un ordenante, un concepto o una cadena de operaciones relacionadas sí admiten interpretación. Es una hipótesis razonable y no está verificada, y así figura en el capítulo 6.</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ind w:firstLine="425"/>
        <w:jc w:val="both"/>
      </w:pPr>
      <w:r>
        <w:rPr>
          <w:rFonts w:ascii="Arial" w:cs="Arial" w:eastAsia="Arial" w:hAnsi="Arial"/>
          <w:sz w:val="22"/>
          <w:szCs w:val="22"/>
        </w:rPr>
        <w:t xml:space="preserve">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pPr>
        <w:spacing w:after="160" w:line="360" w:lineRule="auto"/>
        <w:ind w:firstLine="425"/>
        <w:jc w:val="both"/>
      </w:pPr>
      <w:r>
        <w:rPr>
          <w:rFonts w:ascii="Arial" w:cs="Arial" w:eastAsia="Arial" w:hAnsi="Arial"/>
          <w:sz w:val="22"/>
          <w:szCs w:val="22"/>
        </w:rPr>
        <w:t xml:space="preserve">Sun y otros (2025) construyen un banco de pruebas de colaboración entre agentes sobre un entorno interactivo y lo aplican a trece modelos. Su conclusión es que los modelos </w:t>
      </w:r>
      <w:r>
        <w:rPr>
          <w:rFonts w:ascii="Arial" w:cs="Arial" w:eastAsia="Arial" w:hAnsi="Arial"/>
          <w:b/>
          <w:bCs/>
          <w:sz w:val="22"/>
          <w:szCs w:val="22"/>
        </w:rPr>
        <w:t xml:space="preserve">interpretan bien los objetivos</w:t>
      </w:r>
      <w:r>
        <w:rPr>
          <w:rFonts w:ascii="Arial" w:cs="Arial" w:eastAsia="Arial" w:hAnsi="Arial"/>
          <w:sz w:val="22"/>
          <w:szCs w:val="22"/>
        </w:rP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agéntico ya durante el preentrenamiento, convirtiendo trayectorias reales de agentes en preguntas que un modelo base pueda responder, al observar que los bancos de pruebas agénticos habituales exigen capacidades de interacción en varios turnos que los modelos base no sostienen.</w:t>
      </w:r>
    </w:p>
    <w:p>
      <w:pPr>
        <w:spacing w:after="160" w:line="360" w:lineRule="auto"/>
        <w:ind w:firstLine="425"/>
        <w:jc w:val="both"/>
      </w:pPr>
      <w:r>
        <w:rPr>
          <w:rFonts w:ascii="Arial" w:cs="Arial" w:eastAsia="Arial" w:hAnsi="Arial"/>
          <w:sz w:val="22"/>
          <w:szCs w:val="22"/>
        </w:rPr>
        <w:t xml:space="preserve">De ambos trabajos se recogen aquí sus conclusiones declaradas, y no los detalles de su montaje experimental. En particular, </w:t>
      </w:r>
      <w:r>
        <w:rPr>
          <w:rFonts w:ascii="Arial" w:cs="Arial" w:eastAsia="Arial" w:hAnsi="Arial"/>
          <w:b/>
          <w:bCs/>
          <w:sz w:val="22"/>
          <w:szCs w:val="22"/>
        </w:rPr>
        <w:t xml:space="preserve">no se afirma nada sobre los tamaños de los modelos evaluados en ellos</w:t>
      </w:r>
      <w:r>
        <w:rPr>
          <w:rFonts w:ascii="Arial" w:cs="Arial" w:eastAsia="Arial" w:hAnsi="Arial"/>
          <w:sz w:val="22"/>
          <w:szCs w:val="22"/>
        </w:rPr>
        <w:t xml:space="preserve">, de modo que no cabe situar los modelos de esta memoria dentro de su escala ni derivar de ahí ningún umbral. Lo que se toma de esa literatura es la distinción cualitativa entre interpretar bien un objetivo y sostener una tarea completa, que es la que resulta pertinente a continuación.</w:t>
      </w:r>
    </w:p>
    <w:p>
      <w:pPr>
        <w:spacing w:after="160" w:line="360" w:lineRule="auto"/>
        <w:ind w:firstLine="425"/>
        <w:jc w:val="both"/>
      </w:pPr>
      <w:r>
        <w:rPr>
          <w:rFonts w:ascii="Arial" w:cs="Arial" w:eastAsia="Arial" w:hAnsi="Arial"/>
          <w:sz w:val="22"/>
          <w:szCs w:val="22"/>
        </w:rPr>
        <w:t xml:space="preserve">El punto en común entre esa literatura y este trabajo es que ambos separan dos cosas que suelen confundirse: </w:t>
      </w:r>
      <w:r>
        <w:rPr>
          <w:rFonts w:ascii="Arial" w:cs="Arial" w:eastAsia="Arial" w:hAnsi="Arial"/>
          <w:b/>
          <w:bCs/>
          <w:sz w:val="22"/>
          <w:szCs w:val="22"/>
        </w:rPr>
        <w:t xml:space="preserve">saber operar un sistema y merecer que se le delegue una decisión dentro de él</w:t>
      </w:r>
      <w:r>
        <w:rPr>
          <w:rFonts w:ascii="Arial" w:cs="Arial" w:eastAsia="Arial" w:hAnsi="Arial"/>
          <w:sz w:val="22"/>
          <w:szCs w:val="22"/>
        </w:rP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resultado que se le conceda autoridad para revocar decisiones del detector? La respuesta medida en el capítulo 5 es que no.</w:t>
      </w:r>
    </w:p>
    <w:p>
      <w:pPr>
        <w:spacing w:after="160" w:line="360" w:lineRule="auto"/>
        <w:ind w:firstLine="425"/>
        <w:jc w:val="both"/>
      </w:pPr>
      <w:r>
        <w:rPr>
          <w:rFonts w:ascii="Arial" w:cs="Arial" w:eastAsia="Arial" w:hAnsi="Arial"/>
          <w:sz w:val="22"/>
          <w:szCs w:val="22"/>
        </w:rPr>
        <w:t xml:space="preserve">Se hace constar, por último, que esta memoria </w:t>
      </w:r>
      <w:r>
        <w:rPr>
          <w:rFonts w:ascii="Arial" w:cs="Arial" w:eastAsia="Arial" w:hAnsi="Arial"/>
          <w:b/>
          <w:bCs/>
          <w:sz w:val="22"/>
          <w:szCs w:val="22"/>
        </w:rPr>
        <w:t xml:space="preserve">no recoge la afirmación, frecuente en la divulgación técnica, de que exista un umbral en torno a los siete mil millones de parámetros</w:t>
      </w:r>
      <w:r>
        <w:rPr>
          <w:rFonts w:ascii="Arial" w:cs="Arial" w:eastAsia="Arial" w:hAnsi="Arial"/>
          <w:sz w:val="22"/>
          <w:szCs w:val="22"/>
        </w:rPr>
        <w:t xml:space="preserve"> por debajo del cual la invocación de herramientas deja de ser fiable. Se buscó una fuente que la sostuviera entre los trabajos aquí revisados y no se encontró. La formulación que sí se emplea en el capítulo 5 es distinta y más débil: la capacidad necesaria depende del punto de operación, y fijar una cifra de parámetros sin especificarlo carece de sentido.</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ind w:firstLine="425"/>
        <w:jc w:val="both"/>
      </w:pPr>
      <w:r>
        <w:rPr>
          <w:rFonts w:ascii="Arial" w:cs="Arial" w:eastAsia="Arial" w:hAnsi="Arial"/>
          <w:sz w:val="22"/>
          <w:szCs w:val="22"/>
        </w:rPr>
        <w:t xml:space="preserve">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pPr>
        <w:spacing w:after="160" w:line="360" w:lineRule="auto"/>
        <w:ind w:firstLine="425"/>
        <w:jc w:val="both"/>
      </w:pPr>
      <w:r>
        <w:rPr>
          <w:rFonts w:ascii="Arial" w:cs="Arial" w:eastAsia="Arial" w:hAnsi="Arial"/>
          <w:sz w:val="22"/>
          <w:szCs w:val="22"/>
        </w:rPr>
        <w:t xml:space="preserve">Su aportación más útil para esta memoria es una distinción conceptual que conviene adoptar, porque nombra con precisión el fenómeno que el capítulo 6 documenta.</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en cambio, evalúa la coherencia lógica de la explicación y su consistencia con el conocimiento del dominio: que se apoye en principios establecidos, que no se contradiga y que no formule afirmaciones imposibles.</w:t>
      </w:r>
    </w:p>
    <w:p>
      <w:pPr>
        <w:spacing w:after="160" w:line="360" w:lineRule="auto"/>
        <w:ind w:firstLine="425"/>
        <w:jc w:val="both"/>
      </w:pPr>
      <w:r>
        <w:rPr>
          <w:rFonts w:ascii="Arial" w:cs="Arial" w:eastAsia="Arial" w:hAnsi="Arial"/>
          <w:sz w:val="22"/>
          <w:szCs w:val="22"/>
        </w:rPr>
        <w:t xml:space="preserve">Los propios autores subrayan que la diferencia entre ambas es importante, porque </w:t>
      </w:r>
      <w:r>
        <w:rPr>
          <w:rFonts w:ascii="Arial" w:cs="Arial" w:eastAsia="Arial" w:hAnsi="Arial"/>
          <w:b/>
          <w:bCs/>
          <w:sz w:val="22"/>
          <w:szCs w:val="22"/>
        </w:rPr>
        <w:t xml:space="preserve">una explicación puede ser plausible y no ser fiel</w:t>
      </w:r>
      <w:r>
        <w:rPr>
          <w:rFonts w:ascii="Arial" w:cs="Arial" w:eastAsia="Arial" w:hAnsi="Arial"/>
          <w:sz w:val="22"/>
          <w:szCs w:val="22"/>
        </w:rPr>
        <w:t xml:space="preserve">: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pPr>
        <w:spacing w:after="160" w:line="360" w:lineRule="auto"/>
        <w:ind w:firstLine="425"/>
        <w:jc w:val="both"/>
      </w:pPr>
      <w:r>
        <w:rPr>
          <w:rFonts w:ascii="Arial" w:cs="Arial" w:eastAsia="Arial" w:hAnsi="Arial"/>
          <w:sz w:val="22"/>
          <w:szCs w:val="22"/>
        </w:rPr>
        <w:t xml:space="preserve">Se han revisado además las secciones dedicadas a las técnicas de explicación y a las limitaciones. La primera describe los métodos de atribución al uso, entre ellos el de valores de Shapley empleado en este trabajo. La segunda enumera como retos abiertos el tratamiento de datos sensibles, la diversidad social y normativa, la integración de fuentes heterogéneas, la complejidad de los modelos y los sesgos presentes en los propios modelos de lenguaje. </w:t>
      </w:r>
      <w:r>
        <w:rPr>
          <w:rFonts w:ascii="Arial" w:cs="Arial" w:eastAsia="Arial" w:hAnsi="Arial"/>
          <w:b/>
          <w:bCs/>
          <w:sz w:val="22"/>
          <w:szCs w:val="22"/>
        </w:rPr>
        <w:t xml:space="preserve">Ninguna de esas limitaciones recoge casos documentados de disociación entre la explicación escrita y la decisión emitida</w:t>
      </w:r>
      <w:r>
        <w:rPr>
          <w:rFonts w:ascii="Arial" w:cs="Arial" w:eastAsia="Arial" w:hAnsi="Arial"/>
          <w:sz w:val="22"/>
          <w:szCs w:val="22"/>
        </w:rPr>
        <w:t xml:space="preserve">, que es el fenómeno que este trabajo observa y mide en 5.12.</w:t>
      </w:r>
    </w:p>
    <w:p>
      <w:pPr>
        <w:spacing w:after="160" w:line="360" w:lineRule="auto"/>
        <w:ind w:firstLine="425"/>
        <w:jc w:val="both"/>
      </w:pPr>
      <w:r>
        <w:rPr>
          <w:rFonts w:ascii="Arial" w:cs="Arial" w:eastAsia="Arial" w:hAnsi="Arial"/>
          <w:sz w:val="22"/>
          <w:szCs w:val="22"/>
        </w:rPr>
        <w:t xml:space="preserve">Esa distinción sitúa con exactitud la aportación de este trabajo. El experimento descrito en 6.2.2 produce explicaciones cuya </w:t>
      </w:r>
      <w:r>
        <w:rPr>
          <w:rFonts w:ascii="Arial" w:cs="Arial" w:eastAsia="Arial" w:hAnsi="Arial"/>
          <w:b/>
          <w:bCs/>
          <w:sz w:val="22"/>
          <w:szCs w:val="22"/>
        </w:rPr>
        <w:t xml:space="preserve">plausibilidad aumenta de forma deliberada</w:t>
      </w:r>
      <w:r>
        <w:rPr>
          <w:rFonts w:ascii="Arial" w:cs="Arial" w:eastAsia="Arial" w:hAnsi="Arial"/>
          <w:sz w:val="22"/>
          <w:szCs w:val="22"/>
        </w:rP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rFonts w:ascii="Arial" w:cs="Arial" w:eastAsia="Arial" w:hAnsi="Arial"/>
          <w:b/>
          <w:bCs/>
          <w:sz w:val="22"/>
          <w:szCs w:val="22"/>
        </w:rPr>
        <w:t xml:space="preserve">sin ganar fidelidad</w:t>
      </w:r>
      <w:r>
        <w:rPr>
          <w:rFonts w:ascii="Arial" w:cs="Arial" w:eastAsia="Arial" w:hAnsi="Arial"/>
          <w:sz w:val="22"/>
          <w:szCs w:val="22"/>
        </w:rPr>
        <w:t xml:space="preserve">, y en el modelo de 14.000 millones de parámetros contradice directamente al veredicto que la acompaña en el 61 % de los casos en que menciona el patrón.</w:t>
      </w:r>
    </w:p>
    <w:p>
      <w:pPr>
        <w:spacing w:after="160" w:line="360" w:lineRule="auto"/>
        <w:ind w:firstLine="425"/>
        <w:jc w:val="both"/>
      </w:pPr>
      <w:r>
        <w:rPr>
          <w:rFonts w:ascii="Arial" w:cs="Arial" w:eastAsia="Arial" w:hAnsi="Arial"/>
          <w:sz w:val="22"/>
          <w:szCs w:val="22"/>
        </w:rP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rFonts w:ascii="Arial" w:cs="Arial" w:eastAsia="Arial" w:hAnsi="Arial"/>
          <w:b/>
          <w:bCs/>
          <w:sz w:val="22"/>
          <w:szCs w:val="22"/>
        </w:rPr>
        <w:t xml:space="preserve">su consistencia con la decisión que el propio modelo emite a continuación</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pPr>
        <w:spacing w:after="160" w:line="360" w:lineRule="auto"/>
        <w:ind w:firstLine="425"/>
        <w:jc w:val="both"/>
      </w:pPr>
      <w:r>
        <w:rPr>
          <w:rFonts w:ascii="Arial" w:cs="Arial" w:eastAsia="Arial" w:hAnsi="Arial"/>
          <w:sz w:val="22"/>
          <w:szCs w:val="22"/>
        </w:rPr>
        <w:t xml:space="preserve">Debe precisarse, no obstante, que </w:t>
      </w:r>
      <w:r>
        <w:rPr>
          <w:rFonts w:ascii="Arial" w:cs="Arial" w:eastAsia="Arial" w:hAnsi="Arial"/>
          <w:b/>
          <w:bCs/>
          <w:sz w:val="22"/>
          <w:szCs w:val="22"/>
        </w:rPr>
        <w:t xml:space="preserve">el estudio no enuncia esa restricción como recomendación metodológica explícita</w:t>
      </w:r>
      <w:r>
        <w:rPr>
          <w:rFonts w:ascii="Arial" w:cs="Arial" w:eastAsia="Arial" w:hAnsi="Arial"/>
          <w:sz w:val="22"/>
          <w:szCs w:val="22"/>
        </w:rPr>
        <w:t xml:space="preserve">.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ind w:firstLine="425"/>
        <w:jc w:val="both"/>
      </w:pPr>
      <w:r>
        <w:rPr>
          <w:rFonts w:ascii="Arial" w:cs="Arial" w:eastAsia="Arial" w:hAnsi="Arial"/>
          <w:sz w:val="22"/>
          <w:szCs w:val="22"/>
        </w:rPr>
        <w:t xml:space="preserve">Existen propuestas de sistemas multiagente aplicados a decisiones financieras. La más cercana a este trabajo por planteamiento es MASCA (Bhattacharya y otros, 2025), un sistema jerárquico de agentes para evaluación de riesgo crediticio, del que se ha consultado el texto completo.</w:t>
      </w:r>
    </w:p>
    <w:p>
      <w:pPr>
        <w:spacing w:after="160" w:line="360" w:lineRule="auto"/>
        <w:ind w:firstLine="425"/>
        <w:jc w:val="both"/>
      </w:pPr>
      <w:r>
        <w:rPr>
          <w:rFonts w:ascii="Arial" w:cs="Arial" w:eastAsia="Arial" w:hAnsi="Arial"/>
          <w:sz w:val="22"/>
          <w:szCs w:val="22"/>
        </w:rPr>
        <w:t xml:space="preserve">MASCA organiza agentes especializados en capas —ingesta y contextualización, evaluación multidimensional, optimización estratégica y un orquestador que decide— y los evalúa sobre doscientas muestras de un conjunto de datos de crédito.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Exactitud</w:t>
            </w:r>
          </w:p>
        </w:tc>
        <w:tc>
          <w:tcPr>
            <w:tcW w:type="dxa" w:w="1800"/>
            <w:shd w:fill="D9D9D9" w:val="clear"/>
          </w:tcPr>
          <w:p>
            <w:pPr>
              <w:spacing w:after="0"/>
            </w:pPr>
            <w:r>
              <w:rPr>
                <w:rFonts w:ascii="Arial" w:cs="Arial" w:eastAsia="Arial" w:hAnsi="Arial"/>
                <w:b/>
                <w:bCs/>
                <w:sz w:val="20"/>
                <w:szCs w:val="20"/>
              </w:rPr>
              <w:t xml:space="preserve">Precisión</w:t>
            </w:r>
          </w:p>
        </w:tc>
        <w:tc>
          <w:tcPr>
            <w:tcW w:type="dxa" w:w="1800"/>
            <w:shd w:fill="D9D9D9" w:val="clear"/>
          </w:tcPr>
          <w:p>
            <w:pPr>
              <w:spacing w:after="0"/>
            </w:pPr>
            <w:r>
              <w:rPr>
                <w:rFonts w:ascii="Arial" w:cs="Arial" w:eastAsia="Arial" w:hAnsi="Arial"/>
                <w:b/>
                <w:bCs/>
                <w:sz w:val="20"/>
                <w:szCs w:val="20"/>
              </w:rPr>
              <w:t xml:space="preserve">Exhaustividad</w:t>
            </w:r>
          </w:p>
        </w:tc>
        <w:tc>
          <w:tcPr>
            <w:tcW w:type="dxa" w:w="1800"/>
            <w:shd w:fill="D9D9D9" w:val="clear"/>
          </w:tcPr>
          <w:p>
            <w:pPr>
              <w:spacing w:after="0"/>
            </w:pPr>
            <w:r>
              <w:rPr>
                <w:rFonts w:ascii="Arial" w:cs="Arial" w:eastAsia="Arial" w:hAnsi="Arial"/>
                <w:b/>
                <w:bCs/>
                <w:sz w:val="20"/>
                <w:szCs w:val="20"/>
              </w:rPr>
              <w:t xml:space="preserve">F1</w:t>
            </w:r>
          </w:p>
        </w:tc>
      </w:tr>
      <w:tr>
        <w:tc>
          <w:tcPr>
            <w:tcW w:type="dxa" w:w="1800"/>
          </w:tcPr>
          <w:p>
            <w:pPr>
              <w:spacing w:after="0"/>
            </w:pPr>
            <w:r>
              <w:rPr>
                <w:rFonts w:ascii="Arial" w:cs="Arial" w:eastAsia="Arial" w:hAnsi="Arial"/>
                <w:b w:val="false"/>
                <w:bCs w:val="false"/>
                <w:sz w:val="20"/>
                <w:szCs w:val="20"/>
              </w:rPr>
              <w:t xml:space="preserve">Cero disparos</w:t>
            </w:r>
          </w:p>
        </w:tc>
        <w:tc>
          <w:tcPr>
            <w:tcW w:type="dxa" w:w="1800"/>
          </w:tcPr>
          <w:p>
            <w:pPr>
              <w:spacing w:after="0"/>
            </w:pPr>
            <w:r>
              <w:rPr>
                <w:rFonts w:ascii="Arial" w:cs="Arial" w:eastAsia="Arial" w:hAnsi="Arial"/>
                <w:b w:val="false"/>
                <w:bCs w:val="false"/>
                <w:sz w:val="20"/>
                <w:szCs w:val="20"/>
              </w:rPr>
              <w:t xml:space="preserve">45,5 %</w:t>
            </w:r>
          </w:p>
        </w:tc>
        <w:tc>
          <w:tcPr>
            <w:tcW w:type="dxa" w:w="1800"/>
          </w:tcPr>
          <w:p>
            <w:pPr>
              <w:spacing w:after="0"/>
            </w:pPr>
            <w:r>
              <w:rPr>
                <w:rFonts w:ascii="Arial" w:cs="Arial" w:eastAsia="Arial" w:hAnsi="Arial"/>
                <w:b w:val="false"/>
                <w:bCs w:val="false"/>
                <w:sz w:val="20"/>
                <w:szCs w:val="20"/>
              </w:rPr>
              <w:t xml:space="preserve">33,3 %</w:t>
            </w:r>
          </w:p>
        </w:tc>
        <w:tc>
          <w:tcPr>
            <w:tcW w:type="dxa" w:w="1800"/>
          </w:tcPr>
          <w:p>
            <w:pPr>
              <w:spacing w:after="0"/>
            </w:pPr>
            <w:r>
              <w:rPr>
                <w:rFonts w:ascii="Arial" w:cs="Arial" w:eastAsia="Arial" w:hAnsi="Arial"/>
                <w:b w:val="false"/>
                <w:bCs w:val="false"/>
                <w:sz w:val="20"/>
                <w:szCs w:val="20"/>
              </w:rPr>
              <w:t xml:space="preserve">67,7 %</w:t>
            </w:r>
          </w:p>
        </w:tc>
        <w:tc>
          <w:tcPr>
            <w:tcW w:type="dxa" w:w="1800"/>
          </w:tcPr>
          <w:p>
            <w:pPr>
              <w:spacing w:after="0"/>
            </w:pPr>
            <w:r>
              <w:rPr>
                <w:rFonts w:ascii="Arial" w:cs="Arial" w:eastAsia="Arial" w:hAnsi="Arial"/>
                <w:b w:val="false"/>
                <w:bCs w:val="false"/>
                <w:sz w:val="20"/>
                <w:szCs w:val="20"/>
              </w:rPr>
              <w:t xml:space="preserve">44,7 %</w:t>
            </w:r>
          </w:p>
        </w:tc>
      </w:tr>
      <w:tr>
        <w:tc>
          <w:tcPr>
            <w:tcW w:type="dxa" w:w="1800"/>
          </w:tcPr>
          <w:p>
            <w:pPr>
              <w:spacing w:after="0"/>
            </w:pPr>
            <w:r>
              <w:rPr>
                <w:rFonts w:ascii="Arial" w:cs="Arial" w:eastAsia="Arial" w:hAnsi="Arial"/>
                <w:b w:val="false"/>
                <w:bCs w:val="false"/>
                <w:sz w:val="20"/>
                <w:szCs w:val="20"/>
              </w:rPr>
              <w:t xml:space="preserve">Cadena de pensamiento</w:t>
            </w:r>
          </w:p>
        </w:tc>
        <w:tc>
          <w:tcPr>
            <w:tcW w:type="dxa" w:w="1800"/>
          </w:tcPr>
          <w:p>
            <w:pPr>
              <w:spacing w:after="0"/>
            </w:pPr>
            <w:r>
              <w:rPr>
                <w:rFonts w:ascii="Arial" w:cs="Arial" w:eastAsia="Arial" w:hAnsi="Arial"/>
                <w:b w:val="false"/>
                <w:bCs w:val="false"/>
                <w:sz w:val="20"/>
                <w:szCs w:val="20"/>
              </w:rPr>
              <w:t xml:space="preserve">36,0 %</w:t>
            </w:r>
          </w:p>
        </w:tc>
        <w:tc>
          <w:tcPr>
            <w:tcW w:type="dxa" w:w="1800"/>
          </w:tcPr>
          <w:p>
            <w:pPr>
              <w:spacing w:after="0"/>
            </w:pPr>
            <w:r>
              <w:rPr>
                <w:rFonts w:ascii="Arial" w:cs="Arial" w:eastAsia="Arial" w:hAnsi="Arial"/>
                <w:b w:val="false"/>
                <w:bCs w:val="false"/>
                <w:sz w:val="20"/>
                <w:szCs w:val="20"/>
              </w:rPr>
              <w:t xml:space="preserve">37,1 %</w:t>
            </w:r>
          </w:p>
        </w:tc>
        <w:tc>
          <w:tcPr>
            <w:tcW w:type="dxa" w:w="1800"/>
          </w:tcPr>
          <w:p>
            <w:pPr>
              <w:spacing w:after="0"/>
            </w:pPr>
            <w:r>
              <w:rPr>
                <w:rFonts w:ascii="Arial" w:cs="Arial" w:eastAsia="Arial" w:hAnsi="Arial"/>
                <w:b w:val="false"/>
                <w:bCs w:val="false"/>
                <w:sz w:val="20"/>
                <w:szCs w:val="20"/>
              </w:rPr>
              <w:t xml:space="preserve">52,1 %</w:t>
            </w:r>
          </w:p>
        </w:tc>
        <w:tc>
          <w:tcPr>
            <w:tcW w:type="dxa" w:w="1800"/>
          </w:tcPr>
          <w:p>
            <w:pPr>
              <w:spacing w:after="0"/>
            </w:pPr>
            <w:r>
              <w:rPr>
                <w:rFonts w:ascii="Arial" w:cs="Arial" w:eastAsia="Arial" w:hAnsi="Arial"/>
                <w:b w:val="false"/>
                <w:bCs w:val="false"/>
                <w:sz w:val="20"/>
                <w:szCs w:val="20"/>
              </w:rPr>
              <w:t xml:space="preserve">43,4 %</w:t>
            </w:r>
          </w:p>
        </w:tc>
      </w:tr>
      <w:tr>
        <w:tc>
          <w:tcPr>
            <w:tcW w:type="dxa" w:w="1800"/>
          </w:tcPr>
          <w:p>
            <w:pPr>
              <w:spacing w:after="0"/>
            </w:pPr>
            <w:r>
              <w:rPr>
                <w:rFonts w:ascii="Arial" w:cs="Arial" w:eastAsia="Arial" w:hAnsi="Arial"/>
                <w:b w:val="false"/>
                <w:bCs w:val="false"/>
                <w:sz w:val="20"/>
                <w:szCs w:val="20"/>
              </w:rPr>
              <w:t xml:space="preserve">Un solo agente multitarea</w:t>
            </w:r>
          </w:p>
        </w:tc>
        <w:tc>
          <w:tcPr>
            <w:tcW w:type="dxa" w:w="1800"/>
          </w:tcPr>
          <w:p>
            <w:pPr>
              <w:spacing w:after="0"/>
            </w:pPr>
            <w:r>
              <w:rPr>
                <w:rFonts w:ascii="Arial" w:cs="Arial" w:eastAsia="Arial" w:hAnsi="Arial"/>
                <w:b w:val="false"/>
                <w:bCs w:val="false"/>
                <w:sz w:val="20"/>
                <w:szCs w:val="20"/>
              </w:rPr>
              <w:t xml:space="preserve">42,5 %</w:t>
            </w:r>
          </w:p>
        </w:tc>
        <w:tc>
          <w:tcPr>
            <w:tcW w:type="dxa" w:w="1800"/>
          </w:tcPr>
          <w:p>
            <w:pPr>
              <w:spacing w:after="0"/>
            </w:pPr>
            <w:r>
              <w:rPr>
                <w:rFonts w:ascii="Arial" w:cs="Arial" w:eastAsia="Arial" w:hAnsi="Arial"/>
                <w:b w:val="false"/>
                <w:bCs w:val="false"/>
                <w:sz w:val="20"/>
                <w:szCs w:val="20"/>
              </w:rPr>
              <w:t xml:space="preserve">28,8 %</w:t>
            </w:r>
          </w:p>
        </w:tc>
        <w:tc>
          <w:tcPr>
            <w:tcW w:type="dxa" w:w="1800"/>
          </w:tcPr>
          <w:p>
            <w:pPr>
              <w:spacing w:after="0"/>
            </w:pPr>
            <w:r>
              <w:rPr>
                <w:rFonts w:ascii="Arial" w:cs="Arial" w:eastAsia="Arial" w:hAnsi="Arial"/>
                <w:b w:val="false"/>
                <w:bCs w:val="false"/>
                <w:sz w:val="20"/>
                <w:szCs w:val="20"/>
              </w:rPr>
              <w:t xml:space="preserve">64,4 %</w:t>
            </w:r>
          </w:p>
        </w:tc>
        <w:tc>
          <w:tcPr>
            <w:tcW w:type="dxa" w:w="1800"/>
          </w:tcPr>
          <w:p>
            <w:pPr>
              <w:spacing w:after="0"/>
            </w:pPr>
            <w:r>
              <w:rPr>
                <w:rFonts w:ascii="Arial" w:cs="Arial" w:eastAsia="Arial" w:hAnsi="Arial"/>
                <w:b w:val="false"/>
                <w:bCs w:val="false"/>
                <w:sz w:val="20"/>
                <w:szCs w:val="20"/>
              </w:rPr>
              <w:t xml:space="preserve">39,8 %</w:t>
            </w:r>
          </w:p>
        </w:tc>
      </w:tr>
      <w:tr>
        <w:tc>
          <w:tcPr>
            <w:tcW w:type="dxa" w:w="1800"/>
          </w:tcPr>
          <w:p>
            <w:pPr>
              <w:spacing w:after="0"/>
            </w:pPr>
            <w:r>
              <w:rPr>
                <w:rFonts w:ascii="Arial" w:cs="Arial" w:eastAsia="Arial" w:hAnsi="Arial"/>
                <w:b w:val="false"/>
                <w:bCs w:val="false"/>
                <w:sz w:val="20"/>
                <w:szCs w:val="20"/>
              </w:rPr>
              <w:t xml:space="preserve">Sistema multiagente jerárquico</w:t>
            </w:r>
          </w:p>
        </w:tc>
        <w:tc>
          <w:tcPr>
            <w:tcW w:type="dxa" w:w="1800"/>
          </w:tcPr>
          <w:p>
            <w:pPr>
              <w:spacing w:after="0"/>
            </w:pPr>
            <w:r>
              <w:rPr>
                <w:rFonts w:ascii="Arial" w:cs="Arial" w:eastAsia="Arial" w:hAnsi="Arial"/>
                <w:b w:val="false"/>
                <w:bCs w:val="false"/>
                <w:sz w:val="20"/>
                <w:szCs w:val="20"/>
              </w:rPr>
              <w:t xml:space="preserve">60,0 %</w:t>
            </w:r>
          </w:p>
        </w:tc>
        <w:tc>
          <w:tcPr>
            <w:tcW w:type="dxa" w:w="1800"/>
          </w:tcPr>
          <w:p>
            <w:pPr>
              <w:spacing w:after="0"/>
            </w:pPr>
            <w:r>
              <w:rPr>
                <w:rFonts w:ascii="Arial" w:cs="Arial" w:eastAsia="Arial" w:hAnsi="Arial"/>
                <w:b w:val="false"/>
                <w:bCs w:val="false"/>
                <w:sz w:val="20"/>
                <w:szCs w:val="20"/>
              </w:rPr>
              <w:t xml:space="preserve">65,5 %</w:t>
            </w:r>
          </w:p>
        </w:tc>
        <w:tc>
          <w:tcPr>
            <w:tcW w:type="dxa" w:w="1800"/>
          </w:tcPr>
          <w:p>
            <w:pPr>
              <w:spacing w:after="0"/>
            </w:pPr>
            <w:r>
              <w:rPr>
                <w:rFonts w:ascii="Arial" w:cs="Arial" w:eastAsia="Arial" w:hAnsi="Arial"/>
                <w:b w:val="false"/>
                <w:bCs w:val="false"/>
                <w:sz w:val="20"/>
                <w:szCs w:val="20"/>
              </w:rPr>
              <w:t xml:space="preserve">83,3 %</w:t>
            </w:r>
          </w:p>
        </w:tc>
        <w:tc>
          <w:tcPr>
            <w:tcW w:type="dxa" w:w="1800"/>
          </w:tcPr>
          <w:p>
            <w:pPr>
              <w:spacing w:after="0"/>
            </w:pPr>
            <w:r>
              <w:rPr>
                <w:rFonts w:ascii="Arial" w:cs="Arial" w:eastAsia="Arial" w:hAnsi="Arial"/>
                <w:b w:val="false"/>
                <w:bCs w:val="false"/>
                <w:sz w:val="20"/>
                <w:szCs w:val="20"/>
              </w:rPr>
              <w:t xml:space="preserve">73,3 %</w:t>
            </w:r>
          </w:p>
        </w:tc>
      </w:tr>
    </w:tbl>
    <w:p>
      <w:pPr>
        <w:spacing w:after="160"/>
      </w:pPr>
    </w:p>
    <w:p>
      <w:pPr>
        <w:spacing w:after="160" w:line="360" w:lineRule="auto"/>
        <w:ind w:firstLine="425"/>
        <w:jc w:val="both"/>
      </w:pPr>
      <w:r>
        <w:rPr>
          <w:rFonts w:ascii="Arial" w:cs="Arial" w:eastAsia="Arial" w:hAnsi="Arial"/>
          <w:sz w:val="22"/>
          <w:szCs w:val="22"/>
        </w:rPr>
        <w:t xml:space="preserve">Conviene corregir aquí una impresión extendida, que este trabajo compartía antes de leer el artículo. </w:t>
      </w:r>
      <w:r>
        <w:rPr>
          <w:rFonts w:ascii="Arial" w:cs="Arial" w:eastAsia="Arial" w:hAnsi="Arial"/>
          <w:b/>
          <w:bCs/>
          <w:sz w:val="22"/>
          <w:szCs w:val="22"/>
        </w:rPr>
        <w:t xml:space="preserve">MASCA sí se evalúa frente a líneas base</w:t>
      </w:r>
      <w:r>
        <w:rPr>
          <w:rFonts w:ascii="Arial" w:cs="Arial" w:eastAsia="Arial" w:hAnsi="Arial"/>
          <w:sz w:val="22"/>
          <w:szCs w:val="22"/>
        </w:rPr>
        <w:t xml:space="preserve">,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pPr>
        <w:spacing w:after="160" w:line="360" w:lineRule="auto"/>
        <w:ind w:firstLine="425"/>
        <w:jc w:val="both"/>
      </w:pPr>
      <w:r>
        <w:rPr>
          <w:rFonts w:ascii="Arial" w:cs="Arial" w:eastAsia="Arial" w:hAnsi="Arial"/>
          <w:sz w:val="22"/>
          <w:szCs w:val="22"/>
        </w:rPr>
        <w:t xml:space="preserve">La diferencia con este trabajo es otra, más precisa y más interesante. </w:t>
      </w:r>
      <w:r>
        <w:rPr>
          <w:rFonts w:ascii="Arial" w:cs="Arial" w:eastAsia="Arial" w:hAnsi="Arial"/>
          <w:b/>
          <w:bCs/>
          <w:sz w:val="22"/>
          <w:szCs w:val="22"/>
        </w:rPr>
        <w:t xml:space="preserve">Todas las líneas base de MASCA son configuraciones del propio modelo de lenguaje.</w:t>
      </w:r>
      <w:r>
        <w:rPr>
          <w:rFonts w:ascii="Arial" w:cs="Arial" w:eastAsia="Arial" w:hAnsi="Arial"/>
          <w:sz w:val="22"/>
          <w:szCs w:val="22"/>
        </w:rPr>
        <w:t xml:space="preserve"> No hay ninguna comparación contra un modelo estadístico clásico entrenado sobre los mismos datos, que es el método que la propia introducción del artículo señala como estado previo de la práctica. La pregunta que responde es, por tanto, si un sistema multiagente rinde mejor que un agente único; no si el modelo de lenguaje aporta algo frente a no emplearlo.</w:t>
      </w:r>
    </w:p>
    <w:p>
      <w:pPr>
        <w:spacing w:after="160" w:line="360" w:lineRule="auto"/>
        <w:ind w:firstLine="425"/>
        <w:jc w:val="both"/>
      </w:pPr>
      <w:r>
        <w:rPr>
          <w:rFonts w:ascii="Arial" w:cs="Arial" w:eastAsia="Arial" w:hAnsi="Arial"/>
          <w:sz w:val="22"/>
          <w:szCs w:val="22"/>
        </w:rPr>
        <w:t xml:space="preserve">Este trabajo plantea exactamente esa segunda pregunta. La línea base no es otra configuración de agentes: es el detector solo, sin capa de lenguaje. Y la respuesta medida es que no aporta.</w:t>
      </w:r>
    </w:p>
    <w:p>
      <w:pPr>
        <w:spacing w:after="160" w:line="360" w:lineRule="auto"/>
        <w:ind w:firstLine="425"/>
        <w:jc w:val="both"/>
      </w:pPr>
      <w:r>
        <w:rPr>
          <w:rFonts w:ascii="Arial" w:cs="Arial" w:eastAsia="Arial" w:hAnsi="Arial"/>
          <w:sz w:val="22"/>
          <w:szCs w:val="22"/>
        </w:rPr>
        <w:t xml:space="preserve">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pPr>
        <w:spacing w:after="160" w:line="360" w:lineRule="auto"/>
        <w:ind w:firstLine="425"/>
        <w:jc w:val="both"/>
      </w:pPr>
      <w:r>
        <w:rPr>
          <w:rFonts w:ascii="Arial" w:cs="Arial" w:eastAsia="Arial" w:hAnsi="Arial"/>
          <w:sz w:val="22"/>
          <w:szCs w:val="22"/>
        </w:rPr>
        <w:t xml:space="preserve">Dos observaciones adicionales del mismo artículo resultan pertinentes.</w:t>
      </w:r>
    </w:p>
    <w:p>
      <w:pPr>
        <w:spacing w:after="160" w:line="360" w:lineRule="auto"/>
        <w:ind w:firstLine="425"/>
        <w:jc w:val="both"/>
      </w:pPr>
      <w:r>
        <w:rPr>
          <w:rFonts w:ascii="Arial" w:cs="Arial" w:eastAsia="Arial" w:hAnsi="Arial"/>
          <w:sz w:val="22"/>
          <w:szCs w:val="22"/>
        </w:rPr>
        <w:t xml:space="preserve">La primera es que </w:t>
      </w:r>
      <w:r>
        <w:rPr>
          <w:rFonts w:ascii="Arial" w:cs="Arial" w:eastAsia="Arial" w:hAnsi="Arial"/>
          <w:b/>
          <w:bCs/>
          <w:sz w:val="22"/>
          <w:szCs w:val="22"/>
        </w:rPr>
        <w:t xml:space="preserve">la cadena de pensamiento empeora el resultado</w:t>
      </w:r>
      <w:r>
        <w:rPr>
          <w:rFonts w:ascii="Arial" w:cs="Arial" w:eastAsia="Arial" w:hAnsi="Arial"/>
          <w:sz w:val="22"/>
          <w:szCs w:val="22"/>
        </w:rPr>
        <w:t xml:space="preserve">: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pPr>
        <w:spacing w:after="160" w:line="360" w:lineRule="auto"/>
        <w:ind w:firstLine="425"/>
        <w:jc w:val="both"/>
      </w:pPr>
      <w:r>
        <w:rPr>
          <w:rFonts w:ascii="Arial" w:cs="Arial" w:eastAsia="Arial" w:hAnsi="Arial"/>
          <w:sz w:val="22"/>
          <w:szCs w:val="22"/>
        </w:rPr>
        <w:t xml:space="preserve">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ind w:firstLine="425"/>
        <w:jc w:val="both"/>
      </w:pPr>
      <w:r>
        <w:rPr>
          <w:rFonts w:ascii="Arial" w:cs="Arial" w:eastAsia="Arial" w:hAnsi="Arial"/>
          <w:sz w:val="22"/>
          <w:szCs w:val="22"/>
        </w:rPr>
        <w:t xml:space="preserve">La tabla siguiente resume dónde se sitúa este trabajo respecto a las líneas anteriores. Las filas correspondientes a la literatura recogen únicamente afirmaciones verificadas sobre trabajos leídos.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Aspecto</w:t>
            </w:r>
          </w:p>
        </w:tc>
        <w:tc>
          <w:tcPr>
            <w:tcW w:type="dxa" w:w="3000"/>
            <w:shd w:fill="D9D9D9" w:val="clear"/>
          </w:tcPr>
          <w:p>
            <w:pPr>
              <w:spacing w:after="0"/>
            </w:pPr>
            <w:r>
              <w:rPr>
                <w:rFonts w:ascii="Arial" w:cs="Arial" w:eastAsia="Arial" w:hAnsi="Arial"/>
                <w:b/>
                <w:bCs/>
                <w:sz w:val="20"/>
                <w:szCs w:val="20"/>
              </w:rPr>
              <w:t xml:space="preserve">Literatura</w:t>
            </w:r>
          </w:p>
        </w:tc>
        <w:tc>
          <w:tcPr>
            <w:tcW w:type="dxa" w:w="3000"/>
            <w:shd w:fill="D9D9D9" w:val="clear"/>
          </w:tcPr>
          <w:p>
            <w:pPr>
              <w:spacing w:after="0"/>
            </w:pPr>
            <w:r>
              <w:rPr>
                <w:rFonts w:ascii="Arial" w:cs="Arial" w:eastAsia="Arial" w:hAnsi="Arial"/>
                <w:b/>
                <w:bCs/>
                <w:sz w:val="20"/>
                <w:szCs w:val="20"/>
              </w:rPr>
              <w:t xml:space="preserve">Este trabajo</w:t>
            </w:r>
          </w:p>
        </w:tc>
      </w:tr>
      <w:tr>
        <w:tc>
          <w:tcPr>
            <w:tcW w:type="dxa" w:w="3000"/>
          </w:tcPr>
          <w:p>
            <w:pPr>
              <w:spacing w:after="0"/>
            </w:pPr>
            <w:r>
              <w:rPr>
                <w:rFonts w:ascii="Arial" w:cs="Arial" w:eastAsia="Arial" w:hAnsi="Arial"/>
                <w:b w:val="false"/>
                <w:bCs w:val="false"/>
                <w:sz w:val="20"/>
                <w:szCs w:val="20"/>
              </w:rPr>
              <w:t xml:space="preserve">Métrica del detector</w:t>
            </w:r>
          </w:p>
        </w:tc>
        <w:tc>
          <w:tcPr>
            <w:tcW w:type="dxa" w:w="3000"/>
          </w:tcPr>
          <w:p>
            <w:pPr>
              <w:spacing w:after="0"/>
            </w:pPr>
            <w:r>
              <w:rPr>
                <w:rFonts w:ascii="Arial" w:cs="Arial" w:eastAsia="Arial" w:hAnsi="Arial"/>
                <w:b w:val="false"/>
                <w:bCs w:val="false"/>
                <w:sz w:val="20"/>
                <w:szCs w:val="20"/>
              </w:rPr>
              <w:t xml:space="preserve">0,78 a 0,97 de AUC-PR sobre este conjunto</w:t>
            </w:r>
          </w:p>
        </w:tc>
        <w:tc>
          <w:tcPr>
            <w:tcW w:type="dxa" w:w="3000"/>
          </w:tcPr>
          <w:p>
            <w:pPr>
              <w:spacing w:after="0"/>
            </w:pPr>
            <w:r>
              <w:rPr>
                <w:rFonts w:ascii="Arial" w:cs="Arial" w:eastAsia="Arial" w:hAnsi="Arial"/>
                <w:b w:val="false"/>
                <w:bCs w:val="false"/>
                <w:sz w:val="20"/>
                <w:szCs w:val="20"/>
              </w:rPr>
              <w:t xml:space="preserve">0,883 aleatoria y 0,797 temporal</w:t>
            </w:r>
          </w:p>
        </w:tc>
      </w:tr>
      <w:tr>
        <w:tc>
          <w:tcPr>
            <w:tcW w:type="dxa" w:w="3000"/>
          </w:tcPr>
          <w:p>
            <w:pPr>
              <w:spacing w:after="0"/>
            </w:pPr>
            <w:r>
              <w:rPr>
                <w:rFonts w:ascii="Arial" w:cs="Arial" w:eastAsia="Arial" w:hAnsi="Arial"/>
                <w:b w:val="false"/>
                <w:bCs w:val="false"/>
                <w:sz w:val="20"/>
                <w:szCs w:val="20"/>
              </w:rPr>
              <w:t xml:space="preserve">Tratamiento del desbalanceo</w:t>
            </w:r>
          </w:p>
        </w:tc>
        <w:tc>
          <w:tcPr>
            <w:tcW w:type="dxa" w:w="3000"/>
          </w:tcPr>
          <w:p>
            <w:pPr>
              <w:spacing w:after="0"/>
            </w:pPr>
            <w:r>
              <w:rPr>
                <w:rFonts w:ascii="Arial" w:cs="Arial" w:eastAsia="Arial" w:hAnsi="Arial"/>
                <w:b w:val="false"/>
                <w:bCs w:val="false"/>
                <w:sz w:val="20"/>
                <w:szCs w:val="20"/>
              </w:rPr>
              <w:t xml:space="preserve">Remuestreo frecuente, con fuga documentada</w:t>
            </w:r>
          </w:p>
        </w:tc>
        <w:tc>
          <w:tcPr>
            <w:tcW w:type="dxa" w:w="3000"/>
          </w:tcPr>
          <w:p>
            <w:pPr>
              <w:spacing w:after="0"/>
            </w:pPr>
            <w:r>
              <w:rPr>
                <w:rFonts w:ascii="Arial" w:cs="Arial" w:eastAsia="Arial" w:hAnsi="Arial"/>
                <w:b w:val="false"/>
                <w:bCs w:val="false"/>
                <w:sz w:val="20"/>
                <w:szCs w:val="20"/>
              </w:rPr>
              <w:t xml:space="preserve">Ponderación del gradiente, sin remuestreo</w:t>
            </w:r>
          </w:p>
        </w:tc>
      </w:tr>
      <w:tr>
        <w:tc>
          <w:tcPr>
            <w:tcW w:type="dxa" w:w="3000"/>
          </w:tcPr>
          <w:p>
            <w:pPr>
              <w:spacing w:after="0"/>
            </w:pPr>
            <w:r>
              <w:rPr>
                <w:rFonts w:ascii="Arial" w:cs="Arial" w:eastAsia="Arial" w:hAnsi="Arial"/>
                <w:b w:val="false"/>
                <w:bCs w:val="false"/>
                <w:sz w:val="20"/>
                <w:szCs w:val="20"/>
              </w:rPr>
              <w:t xml:space="preserve">Partición</w:t>
            </w:r>
          </w:p>
        </w:tc>
        <w:tc>
          <w:tcPr>
            <w:tcW w:type="dxa" w:w="3000"/>
          </w:tcPr>
          <w:p>
            <w:pPr>
              <w:spacing w:after="0"/>
            </w:pPr>
            <w:r>
              <w:rPr>
                <w:rFonts w:ascii="Arial" w:cs="Arial" w:eastAsia="Arial" w:hAnsi="Arial"/>
                <w:b w:val="false"/>
                <w:bCs w:val="false"/>
                <w:sz w:val="20"/>
                <w:szCs w:val="20"/>
              </w:rPr>
              <w:t xml:space="preserve">Aleatoria casi siempre</w:t>
            </w:r>
          </w:p>
        </w:tc>
        <w:tc>
          <w:tcPr>
            <w:tcW w:type="dxa" w:w="3000"/>
          </w:tcPr>
          <w:p>
            <w:pPr>
              <w:spacing w:after="0"/>
            </w:pPr>
            <w:r>
              <w:rPr>
                <w:rFonts w:ascii="Arial" w:cs="Arial" w:eastAsia="Arial" w:hAnsi="Arial"/>
                <w:b w:val="false"/>
                <w:bCs w:val="false"/>
                <w:sz w:val="20"/>
                <w:szCs w:val="20"/>
              </w:rPr>
              <w:t xml:space="preserve">Aleatoria y temporal</w:t>
            </w:r>
          </w:p>
        </w:tc>
      </w:tr>
      <w:tr>
        <w:tc>
          <w:tcPr>
            <w:tcW w:type="dxa" w:w="3000"/>
          </w:tcPr>
          <w:p>
            <w:pPr>
              <w:spacing w:after="0"/>
            </w:pPr>
            <w:r>
              <w:rPr>
                <w:rFonts w:ascii="Arial" w:cs="Arial" w:eastAsia="Arial" w:hAnsi="Arial"/>
                <w:b w:val="false"/>
                <w:bCs w:val="false"/>
                <w:sz w:val="20"/>
                <w:szCs w:val="20"/>
              </w:rPr>
              <w:t xml:space="preserve">Papel del modelo de lenguaje</w:t>
            </w:r>
          </w:p>
        </w:tc>
        <w:tc>
          <w:tcPr>
            <w:tcW w:type="dxa" w:w="3000"/>
          </w:tcPr>
          <w:p>
            <w:pPr>
              <w:spacing w:after="0"/>
            </w:pPr>
            <w:r>
              <w:rPr>
                <w:rFonts w:ascii="Arial" w:cs="Arial" w:eastAsia="Arial" w:hAnsi="Arial"/>
                <w:b w:val="false"/>
                <w:bCs w:val="false"/>
                <w:sz w:val="20"/>
                <w:szCs w:val="20"/>
              </w:rPr>
              <w:t xml:space="preserve">Clasificar, o verbalizar atribuciones</w:t>
            </w:r>
          </w:p>
        </w:tc>
        <w:tc>
          <w:tcPr>
            <w:tcW w:type="dxa" w:w="3000"/>
          </w:tcPr>
          <w:p>
            <w:pPr>
              <w:spacing w:after="0"/>
            </w:pPr>
            <w:r>
              <w:rPr>
                <w:rFonts w:ascii="Arial" w:cs="Arial" w:eastAsia="Arial" w:hAnsi="Arial"/>
                <w:b w:val="false"/>
                <w:bCs w:val="false"/>
                <w:sz w:val="20"/>
                <w:szCs w:val="20"/>
              </w:rPr>
              <w:t xml:space="preserve">Capa de interpretación medida frente a línea base</w:t>
            </w:r>
          </w:p>
        </w:tc>
      </w:tr>
      <w:tr>
        <w:tc>
          <w:tcPr>
            <w:tcW w:type="dxa" w:w="3000"/>
          </w:tcPr>
          <w:p>
            <w:pPr>
              <w:spacing w:after="0"/>
            </w:pPr>
            <w:r>
              <w:rPr>
                <w:rFonts w:ascii="Arial" w:cs="Arial" w:eastAsia="Arial" w:hAnsi="Arial"/>
                <w:b w:val="false"/>
                <w:bCs w:val="false"/>
                <w:sz w:val="20"/>
                <w:szCs w:val="20"/>
              </w:rPr>
              <w:t xml:space="preserve">Autoridad del modelo</w:t>
            </w:r>
          </w:p>
        </w:tc>
        <w:tc>
          <w:tcPr>
            <w:tcW w:type="dxa" w:w="3000"/>
          </w:tcPr>
          <w:p>
            <w:pPr>
              <w:spacing w:after="0"/>
            </w:pPr>
            <w:r>
              <w:rPr>
                <w:rFonts w:ascii="Arial" w:cs="Arial" w:eastAsia="Arial" w:hAnsi="Arial"/>
                <w:b w:val="false"/>
                <w:bCs w:val="false"/>
                <w:sz w:val="20"/>
                <w:szCs w:val="20"/>
              </w:rPr>
              <w:t xml:space="preserve">Verbaliza, no decide</w:t>
            </w:r>
          </w:p>
        </w:tc>
        <w:tc>
          <w:tcPr>
            <w:tcW w:type="dxa" w:w="3000"/>
          </w:tcPr>
          <w:p>
            <w:pPr>
              <w:spacing w:after="0"/>
            </w:pPr>
            <w:r>
              <w:rPr>
                <w:rFonts w:ascii="Arial" w:cs="Arial" w:eastAsia="Arial" w:hAnsi="Arial"/>
                <w:b w:val="false"/>
                <w:bCs w:val="false"/>
                <w:sz w:val="20"/>
                <w:szCs w:val="20"/>
              </w:rPr>
              <w:t xml:space="preserve">Se le concede autoridad y se mide el coste</w:t>
            </w:r>
          </w:p>
        </w:tc>
      </w:tr>
      <w:tr>
        <w:tc>
          <w:tcPr>
            <w:tcW w:type="dxa" w:w="3000"/>
          </w:tcPr>
          <w:p>
            <w:pPr>
              <w:spacing w:after="0"/>
            </w:pPr>
            <w:r>
              <w:rPr>
                <w:rFonts w:ascii="Arial" w:cs="Arial" w:eastAsia="Arial" w:hAnsi="Arial"/>
                <w:b w:val="false"/>
                <w:bCs w:val="false"/>
                <w:sz w:val="20"/>
                <w:szCs w:val="20"/>
              </w:rPr>
              <w:t xml:space="preserve">Infraestructura</w:t>
            </w:r>
          </w:p>
        </w:tc>
        <w:tc>
          <w:tcPr>
            <w:tcW w:type="dxa" w:w="3000"/>
          </w:tcPr>
          <w:p>
            <w:pPr>
              <w:spacing w:after="0"/>
            </w:pPr>
            <w:r>
              <w:rPr>
                <w:rFonts w:ascii="Arial" w:cs="Arial" w:eastAsia="Arial" w:hAnsi="Arial"/>
                <w:b w:val="false"/>
                <w:bCs w:val="false"/>
                <w:sz w:val="20"/>
                <w:szCs w:val="20"/>
              </w:rPr>
              <w:t xml:space="preserve">Modelos comerciales por interfaz remota</w:t>
            </w:r>
          </w:p>
        </w:tc>
        <w:tc>
          <w:tcPr>
            <w:tcW w:type="dxa" w:w="3000"/>
          </w:tcPr>
          <w:p>
            <w:pPr>
              <w:spacing w:after="0"/>
            </w:pPr>
            <w:r>
              <w:rPr>
                <w:rFonts w:ascii="Arial" w:cs="Arial" w:eastAsia="Arial" w:hAnsi="Arial"/>
                <w:b w:val="false"/>
                <w:bCs w:val="false"/>
                <w:sz w:val="20"/>
                <w:szCs w:val="20"/>
              </w:rPr>
              <w:t xml:space="preserve">Local, hardware de consumo, coste cero</w:t>
            </w:r>
          </w:p>
        </w:tc>
      </w:tr>
      <w:tr>
        <w:tc>
          <w:tcPr>
            <w:tcW w:type="dxa" w:w="3000"/>
          </w:tcPr>
          <w:p>
            <w:pPr>
              <w:spacing w:after="0"/>
            </w:pPr>
            <w:r>
              <w:rPr>
                <w:rFonts w:ascii="Arial" w:cs="Arial" w:eastAsia="Arial" w:hAnsi="Arial"/>
                <w:b w:val="false"/>
                <w:bCs w:val="false"/>
                <w:sz w:val="20"/>
                <w:szCs w:val="20"/>
              </w:rPr>
              <w:t xml:space="preserve">Evaluación del sistema agéntico</w:t>
            </w:r>
          </w:p>
        </w:tc>
        <w:tc>
          <w:tcPr>
            <w:tcW w:type="dxa" w:w="3000"/>
          </w:tcPr>
          <w:p>
            <w:pPr>
              <w:spacing w:after="0"/>
            </w:pPr>
            <w:r>
              <w:rPr>
                <w:rFonts w:ascii="Arial" w:cs="Arial" w:eastAsia="Arial" w:hAnsi="Arial"/>
                <w:b w:val="false"/>
                <w:bCs w:val="false"/>
                <w:sz w:val="20"/>
                <w:szCs w:val="20"/>
              </w:rPr>
              <w:t xml:space="preserve">Casos ilustrativos, con excepciones</w:t>
            </w:r>
          </w:p>
        </w:tc>
        <w:tc>
          <w:tcPr>
            <w:tcW w:type="dxa" w:w="3000"/>
          </w:tcPr>
          <w:p>
            <w:pPr>
              <w:spacing w:after="0"/>
            </w:pPr>
            <w:r>
              <w:rPr>
                <w:rFonts w:ascii="Arial" w:cs="Arial" w:eastAsia="Arial" w:hAnsi="Arial"/>
                <w:b w:val="false"/>
                <w:bCs w:val="false"/>
                <w:sz w:val="20"/>
                <w:szCs w:val="20"/>
              </w:rPr>
              <w:t xml:space="preserve">Ablaciones y contraste estadístico declarado</w:t>
            </w:r>
          </w:p>
        </w:tc>
      </w:tr>
      <w:tr>
        <w:tc>
          <w:tcPr>
            <w:tcW w:type="dxa" w:w="3000"/>
          </w:tcPr>
          <w:p>
            <w:pPr>
              <w:spacing w:after="0"/>
            </w:pPr>
            <w:r>
              <w:rPr>
                <w:rFonts w:ascii="Arial" w:cs="Arial" w:eastAsia="Arial" w:hAnsi="Arial"/>
                <w:b w:val="false"/>
                <w:bCs w:val="false"/>
                <w:sz w:val="20"/>
                <w:szCs w:val="20"/>
              </w:rPr>
              <w:t xml:space="preserve">Modos de fallo</w:t>
            </w:r>
          </w:p>
        </w:tc>
        <w:tc>
          <w:tcPr>
            <w:tcW w:type="dxa" w:w="3000"/>
          </w:tcPr>
          <w:p>
            <w:pPr>
              <w:spacing w:after="0"/>
            </w:pPr>
            <w:r>
              <w:rPr>
                <w:rFonts w:ascii="Arial" w:cs="Arial" w:eastAsia="Arial" w:hAnsi="Arial"/>
                <w:b w:val="false"/>
                <w:bCs w:val="false"/>
                <w:sz w:val="20"/>
                <w:szCs w:val="20"/>
              </w:rPr>
              <w:t xml:space="preserve">Poco documentados</w:t>
            </w:r>
          </w:p>
        </w:tc>
        <w:tc>
          <w:tcPr>
            <w:tcW w:type="dxa" w:w="3000"/>
          </w:tcPr>
          <w:p>
            <w:pPr>
              <w:spacing w:after="0"/>
            </w:pPr>
            <w:r>
              <w:rPr>
                <w:rFonts w:ascii="Arial" w:cs="Arial" w:eastAsia="Arial" w:hAnsi="Arial"/>
                <w:b w:val="false"/>
                <w:bCs w:val="false"/>
                <w:sz w:val="20"/>
                <w:szCs w:val="20"/>
              </w:rPr>
              <w:t xml:space="preserve">Taxonomía de seis fallos silenciosos, con corrección</w:t>
            </w:r>
          </w:p>
        </w:tc>
      </w:tr>
      <w:tr>
        <w:tc>
          <w:tcPr>
            <w:tcW w:type="dxa" w:w="3000"/>
          </w:tcPr>
          <w:p>
            <w:pPr>
              <w:spacing w:after="0"/>
            </w:pPr>
            <w:r>
              <w:rPr>
                <w:rFonts w:ascii="Arial" w:cs="Arial" w:eastAsia="Arial" w:hAnsi="Arial"/>
                <w:b w:val="false"/>
                <w:bCs w:val="false"/>
                <w:sz w:val="20"/>
                <w:szCs w:val="20"/>
              </w:rPr>
              <w:t xml:space="preserve">Reproducibilidad entre ejecuciones</w:t>
            </w:r>
          </w:p>
        </w:tc>
        <w:tc>
          <w:tcPr>
            <w:tcW w:type="dxa" w:w="3000"/>
          </w:tcPr>
          <w:p>
            <w:pPr>
              <w:spacing w:after="0"/>
            </w:pPr>
            <w:r>
              <w:rPr>
                <w:rFonts w:ascii="Arial" w:cs="Arial" w:eastAsia="Arial" w:hAnsi="Arial"/>
                <w:b w:val="false"/>
                <w:bCs w:val="false"/>
                <w:sz w:val="20"/>
                <w:szCs w:val="20"/>
              </w:rPr>
              <w:t xml:space="preserve">Rara vez medida</w:t>
            </w:r>
          </w:p>
        </w:tc>
        <w:tc>
          <w:tcPr>
            <w:tcW w:type="dxa" w:w="3000"/>
          </w:tcPr>
          <w:p>
            <w:pPr>
              <w:spacing w:after="0"/>
            </w:pPr>
            <w:r>
              <w:rPr>
                <w:rFonts w:ascii="Arial" w:cs="Arial" w:eastAsia="Arial" w:hAnsi="Arial"/>
                <w:b w:val="false"/>
                <w:bCs w:val="false"/>
                <w:sz w:val="20"/>
                <w:szCs w:val="20"/>
              </w:rPr>
              <w:t xml:space="preserve">Medida ante entradas idénticas</w:t>
            </w:r>
          </w:p>
        </w:tc>
      </w:tr>
      <w:tr>
        <w:tc>
          <w:tcPr>
            <w:tcW w:type="dxa" w:w="3000"/>
          </w:tcPr>
          <w:p>
            <w:pPr>
              <w:spacing w:after="0"/>
            </w:pPr>
            <w:r>
              <w:rPr>
                <w:rFonts w:ascii="Arial" w:cs="Arial" w:eastAsia="Arial" w:hAnsi="Arial"/>
                <w:b w:val="false"/>
                <w:bCs w:val="false"/>
                <w:sz w:val="20"/>
                <w:szCs w:val="20"/>
              </w:rPr>
              <w:t xml:space="preserve">Evaluación de la explicación</w:t>
            </w:r>
          </w:p>
        </w:tc>
        <w:tc>
          <w:tcPr>
            <w:tcW w:type="dxa" w:w="3000"/>
          </w:tcPr>
          <w:p>
            <w:pPr>
              <w:spacing w:after="0"/>
            </w:pPr>
            <w:r>
              <w:rPr>
                <w:rFonts w:ascii="Arial" w:cs="Arial" w:eastAsia="Arial" w:hAnsi="Arial"/>
                <w:b w:val="false"/>
                <w:bCs w:val="false"/>
                <w:sz w:val="20"/>
                <w:szCs w:val="20"/>
              </w:rPr>
              <w:t xml:space="preserve">Fidelidad y plausibilidad, propuestas como criterios</w:t>
            </w:r>
          </w:p>
        </w:tc>
        <w:tc>
          <w:tcPr>
            <w:tcW w:type="dxa" w:w="3000"/>
          </w:tcPr>
          <w:p>
            <w:pPr>
              <w:spacing w:after="0"/>
            </w:pPr>
            <w:r>
              <w:rPr>
                <w:rFonts w:ascii="Arial" w:cs="Arial" w:eastAsia="Arial" w:hAnsi="Arial"/>
                <w:b w:val="false"/>
                <w:bCs w:val="false"/>
                <w:sz w:val="20"/>
                <w:szCs w:val="20"/>
              </w:rPr>
              <w:t xml:space="preserve">Medida de consistencia entre explicación y decisión, sobre un sistema en operación</w:t>
            </w:r>
          </w:p>
        </w:tc>
      </w:tr>
    </w:tbl>
    <w:p>
      <w:pPr>
        <w:spacing w:after="160"/>
      </w:pPr>
    </w:p>
    <w:p>
      <w:pPr>
        <w:spacing w:after="160" w:line="360" w:lineRule="auto"/>
        <w:ind w:firstLine="425"/>
        <w:jc w:val="both"/>
      </w:pPr>
      <w:r>
        <w:rPr>
          <w:rFonts w:ascii="Arial" w:cs="Arial" w:eastAsia="Arial" w:hAnsi="Arial"/>
          <w:sz w:val="22"/>
          <w:szCs w:val="22"/>
        </w:rPr>
        <w:t xml:space="preserve">La aportación no es que el sistema detecte mejor el fraude, porque no lo hace. Puede formularse así:</w:t>
      </w:r>
    </w:p>
    <w:p>
      <w:pPr>
        <w:spacing w:after="160" w:line="360" w:lineRule="auto"/>
        <w:ind w:firstLine="425"/>
        <w:jc w:val="both"/>
      </w:pPr>
      <w:r>
        <w:rPr>
          <w:rFonts w:ascii="Arial" w:cs="Arial" w:eastAsia="Arial" w:hAnsi="Arial"/>
          <w:sz w:val="22"/>
          <w:szCs w:val="22"/>
        </w:rPr>
        <w:t xml:space="preserve">&gt; La literatura propone arquitecturas multiagente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pPr>
        <w:spacing w:after="160" w:line="360" w:lineRule="auto"/>
        <w:ind w:firstLine="425"/>
        <w:jc w:val="both"/>
      </w:pPr>
      <w:r>
        <w:rPr>
          <w:rFonts w:ascii="Arial" w:cs="Arial" w:eastAsia="Arial" w:hAnsi="Arial"/>
          <w:sz w:val="22"/>
          <w:szCs w:val="22"/>
        </w:rPr>
        <w:t xml:space="preserve">Un resultado negativo bien medido, con línea base y con el alcance de sus contrastes declarado, constituye una aportación legítima. En un campo donde predominan las propuestas arquitectónicas ilustradas con casos, resulta además menos frecuente que uno positivo.</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ind w:firstLine="425"/>
        <w:jc w:val="both"/>
      </w:pPr>
      <w:r>
        <w:rPr>
          <w:rFonts w:ascii="Arial" w:cs="Arial" w:eastAsia="Arial" w:hAnsi="Arial"/>
          <w:sz w:val="22"/>
          <w:szCs w:val="22"/>
        </w:rPr>
        <w:t xml:space="preserve">El plan acordado distribuía las 300 horas nominales del trabajo entre abril y octubre, con la infraestructura SAP como primera tarea del camino crítico y la redacción concentrada en el tramo final.</w:t>
      </w:r>
    </w:p>
    <w:p>
      <w:pPr>
        <w:spacing w:after="80" w:before="240"/>
        <w:jc w:val="center"/>
      </w:pPr>
      <w:r>
        <w:drawing>
          <wp:inline distT="0" distB="0" distL="0" distR="0">
            <wp:extent cx="54006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238375"/>
                    </a:xfrm>
                    <a:prstGeom prst="rect">
                      <a:avLst/>
                    </a:prstGeom>
                  </pic:spPr>
                </pic:pic>
              </a:graphicData>
            </a:graphic>
          </wp:inline>
        </w:drawing>
      </w:r>
    </w:p>
    <w:p>
      <w:pPr>
        <w:spacing w:after="240"/>
        <w:jc w:val="center"/>
      </w:pPr>
      <w:r>
        <w:rPr>
          <w:i/>
          <w:iCs/>
          <w:sz w:val="20"/>
          <w:szCs w:val="20"/>
        </w:rPr>
        <w:t xml:space="preserve">Figura 2. Planificación inicial acordada el 28 de abril de 2026. Todas las tareas técnicas dependen de la disponibilidad del entorno SAP.</w:t>
      </w:r>
    </w:p>
    <w:p>
      <w:pPr>
        <w:spacing w:after="160" w:line="360" w:lineRule="auto"/>
        <w:ind w:firstLine="425"/>
        <w:jc w:val="both"/>
      </w:pPr>
      <w:r>
        <w:rPr>
          <w:rFonts w:ascii="Arial" w:cs="Arial" w:eastAsia="Arial" w:hAnsi="Arial"/>
          <w:sz w:val="22"/>
          <w:szCs w:val="22"/>
        </w:rPr>
        <w:t xml:space="preserve">La estructura del diagrama muestra por sí sola el problema: cinco de las seis tareas dependen en cadena de un recurso externo sobre el que el proyecto no tenía control alguno.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p>
      <w:pPr>
        <w:spacing w:after="160" w:line="360" w:lineRule="auto"/>
        <w:ind w:firstLine="425"/>
        <w:jc w:val="both"/>
      </w:pPr>
      <w:r>
        <w:rPr>
          <w:rFonts w:ascii="Arial" w:cs="Arial" w:eastAsia="Arial" w:hAnsi="Arial"/>
          <w:sz w:val="22"/>
          <w:szCs w:val="22"/>
        </w:rPr>
        <w:t xml:space="preserve">El seguimiento del esfuerzo no se llevó mediante un parte de horas diario. Se reconstruye aquí a partir de la evidencia que el propio proyecto ha ido dejando: fechas y horas de las entregas al repositorio, marcas de tiempo de los ficheros de resultados, que registran el instante exacto de cada ejecución, y las reuniones mantenidas.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Evidencia</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Reunión de definición y adjudicación registrada</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trabajo</w:t>
            </w:r>
          </w:p>
        </w:tc>
      </w:tr>
      <w:tr>
        <w:tc>
          <w:tcPr>
            <w:tcW w:type="dxa" w:w="1800"/>
          </w:tcPr>
          <w:p>
            <w:pPr>
              <w:spacing w:after="0"/>
            </w:pPr>
            <w:r>
              <w:rPr>
                <w:rFonts w:ascii="Arial" w:cs="Arial" w:eastAsia="Arial" w:hAnsi="Arial"/>
                <w:b w:val="false"/>
                <w:bCs w:val="false"/>
                <w:sz w:val="20"/>
                <w:szCs w:val="20"/>
              </w:rPr>
              <w:t xml:space="preserve">7 jul – 26 jul</w:t>
            </w:r>
          </w:p>
        </w:tc>
        <w:tc>
          <w:tcPr>
            <w:tcW w:type="dxa" w:w="1800"/>
          </w:tcPr>
          <w:p>
            <w:pPr>
              <w:spacing w:after="0"/>
            </w:pPr>
            <w:r>
              <w:rPr>
                <w:rFonts w:ascii="Arial" w:cs="Arial" w:eastAsia="Arial" w:hAnsi="Arial"/>
                <w:b w:val="false"/>
                <w:bCs w:val="false"/>
                <w:sz w:val="20"/>
                <w:szCs w:val="20"/>
              </w:rPr>
              <w:t xml:space="preserve">20</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70 h</w:t>
            </w:r>
          </w:p>
        </w:tc>
        <w:tc>
          <w:tcPr>
            <w:tcW w:type="dxa" w:w="1800"/>
          </w:tcPr>
          <w:p>
            <w:pPr>
              <w:spacing w:after="0"/>
            </w:pPr>
            <w:r>
              <w:rPr>
                <w:rFonts w:ascii="Arial" w:cs="Arial" w:eastAsia="Arial" w:hAnsi="Arial"/>
                <w:b w:val="false"/>
                <w:bCs w:val="false"/>
                <w:sz w:val="20"/>
                <w:szCs w:val="20"/>
              </w:rPr>
              <w:t xml:space="preserve">Instalación del entorno, bloqueo y reorientación</w:t>
            </w:r>
          </w:p>
        </w:tc>
      </w:tr>
      <w:tr>
        <w:tc>
          <w:tcPr>
            <w:tcW w:type="dxa" w:w="1800"/>
          </w:tcPr>
          <w:p>
            <w:pPr>
              <w:spacing w:after="0"/>
            </w:pPr>
            <w:r>
              <w:rPr>
                <w:rFonts w:ascii="Arial" w:cs="Arial" w:eastAsia="Arial" w:hAnsi="Arial"/>
                <w:b w:val="false"/>
                <w:bCs w:val="false"/>
                <w:sz w:val="20"/>
                <w:szCs w:val="20"/>
              </w:rPr>
              <w:t xml:space="preserve">27 jul – 31 jul</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20 h</w:t>
            </w:r>
          </w:p>
        </w:tc>
        <w:tc>
          <w:tcPr>
            <w:tcW w:type="dxa" w:w="1800"/>
          </w:tcPr>
          <w:p>
            <w:pPr>
              <w:spacing w:after="0"/>
            </w:pPr>
            <w:r>
              <w:rPr>
                <w:rFonts w:ascii="Arial" w:cs="Arial" w:eastAsia="Arial" w:hAnsi="Arial"/>
                <w:b w:val="false"/>
                <w:bCs w:val="false"/>
                <w:sz w:val="20"/>
                <w:szCs w:val="20"/>
              </w:rPr>
              <w:t xml:space="preserve">8 entregas y 44 ficheros de resultados</w:t>
            </w:r>
          </w:p>
        </w:tc>
      </w:tr>
      <w:tr>
        <w:tc>
          <w:tcPr>
            <w:tcW w:type="dxa" w:w="1800"/>
          </w:tcPr>
          <w:p>
            <w:pPr>
              <w:spacing w:after="0"/>
            </w:pPr>
            <w:r>
              <w:rPr>
                <w:rFonts w:ascii="Arial" w:cs="Arial" w:eastAsia="Arial" w:hAnsi="Arial"/>
                <w:b w:val="false"/>
                <w:bCs w:val="false"/>
                <w:sz w:val="20"/>
                <w:szCs w:val="20"/>
              </w:rPr>
              <w:t xml:space="preserve">1 ago – 14 ago</w:t>
            </w:r>
          </w:p>
        </w:tc>
        <w:tc>
          <w:tcPr>
            <w:tcW w:type="dxa" w:w="1800"/>
          </w:tcPr>
          <w:p>
            <w:pPr>
              <w:spacing w:after="0"/>
            </w:pPr>
            <w:r>
              <w:rPr>
                <w:rFonts w:ascii="Arial" w:cs="Arial" w:eastAsia="Arial" w:hAnsi="Arial"/>
                <w:b w:val="false"/>
                <w:bCs w:val="false"/>
                <w:sz w:val="20"/>
                <w:szCs w:val="20"/>
              </w:rPr>
              <w:t xml:space="preserve">14</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56 h</w:t>
            </w:r>
          </w:p>
        </w:tc>
        <w:tc>
          <w:tcPr>
            <w:tcW w:type="dxa" w:w="1800"/>
          </w:tcPr>
          <w:p>
            <w:pPr>
              <w:spacing w:after="0"/>
            </w:pPr>
            <w:r>
              <w:rPr>
                <w:rFonts w:ascii="Arial" w:cs="Arial" w:eastAsia="Arial" w:hAnsi="Arial"/>
                <w:b w:val="false"/>
                <w:bCs w:val="false"/>
                <w:sz w:val="20"/>
                <w:szCs w:val="20"/>
              </w:rPr>
              <w:t xml:space="preserve">14 entregas, 64 ficheros de resultados, 13.831 líneas</w:t>
            </w:r>
          </w:p>
        </w:tc>
      </w:tr>
      <w:tr>
        <w:tc>
          <w:tcPr>
            <w:tcW w:type="dxa" w:w="1800"/>
          </w:tcPr>
          <w:p>
            <w:pPr>
              <w:spacing w:after="0"/>
            </w:pPr>
            <w:r>
              <w:rPr>
                <w:rFonts w:ascii="Arial" w:cs="Arial" w:eastAsia="Arial" w:hAnsi="Arial"/>
                <w:b w:val="false"/>
                <w:bCs w:val="false"/>
                <w:sz w:val="20"/>
                <w:szCs w:val="20"/>
              </w:rPr>
              <w:t xml:space="preserve">15 ago – 30 ago</w:t>
            </w:r>
          </w:p>
        </w:tc>
        <w:tc>
          <w:tcPr>
            <w:tcW w:type="dxa" w:w="1800"/>
          </w:tcPr>
          <w:p>
            <w:pPr>
              <w:spacing w:after="0"/>
            </w:pPr>
            <w:r>
              <w:rPr>
                <w:rFonts w:ascii="Arial" w:cs="Arial" w:eastAsia="Arial" w:hAnsi="Arial"/>
                <w:b w:val="false"/>
                <w:bCs w:val="false"/>
                <w:sz w:val="20"/>
                <w:szCs w:val="20"/>
              </w:rPr>
              <w:t xml:space="preserve">16</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 60 h (estimación)</w:t>
            </w:r>
          </w:p>
        </w:tc>
        <w:tc>
          <w:tcPr>
            <w:tcW w:type="dxa" w:w="1800"/>
          </w:tcPr>
          <w:p>
            <w:pPr>
              <w:spacing w:after="0"/>
            </w:pPr>
            <w:r>
              <w:rPr>
                <w:rFonts w:ascii="Arial" w:cs="Arial" w:eastAsia="Arial" w:hAnsi="Arial"/>
                <w:b w:val="false"/>
                <w:bCs w:val="false"/>
                <w:sz w:val="20"/>
                <w:szCs w:val="20"/>
              </w:rPr>
              <w:t xml:space="preserve">Demostrador web, 19 capturas, dataset Sparkov, ajuste QLoRA, comparativa con AirLLM</w:t>
            </w:r>
          </w:p>
        </w:tc>
      </w:tr>
      <w:tr>
        <w:tc>
          <w:tcPr>
            <w:tcW w:type="dxa" w:w="1800"/>
          </w:tcPr>
          <w:p>
            <w:pPr>
              <w:spacing w:after="0"/>
            </w:pPr>
            <w:r>
              <w:rPr>
                <w:rFonts w:ascii="Arial" w:cs="Arial" w:eastAsia="Arial" w:hAnsi="Arial"/>
                <w:b w:val="false"/>
                <w:bCs w:val="false"/>
                <w:sz w:val="20"/>
                <w:szCs w:val="20"/>
              </w:rPr>
              <w:t xml:space="preserve">15 ago – 30 ago</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 25 h (estimación)</w:t>
            </w:r>
          </w:p>
        </w:tc>
        <w:tc>
          <w:tcPr>
            <w:tcW w:type="dxa" w:w="1800"/>
          </w:tcPr>
          <w:p>
            <w:pPr>
              <w:spacing w:after="0"/>
            </w:pPr>
            <w:r>
              <w:rPr>
                <w:rFonts w:ascii="Arial" w:cs="Arial" w:eastAsia="Arial" w:hAnsi="Arial"/>
                <w:b w:val="false"/>
                <w:bCs w:val="false"/>
                <w:sz w:val="20"/>
                <w:szCs w:val="20"/>
              </w:rPr>
              <w:t xml:space="preserve">Redacción y revisión de la memoria: capítulo 4 reescrito, secciones 5.13 y 5.14, capítulo 6 revisado dos veces</w:t>
            </w:r>
          </w:p>
        </w:tc>
      </w:tr>
      <w:tr>
        <w:tc>
          <w:tcPr>
            <w:tcW w:type="dxa" w:w="1800"/>
          </w:tcPr>
          <w:p>
            <w:pPr>
              <w:spacing w:after="0"/>
            </w:pPr>
            <w:r>
              <w:rPr>
                <w:rFonts w:ascii="Arial" w:cs="Arial" w:eastAsia="Arial" w:hAnsi="Arial"/>
                <w:b w:val="false"/>
                <w:bCs w:val="false"/>
                <w:sz w:val="20"/>
                <w:szCs w:val="20"/>
              </w:rPr>
              <w:t xml:space="preserve">1 ago – 30 ago</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 20 h (estimación)</w:t>
            </w:r>
          </w:p>
        </w:tc>
        <w:tc>
          <w:tcPr>
            <w:tcW w:type="dxa" w:w="1800"/>
          </w:tcPr>
          <w:p>
            <w:pPr>
              <w:spacing w:after="0"/>
            </w:pPr>
            <w:r>
              <w:rPr>
                <w:rFonts w:ascii="Arial" w:cs="Arial" w:eastAsia="Arial" w:hAnsi="Arial"/>
                <w:b w:val="false"/>
                <w:bCs w:val="false"/>
                <w:sz w:val="20"/>
                <w:szCs w:val="20"/>
              </w:rPr>
              <w:t xml:space="preserve">Búsqueda y lectura de los ocho trabajos del capítulo 2, y redacción del posicionamiento (2.6)</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**125**</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 256 h**</w:t>
            </w:r>
          </w:p>
        </w:tc>
        <w:tc>
          <w:tcPr>
            <w:tcW w:type="dxa" w:w="1800"/>
          </w:tcPr>
          <w:p>
            <w:pPr>
              <w:spacing w:after="0"/>
            </w:pPr>
            <w:r>
              <w:rPr>
                <w:rFonts w:ascii="Arial" w:cs="Arial" w:eastAsia="Arial" w:hAnsi="Arial"/>
                <w:b w:val="false"/>
                <w:bCs w:val="false"/>
                <w:sz w:val="20"/>
                <w:szCs w:val="20"/>
              </w:rPr>
              <w:t xml:space="preserve">**≥ 85 %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Las franjas horarias que registran los ficheros de resultados delimitan las jornadas del último tramo: entre el 2 y el 6 de agosto hay actividad desde las 00:57 hasta las 21:31 según el día. En ese periodo se cerró el objetivo específico 4 —incluida una ejecución desatendida de siete horas y cuarenta minutos—, se construyeron dos guiones de experimentación completos, se leyeron cinco trabajos de la literatura y se redactó la memoria.</w:t>
      </w:r>
    </w:p>
    <w:p>
      <w:pPr>
        <w:spacing w:after="160" w:line="360" w:lineRule="auto"/>
        <w:ind w:firstLine="425"/>
        <w:jc w:val="both"/>
      </w:pPr>
      <w:r>
        <w:rPr>
          <w:rFonts w:ascii="Arial" w:cs="Arial" w:eastAsia="Arial" w:hAnsi="Arial"/>
          <w:sz w:val="22"/>
          <w:szCs w:val="22"/>
        </w:rPr>
        <w:t xml:space="preserve">El tramo del 15 al 30 de agosto no se reconstruye con el mismo detalle que los anteriores: la evidencia documental (commits del 18, 20, 21, 25 y 26 de agosto; entrenamiento QLoRA de 29,6 horas, con dos apagones del equipo de por medio; ejecución de AirLLM de 2 h 28 min) confirma en qué días hubo trabajo, pero no cuántas horas activas exactamente, y de ese entrenamiento y esa ejecución la mayor parte fue cómputo desatendido y no dedicación. Las cifras de 60, 25 y 20 horas son estimaciones propias a la baja, no una reconstrucción a partir de registros; se reportan por separado porque cubren trabajo de naturaleza distinta —ejecución técnica, redacción y revisión del texto, y búsqueda y lectura de literatura— aunque las tres se solapan en el calendario. La última no se limita a agosto: la búsqueda de trabajos relacionados empezó nada más reorientar el proyecto a finales de julio y continuó según el capítulo 2 lo fue necesitando.</w:t>
      </w:r>
    </w:p>
    <w:p>
      <w:pPr>
        <w:pStyle w:val="Heading3"/>
        <w:spacing w:after="200" w:before="360"/>
      </w:pPr>
      <w:r>
        <w:rPr>
          <w:rFonts w:ascii="Arial" w:cs="Arial" w:eastAsia="Arial" w:hAnsi="Arial"/>
          <w:b/>
          <w:bCs/>
          <w:color w:val="000000"/>
          <w:sz w:val="24"/>
          <w:szCs w:val="24"/>
        </w:rPr>
        <w:t xml:space="preserve">Sobre la desviación</w:t>
      </w:r>
    </w:p>
    <w:p>
      <w:pPr>
        <w:spacing w:after="160" w:line="360" w:lineRule="auto"/>
        <w:ind w:firstLine="425"/>
        <w:jc w:val="both"/>
      </w:pPr>
      <w:r>
        <w:rPr>
          <w:rFonts w:ascii="Arial" w:cs="Arial" w:eastAsia="Arial" w:hAnsi="Arial"/>
          <w:sz w:val="22"/>
          <w:szCs w:val="22"/>
        </w:rPr>
        <w:t xml:space="preserve">El proyecto se sitúa en torno al 85 % de la dedicación nominal, con la fase experimental y las dos extensiones exploratorias (Sparkov, QLoRA) cerradas. La explicación de que el conjunto quede por debajo de las 300 h nominales pese al volumen de trabajo hecho está en el capítulo 4: al desaparecer la dependencia del entorno externo, el desarrollo técnico que la planificación inicial situaba en cuatro meses se resolvió en poco más de dos semanas. La reorientación, que fue el mayor contratiempo del proyecto, redujo a la vez su coste de ejecución.</w:t>
      </w:r>
    </w:p>
    <w:p>
      <w:pPr>
        <w:spacing w:after="160" w:line="360" w:lineRule="auto"/>
        <w:ind w:firstLine="425"/>
        <w:jc w:val="both"/>
      </w:pPr>
      <w:r>
        <w:rPr>
          <w:rFonts w:ascii="Arial" w:cs="Arial" w:eastAsia="Arial" w:hAnsi="Arial"/>
          <w:sz w:val="22"/>
          <w:szCs w:val="22"/>
        </w:rPr>
        <w:t xml:space="preserve">El esfuerzo restante se destina a la relectura final de la memoria y a la preparación de la defensa, descritas en 3.7.</w:t>
      </w:r>
    </w:p>
    <w:p>
      <w:pPr>
        <w:pStyle w:val="Heading2"/>
        <w:spacing w:after="200" w:before="360"/>
      </w:pPr>
      <w:r>
        <w:rPr>
          <w:rFonts w:ascii="Arial" w:cs="Arial" w:eastAsia="Arial" w:hAnsi="Arial"/>
          <w:b/>
          <w:bCs/>
          <w:color w:val="000000"/>
          <w:sz w:val="26"/>
          <w:szCs w:val="26"/>
        </w:rPr>
        <w:t xml:space="preserve">3.7 Plan hasta el cierre</w:t>
      </w:r>
    </w:p>
    <w:p>
      <w:pPr>
        <w:spacing w:after="80" w:before="240"/>
        <w:jc w:val="center"/>
      </w:pPr>
      <w:r>
        <w:drawing>
          <wp:inline distT="0" distB="0" distL="0" distR="0">
            <wp:extent cx="54006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714625"/>
                    </a:xfrm>
                    <a:prstGeom prst="rect">
                      <a:avLst/>
                    </a:prstGeom>
                  </pic:spPr>
                </pic:pic>
              </a:graphicData>
            </a:graphic>
          </wp:inline>
        </w:drawing>
      </w:r>
    </w:p>
    <w:p>
      <w:pPr>
        <w:spacing w:after="240"/>
        <w:jc w:val="center"/>
      </w:pPr>
      <w:r>
        <w:rPr>
          <w:i/>
          <w:iCs/>
          <w:sz w:val="20"/>
          <w:szCs w:val="20"/>
        </w:rPr>
        <w:t xml:space="preserve">Figura 3. Ejecución real y plan hasta el cierre. En rojo, el bloqueo del entorno y la reorientación consiguiente.</w:t>
      </w:r>
    </w:p>
    <w:p>
      <w:pPr>
        <w:spacing w:after="160" w:line="360" w:lineRule="auto"/>
        <w:ind w:firstLine="425"/>
        <w:jc w:val="both"/>
      </w:pPr>
      <w:r>
        <w:rPr>
          <w:rFonts w:ascii="Arial" w:cs="Arial" w:eastAsia="Arial" w:hAnsi="Arial"/>
          <w:sz w:val="22"/>
          <w:szCs w:val="22"/>
        </w:rPr>
        <w:t xml:space="preserve">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pPr>
        <w:spacing w:after="160" w:line="360" w:lineRule="auto"/>
        <w:ind w:firstLine="425"/>
        <w:jc w:val="both"/>
      </w:pPr>
      <w:r>
        <w:rPr>
          <w:rFonts w:ascii="Arial" w:cs="Arial" w:eastAsia="Arial" w:hAnsi="Arial"/>
          <w:sz w:val="22"/>
          <w:szCs w:val="22"/>
        </w:rPr>
        <w:t xml:space="preserve">El plan restante invierte la proporción entre experimentación y redacción respecto a lo hecho hasta ahora, por una razón deliberada: la fase experimental está cerrada y el riesgo dominante pasa a ser la subestimación del tiempo de escritura.</w:t>
      </w:r>
    </w:p>
    <w:p>
      <w:pPr>
        <w:spacing w:after="160" w:line="360" w:lineRule="auto"/>
        <w:ind w:firstLine="425"/>
        <w:jc w:val="both"/>
      </w:pPr>
      <w:r>
        <w:rPr>
          <w:rFonts w:ascii="Arial" w:cs="Arial" w:eastAsia="Arial" w:hAnsi="Arial"/>
          <w:sz w:val="22"/>
          <w:szCs w:val="22"/>
        </w:rPr>
        <w:t xml:space="preserve">A partir del 31 de agosto se inicia una relectura completa de la memoria, capítulo por capítulo, de la que se espera que surjan dudas y correcciones puntuales de contenido que se resolverán sobre la marcha; ese tiempo no está incluido en la cifra de 3.6 porque todavía no se ha empleado. Queda además por confirmar si la defensa exige una presentación aparte, que en ese caso se sumaría al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80" w:before="240"/>
        <w:jc w:val="center"/>
      </w:pPr>
      <w:r>
        <w:drawing>
          <wp:inline distT="0" distB="0" distL="0" distR="0">
            <wp:extent cx="5400675" cy="1233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2334875"/>
                    </a:xfrm>
                    <a:prstGeom prst="rect">
                      <a:avLst/>
                    </a:prstGeom>
                  </pic:spPr>
                </pic:pic>
              </a:graphicData>
            </a:graphic>
          </wp:inline>
        </w:drawing>
      </w:r>
    </w:p>
    <w:p>
      <w:pPr>
        <w:spacing w:after="240"/>
        <w:jc w:val="center"/>
      </w:pPr>
      <w:r>
        <w:rPr>
          <w:i/>
          <w:iCs/>
          <w:sz w:val="20"/>
          <w:szCs w:val="20"/>
        </w:rPr>
        <w:t xml:space="preserve">Figura 4. Arquitectura del sistema y recorrido completo de un turno. En azul los componentes deterministas, en rojo los estocásticos y en verde la comprobación automática.</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80" w:before="240"/>
        <w:jc w:val="center"/>
      </w:pPr>
      <w:r>
        <w:drawing>
          <wp:inline distT="0" distB="0" distL="0" distR="0">
            <wp:extent cx="5400675"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181850"/>
                    </a:xfrm>
                    <a:prstGeom prst="rect">
                      <a:avLst/>
                    </a:prstGeom>
                  </pic:spPr>
                </pic:pic>
              </a:graphicData>
            </a:graphic>
          </wp:inline>
        </w:drawing>
      </w:r>
    </w:p>
    <w:p>
      <w:pPr>
        <w:spacing w:after="240"/>
        <w:jc w:val="center"/>
      </w:pPr>
      <w:r>
        <w:rPr>
          <w:i/>
          <w:iCs/>
          <w:sz w:val="20"/>
          <w:szCs w:val="20"/>
        </w:rPr>
        <w:t xml:space="preserve">Figura 5. Recorrido de un caso individual. El Investigador produce dos salidas, el párrafo explicativo y el veredicto, que alimentan destinos distintos: la sección 5.12 muestra que no se corresponden entre sí.</w:t>
      </w:r>
    </w:p>
    <w:p>
      <w:pPr>
        <w:spacing w:after="80" w:before="240"/>
        <w:jc w:val="center"/>
      </w:pPr>
      <w:r>
        <w:drawing>
          <wp:inline distT="0" distB="0" distL="0" distR="0">
            <wp:extent cx="54006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419600"/>
                    </a:xfrm>
                    <a:prstGeom prst="rect">
                      <a:avLst/>
                    </a:prstGeom>
                  </pic:spPr>
                </pic:pic>
              </a:graphicData>
            </a:graphic>
          </wp:inline>
        </w:drawing>
      </w:r>
    </w:p>
    <w:p>
      <w:pPr>
        <w:spacing w:after="240"/>
        <w:jc w:val="center"/>
      </w:pPr>
      <w:r>
        <w:rPr>
          <w:i/>
          <w:iCs/>
          <w:sz w:val="20"/>
          <w:szCs w:val="20"/>
        </w:rPr>
        <w:t xml:space="preserve">Figura 6. El caso 55 en el demostrador: a la izquierda, lo que calcula el detector; a la derecha, el dossier literal que recibe el modelo. Probabilidad 0,067, importe 2,22 EUR, y es fraude real.</w:t>
      </w: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7. Distribución de importes por clase sobre el conjunto completo. El escalón vertical del panel izquierdo corresponde a las transacciones de exactamente un euro: un tercio de los fraudes lo son.</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spacing w:after="80" w:before="240"/>
        <w:jc w:val="center"/>
      </w:pPr>
      <w:r>
        <w:drawing>
          <wp:inline distT="0" distB="0" distL="0" distR="0">
            <wp:extent cx="54006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1914525"/>
                    </a:xfrm>
                    <a:prstGeom prst="rect">
                      <a:avLst/>
                    </a:prstGeom>
                  </pic:spPr>
                </pic:pic>
              </a:graphicData>
            </a:graphic>
          </wp:inline>
        </w:drawing>
      </w:r>
    </w:p>
    <w:p>
      <w:pPr>
        <w:spacing w:after="240"/>
        <w:jc w:val="center"/>
      </w:pPr>
      <w:r>
        <w:rPr>
          <w:i/>
          <w:iCs/>
          <w:sz w:val="20"/>
          <w:szCs w:val="20"/>
        </w:rPr>
        <w:t xml:space="preserve">Figura 8. Métricas de los tres detectores en ambas particiones, reimpresas desde el fichero de resultados del entrenamiento.</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spacing w:after="160" w:line="360" w:lineRule="auto"/>
        <w:ind w:firstLine="425"/>
        <w:jc w:val="both"/>
      </w:pPr>
      <w:r>
        <w:rPr>
          <w:rFonts w:ascii="Arial" w:cs="Arial" w:eastAsia="Arial" w:hAnsi="Arial"/>
          <w:b/>
          <w:bCs/>
          <w:sz w:val="22"/>
          <w:szCs w:val="22"/>
        </w:rPr>
        <w:t xml:space="preserve">Conviene precisar qué modelo opera realmente el sistema, porque los tres se entrenan y ninguna sección lo dice de forma explícita hasta ahora: XGBoost, y solo XGBoost.</w:t>
      </w:r>
      <w:r>
        <w:rPr>
          <w:rFonts w:ascii="Arial" w:cs="Arial" w:eastAsia="Arial" w:hAnsi="Arial"/>
          <w:sz w:val="22"/>
          <w:szCs w:val="22"/>
        </w:rPr>
        <w:t xml:space="preserve"> Es el que puntúa cada transacción y el que calcula, mediante Shapley, las contribuciones por variable que se inyectan en el expediente de los agentes. El Isolation Forest se calcula en cada puntuación pero su resultado no llega a la capa 2. Random Forest no se carga en ningún momento del flujo operativo: existe únicamente como término de comparación, aquí y en 5.1, para justificar o matizar con datos la elección de XGBoost, no como una alternativa desplegada.</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spacing w:after="80" w:before="240"/>
        <w:jc w:val="center"/>
      </w:pPr>
      <w:r>
        <w:drawing>
          <wp:inline distT="0" distB="0" distL="0" distR="0">
            <wp:extent cx="54006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695575"/>
                    </a:xfrm>
                    <a:prstGeom prst="rect">
                      <a:avLst/>
                    </a:prstGeom>
                  </pic:spPr>
                </pic:pic>
              </a:graphicData>
            </a:graphic>
          </wp:inline>
        </w:drawing>
      </w:r>
    </w:p>
    <w:p>
      <w:pPr>
        <w:spacing w:after="240"/>
        <w:jc w:val="center"/>
      </w:pPr>
      <w:r>
        <w:rPr>
          <w:i/>
          <w:iCs/>
          <w:sz w:val="20"/>
          <w:szCs w:val="20"/>
        </w:rPr>
        <w:t xml:space="preserve">Figura 9. Traza de CrewAI durante una ejecución: el Coordinador entrega su resumen del lote y el Analista de datos toma el turno.</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80" w:before="24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781550"/>
                    </a:xfrm>
                    <a:prstGeom prst="rect">
                      <a:avLst/>
                    </a:prstGeom>
                  </pic:spPr>
                </pic:pic>
              </a:graphicData>
            </a:graphic>
          </wp:inline>
        </w:drawing>
      </w:r>
    </w:p>
    <w:p>
      <w:pPr>
        <w:spacing w:after="240"/>
        <w:jc w:val="center"/>
      </w:pPr>
      <w:r>
        <w:rPr>
          <w:i/>
          <w:iCs/>
          <w:sz w:val="20"/>
          <w:szCs w:val="20"/>
        </w:rPr>
        <w:t xml:space="preserve">Figura 10. Construcción y puntuación del turno de evaluación: 32.791 transacciones y 54 fraudes, de los que el detector eleva 55 casos con 44 fraudes en 268 ms.</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p>
      <w:pPr>
        <w:spacing w:after="160" w:line="360" w:lineRule="auto"/>
        <w:ind w:firstLine="425"/>
        <w:jc w:val="both"/>
      </w:pPr>
      <w:r>
        <w:rPr>
          <w:rFonts w:ascii="Arial" w:cs="Arial" w:eastAsia="Arial" w:hAnsi="Arial"/>
          <w:sz w:val="22"/>
          <w:szCs w:val="22"/>
        </w:rPr>
        <w:t xml:space="preserve">Cada turno se identifica por su </w:t>
      </w:r>
      <w:r>
        <w:rPr>
          <w:rFonts w:ascii="Arial" w:cs="Arial" w:eastAsia="Arial" w:hAnsi="Arial"/>
          <w:b/>
          <w:bCs/>
          <w:sz w:val="22"/>
          <w:szCs w:val="22"/>
        </w:rPr>
        <w:t xml:space="preserve">desplazamiento</w:t>
      </w:r>
      <w:r>
        <w:rPr>
          <w:rFonts w:ascii="Arial" w:cs="Arial" w:eastAsia="Arial" w:hAnsi="Arial"/>
          <w:sz w:val="22"/>
          <w:szCs w:val="22"/>
        </w:rPr>
        <w:t xml:space="preserve"> respecto al inicio del periodo de prueba, no por una hora del día: el turno de 0 h cubre las cuatro primeras horas del periodo, el de 1 h va de la hora 1 a la 5, el de 2 h de la 2 a la 6, y así sucesivamente. Como el periodo de prueba dura menos de ocho horas en total, turnos consecutivos comparten aproximadamente la mitad de sus transacciones.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Desplazamiento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Al solaparse, los cuatro turnos no constituyen muestras independientes entre sí. Es una limitación declarada en el capítulo 6, junto a la relacionada con las repeticiones dentro de cada turno: con temperatura 0,1 son casi idénticas entre sí, de modo que el número de observaciones verdaderamente independientes en las comparativas del capítulo 5 es más cercano a cuatro que al total de ejecuciones.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80" w:before="240"/>
        <w:jc w:val="center"/>
      </w:pPr>
      <w:r>
        <w:drawing>
          <wp:inline distT="0" distB="0" distL="0" distR="0">
            <wp:extent cx="5400675"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314950"/>
                    </a:xfrm>
                    <a:prstGeom prst="rect">
                      <a:avLst/>
                    </a:prstGeom>
                  </pic:spPr>
                </pic:pic>
              </a:graphicData>
            </a:graphic>
          </wp:inline>
        </w:drawing>
      </w:r>
    </w:p>
    <w:p>
      <w:pPr>
        <w:spacing w:after="240"/>
        <w:jc w:val="center"/>
      </w:pPr>
      <w:r>
        <w:rPr>
          <w:i/>
          <w:iCs/>
          <w:sz w:val="20"/>
          <w:szCs w:val="20"/>
        </w:rPr>
        <w:t xml:space="preserve">Figura 11. Auditoría de un informe en modo revisa: cobertura del 98 % y aviso de que 21 casos quedaron sin veredicto y conservan la decisión del detector.</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4.7 Demostrador web</w:t>
      </w:r>
    </w:p>
    <w:p>
      <w:pPr>
        <w:spacing w:after="160" w:line="360" w:lineRule="auto"/>
        <w:ind w:firstLine="425"/>
        <w:jc w:val="both"/>
      </w:pPr>
      <w:r>
        <w:rPr>
          <w:rFonts w:ascii="Arial" w:cs="Arial" w:eastAsia="Arial" w:hAnsi="Arial"/>
          <w:sz w:val="22"/>
          <w:szCs w:val="22"/>
        </w:rPr>
        <w:t xml:space="preserve">El sistema se acompaña de una aplicación web local, construida sobre FastAPI, que hace visible lo que los capítulos 5 y 6 miden. No reimplementa nada: invoca las mismas funciones que los guiones de experimentación, de modo que lo que se muestra en pantalla es el sistema y no una maqueta que pudiera divergir de él.</w:t>
      </w:r>
    </w:p>
    <w:p>
      <w:pPr>
        <w:spacing w:after="160" w:line="360" w:lineRule="auto"/>
        <w:ind w:firstLine="425"/>
        <w:jc w:val="both"/>
      </w:pPr>
      <w:r>
        <w:rPr>
          <w:rFonts w:ascii="Arial" w:cs="Arial" w:eastAsia="Arial" w:hAnsi="Arial"/>
          <w:sz w:val="22"/>
          <w:szCs w:val="22"/>
        </w:rPr>
        <w:t xml:space="preserve">Consta de cuatro pantallas que siguen el recorrido de un turno. La primera construye el turno, lo puntúa y presenta el expediente, mostrando la clase real de cada caso en una columna que el sistema nunca ve y que existe únicamente para poder juzgar sus decisiones. La segunda enseña un caso tal como lo calcula el detector y, al lado, el texto exacto que se incrusta en el enunciado del modelo, con un selector que reproduce en vivo los tres niveles de la ablación del expediente. La tercera ejecuta el Investigador sobre un caso individual y presenta sus dos salidas —el párrafo explicativo y el veredicto— en columnas separadas, precisamente porque el resultado central del trabajo es que no siempre se corresponden. La cuarta ejecuta el departamento completo y somete el informe al auditor.</w:t>
      </w:r>
    </w:p>
    <w:p>
      <w:pPr>
        <w:spacing w:after="80" w:before="240"/>
        <w:jc w:val="center"/>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114550"/>
                    </a:xfrm>
                    <a:prstGeom prst="rect">
                      <a:avLst/>
                    </a:prstGeom>
                  </pic:spPr>
                </pic:pic>
              </a:graphicData>
            </a:graphic>
          </wp:inline>
        </w:drawing>
      </w:r>
    </w:p>
    <w:p>
      <w:pPr>
        <w:spacing w:after="240"/>
        <w:jc w:val="center"/>
      </w:pPr>
      <w:r>
        <w:rPr>
          <w:i/>
          <w:iCs/>
          <w:sz w:val="20"/>
          <w:szCs w:val="20"/>
        </w:rPr>
        <w:t xml:space="preserve">Figura 12. Pantalla inicial del demostrador, con los indicadores de entorno y las cuatro etapas del recorrido.</w:t>
      </w:r>
    </w:p>
    <w:p>
      <w:pPr>
        <w:pStyle w:val="Heading3"/>
        <w:spacing w:after="200" w:before="360"/>
      </w:pPr>
      <w:r>
        <w:rPr>
          <w:rFonts w:ascii="Arial" w:cs="Arial" w:eastAsia="Arial" w:hAnsi="Arial"/>
          <w:b/>
          <w:bCs/>
          <w:color w:val="000000"/>
          <w:sz w:val="24"/>
          <w:szCs w:val="24"/>
        </w:rPr>
        <w:t xml:space="preserve">Lo que su construcción enseñó</w:t>
      </w:r>
    </w:p>
    <w:p>
      <w:pPr>
        <w:spacing w:after="160" w:line="360" w:lineRule="auto"/>
        <w:ind w:firstLine="425"/>
        <w:jc w:val="both"/>
      </w:pPr>
      <w:r>
        <w:rPr>
          <w:rFonts w:ascii="Arial" w:cs="Arial" w:eastAsia="Arial" w:hAnsi="Arial"/>
          <w:sz w:val="22"/>
          <w:szCs w:val="22"/>
        </w:rPr>
        <w:t xml:space="preserve">El demostrador se validó con un plan de catorce pruebas, y esa validación encontró seis defectos en el propio demostrador antes de darlo por bueno. Ninguno lanzaba errores; todos producían pantallas de apariencia correcta. Tres merecen mención porque reproducen, en una interfaz de apenas mil líneas, la taxonomía de fallos del sistema principal.</w:t>
      </w:r>
    </w:p>
    <w:p>
      <w:pPr>
        <w:spacing w:after="160" w:line="360" w:lineRule="auto"/>
        <w:ind w:firstLine="425"/>
        <w:jc w:val="both"/>
      </w:pPr>
      <w:r>
        <w:rPr>
          <w:rFonts w:ascii="Arial" w:cs="Arial" w:eastAsia="Arial" w:hAnsi="Arial"/>
          <w:sz w:val="22"/>
          <w:szCs w:val="22"/>
        </w:rPr>
        <w:t xml:space="preserve">El estado del turno vivía en el servidor y el navegador lo olvidaba al recargar la página, de modo que la interfaz reclamaba casos de un expediente que creía tener mientras el servidor operaba con otro. El mensaje resultante —«el caso 55 no existe»— era técnicamente cierto e inducía a error, porque callaba el dato que lo explicaba.</w:t>
      </w:r>
    </w:p>
    <w:p>
      <w:pPr>
        <w:spacing w:after="160" w:line="360" w:lineRule="auto"/>
        <w:ind w:firstLine="425"/>
        <w:jc w:val="both"/>
      </w:pPr>
      <w:r>
        <w:rPr>
          <w:rFonts w:ascii="Arial" w:cs="Arial" w:eastAsia="Arial" w:hAnsi="Arial"/>
          <w:sz w:val="22"/>
          <w:szCs w:val="22"/>
        </w:rPr>
        <w:t xml:space="preserve">El auditor de informes recibía identificadores reales de transacción cuando el informe cita números de caso, y un informe perfectamente válido aparecía con cobertura nula y cincuenta y cinco citas marcadas como inexistentes.</w:t>
      </w:r>
    </w:p>
    <w:p>
      <w:pPr>
        <w:spacing w:after="160" w:line="360" w:lineRule="auto"/>
        <w:ind w:firstLine="425"/>
        <w:jc w:val="both"/>
      </w:pPr>
      <w:r>
        <w:rPr>
          <w:rFonts w:ascii="Arial" w:cs="Arial" w:eastAsia="Arial" w:hAnsi="Arial"/>
          <w:sz w:val="22"/>
          <w:szCs w:val="22"/>
        </w:rPr>
        <w:t xml:space="preserve">Y una respuesta truncada por el límite de tokens resultaba indistinguible de una respuesta en la que el modelo hubiera omitido el veredicto, hasta que se incorporó la lectura del motivo de parada que el servidor de modelos declara.</w:t>
      </w:r>
    </w:p>
    <w:p>
      <w:pPr>
        <w:spacing w:after="160" w:line="360" w:lineRule="auto"/>
        <w:ind w:firstLine="425"/>
        <w:jc w:val="both"/>
      </w:pPr>
      <w:r>
        <w:rPr>
          <w:rFonts w:ascii="Arial" w:cs="Arial" w:eastAsia="Arial" w:hAnsi="Arial"/>
          <w:sz w:val="22"/>
          <w:szCs w:val="22"/>
        </w:rPr>
        <w:t xml:space="preserve">Las pruebas aportaron además un dato experimental nuevo: el agotamiento del presupuesto de generación en el razonamiento previo, que la sección 6.2.5 documentaba para un modelo concreto, se reprodujo con un segundo modelo de otra familia. No es la rareza de un modelo: es una propiedad de la clase de modelos de razonamiento, y afecta a dos de los diez instalados en el equipo de pruebas.</w:t>
      </w:r>
    </w:p>
    <w:p>
      <w:pPr>
        <w:pStyle w:val="Heading2"/>
        <w:spacing w:after="200" w:before="360"/>
      </w:pPr>
      <w:r>
        <w:rPr>
          <w:rFonts w:ascii="Arial" w:cs="Arial" w:eastAsia="Arial" w:hAnsi="Arial"/>
          <w:b/>
          <w:bCs/>
          <w:color w:val="000000"/>
          <w:sz w:val="26"/>
          <w:szCs w:val="26"/>
        </w:rPr>
        <w:t xml:space="preserve">4.8 Seguimiento del desarrollo</w:t>
      </w:r>
    </w:p>
    <w:p>
      <w:pPr>
        <w:spacing w:after="80" w:before="240"/>
        <w:jc w:val="center"/>
      </w:pPr>
      <w:r>
        <w:drawing>
          <wp:inline distT="0" distB="0" distL="0" distR="0">
            <wp:extent cx="540067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762250"/>
                    </a:xfrm>
                    <a:prstGeom prst="rect">
                      <a:avLst/>
                    </a:prstGeom>
                  </pic:spPr>
                </pic:pic>
              </a:graphicData>
            </a:graphic>
          </wp:inline>
        </w:drawing>
      </w:r>
    </w:p>
    <w:p>
      <w:pPr>
        <w:spacing w:after="240"/>
        <w:jc w:val="center"/>
      </w:pPr>
      <w:r>
        <w:rPr>
          <w:i/>
          <w:iCs/>
          <w:sz w:val="20"/>
          <w:szCs w:val="20"/>
        </w:rPr>
        <w:t xml:space="preserve">Figura 13. Historial del repositorio: cada fase del desarrollo corresponde a una entrega trazable.</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9</w:t>
            </w:r>
          </w:p>
        </w:tc>
        <w:tc>
          <w:tcPr>
            <w:tcW w:type="dxa" w:w="4500"/>
            <w:shd w:fill="D9D9D9" w:val="clear"/>
          </w:tcPr>
          <w:p>
            <w:pPr>
              <w:spacing w:after="0"/>
            </w:pPr>
            <w:r>
              <w:rPr>
                <w:rFonts w:ascii="Arial" w:cs="Arial" w:eastAsia="Arial" w:hAnsi="Arial"/>
                <w:b/>
                <w:bCs/>
                <w:sz w:val="20"/>
                <w:szCs w:val="20"/>
              </w:rPr>
              <w:t xml:space="preserve">Búsqueda de hiperparámetros y comparativa con Random Forest</w:t>
            </w:r>
          </w:p>
        </w:tc>
      </w:tr>
      <w:tr>
        <w:tc>
          <w:tcPr>
            <w:tcW w:type="dxa" w:w="4500"/>
          </w:tcPr>
          <w:p>
            <w:pPr>
              <w:spacing w:after="0"/>
            </w:pPr>
            <w:r>
              <w:rPr>
                <w:rFonts w:ascii="Arial" w:cs="Arial" w:eastAsia="Arial" w:hAnsi="Arial"/>
                <w:b w:val="false"/>
                <w:bCs w:val="false"/>
                <w:sz w:val="20"/>
                <w:szCs w:val="20"/>
              </w:rPr>
              <w:t xml:space="preserve">10</w:t>
            </w:r>
          </w:p>
        </w:tc>
        <w:tc>
          <w:tcPr>
            <w:tcW w:type="dxa" w:w="4500"/>
          </w:tcPr>
          <w:p>
            <w:pPr>
              <w:spacing w:after="0"/>
            </w:pPr>
            <w:r>
              <w:rPr>
                <w:rFonts w:ascii="Arial" w:cs="Arial" w:eastAsia="Arial" w:hAnsi="Arial"/>
                <w:b w:val="false"/>
                <w:bCs w:val="false"/>
                <w:sz w:val="20"/>
                <w:szCs w:val="20"/>
              </w:rPr>
              <w:t xml:space="preserve">Ablación del desbalanceo y de los grupos de variables</w:t>
            </w:r>
          </w:p>
        </w:tc>
      </w:tr>
      <w:tr>
        <w:tc>
          <w:tcPr>
            <w:tcW w:type="dxa" w:w="4500"/>
          </w:tcPr>
          <w:p>
            <w:pPr>
              <w:spacing w:after="0"/>
            </w:pPr>
            <w:r>
              <w:rPr>
                <w:rFonts w:ascii="Arial" w:cs="Arial" w:eastAsia="Arial" w:hAnsi="Arial"/>
                <w:b w:val="false"/>
                <w:bCs w:val="false"/>
                <w:sz w:val="20"/>
                <w:szCs w:val="20"/>
              </w:rPr>
              <w:t xml:space="preserve">11</w:t>
            </w:r>
          </w:p>
        </w:tc>
        <w:tc>
          <w:tcPr>
            <w:tcW w:type="dxa" w:w="4500"/>
          </w:tcPr>
          <w:p>
            <w:pPr>
              <w:spacing w:after="0"/>
            </w:pPr>
            <w:r>
              <w:rPr>
                <w:rFonts w:ascii="Arial" w:cs="Arial" w:eastAsia="Arial" w:hAnsi="Arial"/>
                <w:b w:val="false"/>
                <w:bCs w:val="false"/>
                <w:sz w:val="20"/>
                <w:szCs w:val="20"/>
              </w:rPr>
              <w:t xml:space="preserve">Ablación del expediente en tres niveles de información</w:t>
            </w:r>
          </w:p>
        </w:tc>
      </w:tr>
      <w:tr>
        <w:tc>
          <w:tcPr>
            <w:tcW w:type="dxa" w:w="4500"/>
          </w:tcPr>
          <w:p>
            <w:pPr>
              <w:spacing w:after="0"/>
            </w:pPr>
            <w:r>
              <w:rPr>
                <w:rFonts w:ascii="Arial" w:cs="Arial" w:eastAsia="Arial" w:hAnsi="Arial"/>
                <w:b w:val="false"/>
                <w:bCs w:val="false"/>
                <w:sz w:val="20"/>
                <w:szCs w:val="20"/>
              </w:rPr>
              <w:t xml:space="preserve">12</w:t>
            </w:r>
          </w:p>
        </w:tc>
        <w:tc>
          <w:tcPr>
            <w:tcW w:type="dxa" w:w="4500"/>
          </w:tcPr>
          <w:p>
            <w:pPr>
              <w:spacing w:after="0"/>
            </w:pPr>
            <w:r>
              <w:rPr>
                <w:rFonts w:ascii="Arial" w:cs="Arial" w:eastAsia="Arial" w:hAnsi="Arial"/>
                <w:b w:val="false"/>
                <w:bCs w:val="false"/>
                <w:sz w:val="20"/>
                <w:szCs w:val="20"/>
              </w:rPr>
              <w:t xml:space="preserve">Comparativa de modelos sobre turnos reales, con contraste</w:t>
            </w:r>
          </w:p>
        </w:tc>
      </w:tr>
      <w:tr>
        <w:tc>
          <w:tcPr>
            <w:tcW w:type="dxa" w:w="4500"/>
          </w:tcPr>
          <w:p>
            <w:pPr>
              <w:spacing w:after="0"/>
            </w:pPr>
            <w:r>
              <w:rPr>
                <w:rFonts w:ascii="Arial" w:cs="Arial" w:eastAsia="Arial" w:hAnsi="Arial"/>
                <w:b w:val="false"/>
                <w:bCs w:val="false"/>
                <w:sz w:val="20"/>
                <w:szCs w:val="20"/>
              </w:rPr>
              <w:t xml:space="preserve">13</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14</w:t>
            </w:r>
          </w:p>
        </w:tc>
        <w:tc>
          <w:tcPr>
            <w:tcW w:type="dxa" w:w="4500"/>
          </w:tcPr>
          <w:p>
            <w:pPr>
              <w:spacing w:after="0"/>
            </w:pPr>
            <w:r>
              <w:rPr>
                <w:rFonts w:ascii="Arial" w:cs="Arial" w:eastAsia="Arial" w:hAnsi="Arial"/>
                <w:b w:val="false"/>
                <w:bCs w:val="false"/>
                <w:sz w:val="20"/>
                <w:szCs w:val="20"/>
              </w:rPr>
              <w:t xml:space="preserve">Comparación con un modelo de mayor capacidad, por descomposición en capas</w:t>
            </w:r>
          </w:p>
        </w:tc>
      </w:tr>
      <w:tr>
        <w:tc>
          <w:tcPr>
            <w:tcW w:type="dxa" w:w="4500"/>
          </w:tcPr>
          <w:p>
            <w:pPr>
              <w:spacing w:after="0"/>
            </w:pPr>
            <w:r>
              <w:rPr>
                <w:rFonts w:ascii="Arial" w:cs="Arial" w:eastAsia="Arial" w:hAnsi="Arial"/>
                <w:b w:val="false"/>
                <w:bCs w:val="false"/>
                <w:sz w:val="20"/>
                <w:szCs w:val="20"/>
              </w:rPr>
              <w:t xml:space="preserve">15</w:t>
            </w:r>
          </w:p>
        </w:tc>
        <w:tc>
          <w:tcPr>
            <w:tcW w:type="dxa" w:w="4500"/>
          </w:tcPr>
          <w:p>
            <w:pPr>
              <w:spacing w:after="0"/>
            </w:pPr>
            <w:r>
              <w:rPr>
                <w:rFonts w:ascii="Arial" w:cs="Arial" w:eastAsia="Arial" w:hAnsi="Arial"/>
                <w:b w:val="false"/>
                <w:bCs w:val="false"/>
                <w:sz w:val="20"/>
                <w:szCs w:val="20"/>
              </w:rPr>
              <w:t xml:space="preserve">Ablación de la corrección de dominio</w:t>
            </w:r>
          </w:p>
        </w:tc>
      </w:tr>
    </w:tbl>
    <w:p>
      <w:pPr>
        <w:spacing w:after="160"/>
      </w:pPr>
    </w:p>
    <w:p>
      <w:pPr>
        <w:spacing w:after="160" w:line="360" w:lineRule="auto"/>
        <w:ind w:firstLine="425"/>
        <w:jc w:val="both"/>
      </w:pPr>
      <w:r>
        <w:rPr>
          <w:rFonts w:ascii="Arial" w:cs="Arial" w:eastAsia="Arial" w:hAnsi="Arial"/>
          <w:sz w:val="22"/>
          <w:szCs w:val="22"/>
        </w:rPr>
        <w:t xml:space="preserve">Las fases 9 a 11 responden a dudas metodológicas planteadas por el propio desarrollo, y no a requisitos iniciales. Las fases 12 a 15 corresponden a los objetivos específicos 3 y 4.</w:t>
      </w:r>
    </w:p>
    <w:p>
      <w:pPr>
        <w:spacing w:after="160" w:line="360" w:lineRule="auto"/>
        <w:ind w:firstLine="425"/>
        <w:jc w:val="both"/>
      </w:pPr>
      <w:r>
        <w:rPr>
          <w:rFonts w:ascii="Arial" w:cs="Arial" w:eastAsia="Arial" w:hAnsi="Arial"/>
          <w:sz w:val="22"/>
          <w:szCs w:val="22"/>
        </w:rPr>
        <w:t xml:space="preserve">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spacing w:after="160" w:line="360" w:lineRule="auto"/>
        <w:ind w:firstLine="425"/>
        <w:jc w:val="both"/>
      </w:pPr>
      <w:r>
        <w:rPr>
          <w:rFonts w:ascii="Arial" w:cs="Arial" w:eastAsia="Arial" w:hAnsi="Arial"/>
          <w:sz w:val="22"/>
          <w:szCs w:val="22"/>
        </w:rPr>
        <w:t xml:space="preserve">El capítulo recorre doce experimentos. La figura siguiente los sitúa unos respecto a otros: qué partición emplea cada uno, cuáles operan sobre la capa 1 y cuáles sobre la capa 2, y contra qué línea base se contrastan los que miden la aportación del modelo de lenguaje.</w:t>
      </w:r>
    </w:p>
    <w:p>
      <w:pPr>
        <w:spacing w:after="80" w:before="24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2257425"/>
                    </a:xfrm>
                    <a:prstGeom prst="rect">
                      <a:avLst/>
                    </a:prstGeom>
                  </pic:spPr>
                </pic:pic>
              </a:graphicData>
            </a:graphic>
          </wp:inline>
        </w:drawing>
      </w:r>
    </w:p>
    <w:p>
      <w:pPr>
        <w:spacing w:after="240"/>
        <w:jc w:val="center"/>
      </w:pPr>
      <w:r>
        <w:rPr>
          <w:i/>
          <w:iCs/>
          <w:sz w:val="20"/>
          <w:szCs w:val="20"/>
        </w:rPr>
        <w:t xml:space="preserve">Figura 14. Mapa del diseño experimental. La línea base de los experimentos sobre la capa 2 es el detector operando sin ella.</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spacing w:after="80" w:before="240"/>
        <w:jc w:val="center"/>
      </w:pPr>
      <w:r>
        <w:drawing>
          <wp:inline distT="0" distB="0" distL="0" distR="0">
            <wp:extent cx="540067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3819525"/>
                    </a:xfrm>
                    <a:prstGeom prst="rect">
                      <a:avLst/>
                    </a:prstGeom>
                  </pic:spPr>
                </pic:pic>
              </a:graphicData>
            </a:graphic>
          </wp:inline>
        </w:drawing>
      </w:r>
    </w:p>
    <w:p>
      <w:pPr>
        <w:spacing w:after="240"/>
        <w:jc w:val="center"/>
      </w:pPr>
      <w:r>
        <w:rPr>
          <w:i/>
          <w:iCs/>
          <w:sz w:val="20"/>
          <w:szCs w:val="20"/>
        </w:rPr>
        <w:t xml:space="preserve">Figura 15. Curvas de precisión frente a exhaustividad de los tres detectores sobre la partición aleatoria, con la línea base marcada en la prevalencia.</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p>
      <w:pPr>
        <w:spacing w:after="80" w:before="24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2409825"/>
                    </a:xfrm>
                    <a:prstGeom prst="rect">
                      <a:avLst/>
                    </a:prstGeom>
                  </pic:spPr>
                </pic:pic>
              </a:graphicData>
            </a:graphic>
          </wp:inline>
        </w:drawing>
      </w:r>
    </w:p>
    <w:p>
      <w:pPr>
        <w:spacing w:after="240"/>
        <w:jc w:val="center"/>
      </w:pPr>
      <w:r>
        <w:rPr>
          <w:i/>
          <w:iCs/>
          <w:sz w:val="20"/>
          <w:szCs w:val="20"/>
        </w:rPr>
        <w:t xml:space="preserve">Figura 16. Precisión en los N primeros casos y fraude capturado frente al esfuerzo de revisión, con la capacidad del equipo marcada.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17. Fraude destruido por modelo en dieciséis ejecuciones. La dispersión del panel derecho muestra el solapamiento que impide declarar significativa la ordenación.</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Recall del sistema</w:t>
            </w:r>
          </w:p>
        </w:tc>
        <w:tc>
          <w:tcPr>
            <w:tcW w:type="dxa" w:w="1800"/>
            <w:shd w:fill="D9D9D9" w:val="clear"/>
          </w:tcPr>
          <w:p>
            <w:pPr>
              <w:spacing w:after="0"/>
            </w:pPr>
            <w:r>
              <w:rPr>
                <w:rFonts w:ascii="Arial" w:cs="Arial" w:eastAsia="Arial" w:hAnsi="Arial"/>
                <w:b/>
                <w:bCs/>
                <w:sz w:val="20"/>
                <w:szCs w:val="20"/>
              </w:rPr>
              <w:t xml:space="preserve">Fraude destruido</w:t>
            </w:r>
          </w:p>
        </w:tc>
        <w:tc>
          <w:tcPr>
            <w:tcW w:type="dxa" w:w="1800"/>
            <w:shd w:fill="D9D9D9" w:val="clear"/>
          </w:tcPr>
          <w:p>
            <w:pPr>
              <w:spacing w:after="0"/>
            </w:pPr>
            <w:r>
              <w:rPr>
                <w:rFonts w:ascii="Arial" w:cs="Arial" w:eastAsia="Arial" w:hAnsi="Arial"/>
                <w:b/>
                <w:bCs/>
                <w:sz w:val="20"/>
                <w:szCs w:val="20"/>
              </w:rPr>
              <w:t xml:space="preserve">Ejecuciones con daño</w:t>
            </w:r>
          </w:p>
        </w:tc>
        <w:tc>
          <w:tcPr>
            <w:tcW w:type="dxa" w:w="1800"/>
            <w:shd w:fill="D9D9D9" w:val="clear"/>
          </w:tcPr>
          <w:p>
            <w:pPr>
              <w:spacing w:after="0"/>
            </w:pPr>
            <w:r>
              <w:rPr>
                <w:rFonts w:ascii="Arial" w:cs="Arial" w:eastAsia="Arial" w:hAnsi="Arial"/>
                <w:b/>
                <w:bCs/>
                <w:sz w:val="20"/>
                <w:szCs w:val="20"/>
              </w:rPr>
              <w:t xml:space="preserve">Media por ejecución</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0,731</w:t>
            </w:r>
          </w:p>
        </w:tc>
        <w:tc>
          <w:tcPr>
            <w:tcW w:type="dxa" w:w="1800"/>
          </w:tcPr>
          <w:p>
            <w:pPr>
              <w:spacing w:after="0"/>
            </w:pPr>
            <w:r>
              <w:rPr>
                <w:rFonts w:ascii="Arial" w:cs="Arial" w:eastAsia="Arial" w:hAnsi="Arial"/>
                <w:b w:val="false"/>
                <w:bCs w:val="false"/>
                <w:sz w:val="20"/>
                <w:szCs w:val="20"/>
              </w:rPr>
              <w:t xml:space="preserve">19</w:t>
            </w:r>
          </w:p>
        </w:tc>
        <w:tc>
          <w:tcPr>
            <w:tcW w:type="dxa" w:w="1800"/>
          </w:tcPr>
          <w:p>
            <w:pPr>
              <w:spacing w:after="0"/>
            </w:pPr>
            <w:r>
              <w:rPr>
                <w:rFonts w:ascii="Arial" w:cs="Arial" w:eastAsia="Arial" w:hAnsi="Arial"/>
                <w:b w:val="false"/>
                <w:bCs w:val="false"/>
                <w:sz w:val="20"/>
                <w:szCs w:val="20"/>
              </w:rPr>
              <w:t xml:space="preserve">11/16</w:t>
            </w:r>
          </w:p>
        </w:tc>
        <w:tc>
          <w:tcPr>
            <w:tcW w:type="dxa" w:w="1800"/>
          </w:tcPr>
          <w:p>
            <w:pPr>
              <w:spacing w:after="0"/>
            </w:pPr>
            <w:r>
              <w:rPr>
                <w:rFonts w:ascii="Arial" w:cs="Arial" w:eastAsia="Arial" w:hAnsi="Arial"/>
                <w:b w:val="false"/>
                <w:bCs w:val="false"/>
                <w:sz w:val="20"/>
                <w:szCs w:val="20"/>
              </w:rPr>
              <w:t xml:space="preserve">1,19</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0,741</w:t>
            </w:r>
          </w:p>
        </w:tc>
        <w:tc>
          <w:tcPr>
            <w:tcW w:type="dxa" w:w="1800"/>
          </w:tcPr>
          <w:p>
            <w:pPr>
              <w:spacing w:after="0"/>
            </w:pPr>
            <w:r>
              <w:rPr>
                <w:rFonts w:ascii="Arial" w:cs="Arial" w:eastAsia="Arial" w:hAnsi="Arial"/>
                <w:b w:val="false"/>
                <w:bCs w:val="false"/>
                <w:sz w:val="20"/>
                <w:szCs w:val="20"/>
              </w:rPr>
              <w:t xml:space="preserve">12</w:t>
            </w:r>
          </w:p>
        </w:tc>
        <w:tc>
          <w:tcPr>
            <w:tcW w:type="dxa" w:w="1800"/>
          </w:tcPr>
          <w:p>
            <w:pPr>
              <w:spacing w:after="0"/>
            </w:pPr>
            <w:r>
              <w:rPr>
                <w:rFonts w:ascii="Arial" w:cs="Arial" w:eastAsia="Arial" w:hAnsi="Arial"/>
                <w:b w:val="false"/>
                <w:bCs w:val="false"/>
                <w:sz w:val="20"/>
                <w:szCs w:val="20"/>
              </w:rPr>
              <w:t xml:space="preserve">8/16</w:t>
            </w:r>
          </w:p>
        </w:tc>
        <w:tc>
          <w:tcPr>
            <w:tcW w:type="dxa" w:w="1800"/>
          </w:tcPr>
          <w:p>
            <w:pPr>
              <w:spacing w:after="0"/>
            </w:pPr>
            <w:r>
              <w:rPr>
                <w:rFonts w:ascii="Arial" w:cs="Arial" w:eastAsia="Arial" w:hAnsi="Arial"/>
                <w:b w:val="false"/>
                <w:bCs w:val="false"/>
                <w:sz w:val="20"/>
                <w:szCs w:val="20"/>
              </w:rPr>
              <w:t xml:space="preserve">0,75</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0,746</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6/16</w:t>
            </w:r>
          </w:p>
        </w:tc>
        <w:tc>
          <w:tcPr>
            <w:tcW w:type="dxa" w:w="1800"/>
          </w:tcPr>
          <w:p>
            <w:pPr>
              <w:spacing w:after="0"/>
            </w:pPr>
            <w:r>
              <w:rPr>
                <w:rFonts w:ascii="Arial" w:cs="Arial" w:eastAsia="Arial" w:hAnsi="Arial"/>
                <w:b w:val="false"/>
                <w:bCs w:val="false"/>
                <w:sz w:val="20"/>
                <w:szCs w:val="20"/>
              </w:rPr>
              <w:t xml:space="preserve">0,50</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resultantes de cuatro turnos por cuatro repeticiones. El orden por capacidad es monótono tanto en el recall del sistema como en el daño causado.</w:t>
      </w:r>
    </w:p>
    <w:p>
      <w:pPr>
        <w:pStyle w:val="Heading3"/>
        <w:spacing w:after="200" w:before="360"/>
      </w:pPr>
      <w:r>
        <w:rPr>
          <w:rFonts w:ascii="Arial" w:cs="Arial" w:eastAsia="Arial" w:hAnsi="Arial"/>
          <w:b/>
          <w:bCs/>
          <w:color w:val="000000"/>
          <w:sz w:val="24"/>
          <w:szCs w:val="24"/>
        </w:rPr>
        <w:t xml:space="preserve">El contraste estadístico, que no alcanza significación</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Ninguno</w:t>
            </w:r>
          </w:p>
        </w:tc>
        <w:tc>
          <w:tcPr>
            <w:tcW w:type="dxa" w:w="1800"/>
            <w:shd w:fill="D9D9D9" w:val="clear"/>
          </w:tcPr>
          <w:p>
            <w:pPr>
              <w:spacing w:after="0"/>
            </w:pPr>
            <w:r>
              <w:rPr>
                <w:rFonts w:ascii="Arial" w:cs="Arial" w:eastAsia="Arial" w:hAnsi="Arial"/>
                <w:b/>
                <w:bCs/>
                <w:sz w:val="20"/>
                <w:szCs w:val="20"/>
              </w:rPr>
              <w:t xml:space="preserve">Un caso</w:t>
            </w:r>
          </w:p>
        </w:tc>
        <w:tc>
          <w:tcPr>
            <w:tcW w:type="dxa" w:w="1800"/>
            <w:shd w:fill="D9D9D9" w:val="clear"/>
          </w:tcPr>
          <w:p>
            <w:pPr>
              <w:spacing w:after="0"/>
            </w:pPr>
            <w:r>
              <w:rPr>
                <w:rFonts w:ascii="Arial" w:cs="Arial" w:eastAsia="Arial" w:hAnsi="Arial"/>
                <w:b/>
                <w:bCs/>
                <w:sz w:val="20"/>
                <w:szCs w:val="20"/>
              </w:rPr>
              <w:t xml:space="preserve">Dos</w:t>
            </w:r>
          </w:p>
        </w:tc>
        <w:tc>
          <w:tcPr>
            <w:tcW w:type="dxa" w:w="1800"/>
            <w:shd w:fill="D9D9D9" w:val="clear"/>
          </w:tcPr>
          <w:p>
            <w:pPr>
              <w:spacing w:after="0"/>
            </w:pPr>
            <w:r>
              <w:rPr>
                <w:rFonts w:ascii="Arial" w:cs="Arial" w:eastAsia="Arial" w:hAnsi="Arial"/>
                <w:b/>
                <w:bCs/>
                <w:sz w:val="20"/>
                <w:szCs w:val="20"/>
              </w:rPr>
              <w:t xml:space="preserve">Tres</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0</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c>
          <w:tcPr>
            <w:tcW w:type="dxa" w:w="1800"/>
          </w:tcPr>
          <w:p>
            <w:pPr>
              <w:spacing w:after="0"/>
            </w:pPr>
            <w:r>
              <w:rPr>
                <w:rFonts w:ascii="Arial" w:cs="Arial" w:eastAsia="Arial" w:hAnsi="Arial"/>
                <w:b w:val="false"/>
                <w:bCs w:val="false"/>
                <w:sz w:val="20"/>
                <w:szCs w:val="20"/>
              </w:rPr>
              <w:t xml:space="preserve">0</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el menor sí alcanza, y su distribución está desplazada hacia el cero. 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0,156</w:t>
            </w:r>
          </w:p>
        </w:tc>
        <w:tc>
          <w:tcPr>
            <w:tcW w:type="dxa" w:w="3000"/>
          </w:tcPr>
          <w:p>
            <w:pPr>
              <w:spacing w:after="0"/>
            </w:pPr>
            <w:r>
              <w:rPr>
                <w:rFonts w:ascii="Arial" w:cs="Arial" w:eastAsia="Arial" w:hAnsi="Arial"/>
                <w:b w:val="false"/>
                <w:bCs w:val="false"/>
                <w:sz w:val="20"/>
                <w:szCs w:val="20"/>
              </w:rPr>
              <w:t xml:space="preserve">0,050</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0,722</w:t>
            </w:r>
          </w:p>
        </w:tc>
        <w:tc>
          <w:tcPr>
            <w:tcW w:type="dxa" w:w="3000"/>
          </w:tcPr>
          <w:p>
            <w:pPr>
              <w:spacing w:after="0"/>
            </w:pPr>
            <w:r>
              <w:rPr>
                <w:rFonts w:ascii="Arial" w:cs="Arial" w:eastAsia="Arial" w:hAnsi="Arial"/>
                <w:b w:val="false"/>
                <w:bCs w:val="false"/>
                <w:sz w:val="20"/>
                <w:szCs w:val="20"/>
              </w:rPr>
              <w:t xml:space="preserve">0,411</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0,473</w:t>
            </w:r>
          </w:p>
        </w:tc>
        <w:tc>
          <w:tcPr>
            <w:tcW w:type="dxa" w:w="3000"/>
          </w:tcPr>
          <w:p>
            <w:pPr>
              <w:spacing w:after="0"/>
            </w:pPr>
            <w:r>
              <w:rPr>
                <w:rFonts w:ascii="Arial" w:cs="Arial" w:eastAsia="Arial" w:hAnsi="Arial"/>
                <w:b w:val="false"/>
                <w:bCs w:val="false"/>
                <w:sz w:val="20"/>
                <w:szCs w:val="20"/>
              </w:rPr>
              <w:t xml:space="preserve">0,240</w:t>
            </w:r>
          </w:p>
        </w:tc>
      </w:tr>
    </w:tbl>
    <w:p>
      <w:pPr>
        <w:spacing w:after="160"/>
      </w:pPr>
    </w:p>
    <w:p>
      <w:pPr>
        <w:spacing w:after="160" w:line="360" w:lineRule="auto"/>
        <w:ind w:firstLine="425"/>
        <w:jc w:val="both"/>
      </w:pPr>
      <w:r>
        <w:rPr>
          <w:rFonts w:ascii="Arial" w:cs="Arial" w:eastAsia="Arial" w:hAnsi="Arial"/>
          <w:b/>
          <w:bCs/>
          <w:sz w:val="22"/>
          <w:szCs w:val="22"/>
        </w:rPr>
        <w:t xml:space="preserve">Ninguna comparación alcanza significación.</w:t>
      </w:r>
      <w:r>
        <w:rPr>
          <w:rFonts w:ascii="Arial" w:cs="Arial" w:eastAsia="Arial" w:hAnsi="Arial"/>
          <w:sz w:val="22"/>
          <w:szCs w:val="22"/>
        </w:rPr>
        <w:t xml:space="preserve"> La más extrema, entre los modelos de ocho y veinte mil millones de parámetros, queda justo en el límite convencional con el contraste sobre recuentos y claramente fuera con el dicotomizado.</w:t>
      </w:r>
    </w:p>
    <w:p>
      <w:pPr>
        <w:spacing w:after="160" w:line="360" w:lineRule="auto"/>
        <w:ind w:firstLine="425"/>
        <w:jc w:val="both"/>
      </w:pPr>
      <w:r>
        <w:rPr>
          <w:rFonts w:ascii="Arial" w:cs="Arial" w:eastAsia="Arial" w:hAnsi="Arial"/>
          <w:sz w:val="22"/>
          <w:szCs w:val="22"/>
        </w:rPr>
        <w:t xml:space="preserve">La conclusión defendible es por tanto que </w:t>
      </w:r>
      <w:r>
        <w:rPr>
          <w:rFonts w:ascii="Arial" w:cs="Arial" w:eastAsia="Arial" w:hAnsi="Arial"/>
          <w:b/>
          <w:bCs/>
          <w:sz w:val="22"/>
          <w:szCs w:val="22"/>
        </w:rPr>
        <w:t xml:space="preserve">la ordenación por tamaño de modelo es consistente en dirección y no está demostrada</w:t>
      </w:r>
      <w:r>
        <w:rPr>
          <w:rFonts w:ascii="Arial" w:cs="Arial" w:eastAsia="Arial" w:hAnsi="Arial"/>
          <w:sz w:val="22"/>
          <w:szCs w:val="22"/>
        </w:rPr>
        <w:t xml:space="preserve">. Se enuncia así en el capítulo 6 y no debe leerse de otro modo.</w:t>
      </w:r>
    </w:p>
    <w:p>
      <w:pPr>
        <w:spacing w:after="160" w:line="360" w:lineRule="auto"/>
        <w:ind w:firstLine="425"/>
        <w:jc w:val="both"/>
      </w:pPr>
      <w:r>
        <w:rPr>
          <w:rFonts w:ascii="Arial" w:cs="Arial" w:eastAsia="Arial" w:hAnsi="Arial"/>
          <w:sz w:val="22"/>
          <w:szCs w:val="22"/>
        </w:rPr>
        <w:t xml:space="preserve">Conviene explicar por qué se reportan dos contrastes.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pPr>
        <w:pStyle w:val="Heading3"/>
        <w:spacing w:after="200" w:before="360"/>
      </w:pPr>
      <w:r>
        <w:rPr>
          <w:rFonts w:ascii="Arial" w:cs="Arial" w:eastAsia="Arial" w:hAnsi="Arial"/>
          <w:b/>
          <w:bCs/>
          <w:color w:val="000000"/>
          <w:sz w:val="24"/>
          <w:szCs w:val="24"/>
        </w:rPr>
        <w:t xml:space="preserve">Una cifra retirada, y por qué</w:t>
      </w:r>
    </w:p>
    <w:p>
      <w:pPr>
        <w:spacing w:after="160" w:line="360" w:lineRule="auto"/>
        <w:ind w:firstLine="425"/>
        <w:jc w:val="both"/>
      </w:pPr>
      <w:r>
        <w:rPr>
          <w:rFonts w:ascii="Arial" w:cs="Arial" w:eastAsia="Arial" w:hAnsi="Arial"/>
          <w:sz w:val="22"/>
          <w:szCs w:val="22"/>
        </w:rPr>
        <w:t xml:space="preserve">Una versión anterior de esta memoria reportaba en esta misma sección treinta y dos ejecuciones por modelo, con treinta y siete, veintisiete y trece casos de fraude destruido, y contrastes significativos con p = 0,024 y p = 0,002.</w:t>
      </w:r>
    </w:p>
    <w:p>
      <w:pPr>
        <w:spacing w:after="160" w:line="360" w:lineRule="auto"/>
        <w:ind w:firstLine="425"/>
        <w:jc w:val="both"/>
      </w:pPr>
      <w:r>
        <w:rPr>
          <w:rFonts w:ascii="Arial" w:cs="Arial" w:eastAsia="Arial" w:hAnsi="Arial"/>
          <w:sz w:val="22"/>
          <w:szCs w:val="22"/>
        </w:rPr>
        <w:t xml:space="preserve">Aquellas cifras procedían de apilar tres ficheros de resultados obtenidos en días distintos. Al revisarlos se comprobó que veinticuatro de las cuarenta y ocho combinaciones de modelo, turno y repetición estaban duplicadas entre ficheros: eran re-ejecuciones del mismo turno con el mismo número de repetición, no réplicas nuevas. El tamaño muestral estaba inflado y, con él, la significación.</w:t>
      </w:r>
    </w:p>
    <w:p>
      <w:pPr>
        <w:spacing w:after="160" w:line="360" w:lineRule="auto"/>
        <w:ind w:firstLine="425"/>
        <w:jc w:val="both"/>
      </w:pPr>
      <w:r>
        <w:rPr>
          <w:rFonts w:ascii="Arial" w:cs="Arial" w:eastAsia="Arial" w:hAnsi="Arial"/>
          <w:sz w:val="22"/>
          <w:szCs w:val="22"/>
        </w:rPr>
        <w:t xml:space="preserve">Las cifras que figuran arriba proceden de la única tanda completa y sin solapamientos. </w:t>
      </w:r>
      <w:r>
        <w:rPr>
          <w:rFonts w:ascii="Arial" w:cs="Arial" w:eastAsia="Arial" w:hAnsi="Arial"/>
          <w:b/>
          <w:bCs/>
          <w:sz w:val="22"/>
          <w:szCs w:val="22"/>
        </w:rPr>
        <w:t xml:space="preserve">Al corregir el recuento, el resultado deja de ser significativo.</w:t>
      </w:r>
    </w:p>
    <w:p>
      <w:pPr>
        <w:spacing w:after="160" w:line="360" w:lineRule="auto"/>
        <w:ind w:firstLine="425"/>
        <w:jc w:val="both"/>
      </w:pPr>
      <w:r>
        <w:rPr>
          <w:rFonts w:ascii="Arial" w:cs="Arial" w:eastAsia="Arial" w:hAnsi="Arial"/>
          <w:sz w:val="22"/>
          <w:szCs w:val="22"/>
        </w:rPr>
        <w:t xml:space="preserve">Se deja constancia del episodio porque ilustra un modo de fallo que no produce ningún error visible: los ficheros se combinan sin dificultad, la tabla resultante tiene buen aspecto y el contraste devuelve un número más favorable.</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tandas sucesivas, y varias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dieciséis su tasa se sitúa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Ninguna de esas afirmaciones era falsa sobre los datos disponibles en su momento; todas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Reproducibilidad entre ejecuciones</w:t>
      </w:r>
    </w:p>
    <w:p>
      <w:pPr>
        <w:spacing w:after="160" w:line="360" w:lineRule="auto"/>
        <w:ind w:firstLine="425"/>
        <w:jc w:val="both"/>
      </w:pPr>
      <w:r>
        <w:rPr>
          <w:rFonts w:ascii="Arial" w:cs="Arial" w:eastAsia="Arial" w:hAnsi="Arial"/>
          <w:sz w:val="22"/>
          <w:szCs w:val="22"/>
        </w:rPr>
        <w:t xml:space="preserve">La sección anterior mide cuánto daño causa cada modelo. Queda una dimensión distinta y, en un dominio auditable, no menos importante: si ante la misma entrada el sistema decide lo mismo.</w:t>
      </w:r>
    </w:p>
    <w:p>
      <w:pPr>
        <w:spacing w:after="160" w:line="360" w:lineRule="auto"/>
        <w:ind w:firstLine="425"/>
        <w:jc w:val="both"/>
      </w:pPr>
      <w:r>
        <w:rPr>
          <w:rFonts w:ascii="Arial" w:cs="Arial" w:eastAsia="Arial" w:hAnsi="Arial"/>
          <w:sz w:val="22"/>
          <w:szCs w:val="22"/>
        </w:rPr>
        <w:t xml:space="preserve">La tabla recoge el recall del sistema en las cuatro repeticiones de cada turno, sobre turnos reales y con umbral permisivo. La entrada es idéntica dentro de cada fila; la única fuente de variación es el muestreo del modelo, con temperatura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Turno 0 h</w:t>
            </w:r>
          </w:p>
        </w:tc>
        <w:tc>
          <w:tcPr>
            <w:tcW w:type="dxa" w:w="1500"/>
            <w:shd w:fill="D9D9D9" w:val="clear"/>
          </w:tcPr>
          <w:p>
            <w:pPr>
              <w:spacing w:after="0"/>
            </w:pPr>
            <w:r>
              <w:rPr>
                <w:rFonts w:ascii="Arial" w:cs="Arial" w:eastAsia="Arial" w:hAnsi="Arial"/>
                <w:b/>
                <w:bCs/>
                <w:sz w:val="20"/>
                <w:szCs w:val="20"/>
              </w:rPr>
              <w:t xml:space="preserve">Turno 1 h</w:t>
            </w:r>
          </w:p>
        </w:tc>
        <w:tc>
          <w:tcPr>
            <w:tcW w:type="dxa" w:w="1500"/>
            <w:shd w:fill="D9D9D9" w:val="clear"/>
          </w:tcPr>
          <w:p>
            <w:pPr>
              <w:spacing w:after="0"/>
            </w:pPr>
            <w:r>
              <w:rPr>
                <w:rFonts w:ascii="Arial" w:cs="Arial" w:eastAsia="Arial" w:hAnsi="Arial"/>
                <w:b/>
                <w:bCs/>
                <w:sz w:val="20"/>
                <w:szCs w:val="20"/>
              </w:rPr>
              <w:t xml:space="preserve">Turno 2 h</w:t>
            </w:r>
          </w:p>
        </w:tc>
        <w:tc>
          <w:tcPr>
            <w:tcW w:type="dxa" w:w="1500"/>
            <w:shd w:fill="D9D9D9" w:val="clear"/>
          </w:tcPr>
          <w:p>
            <w:pPr>
              <w:spacing w:after="0"/>
            </w:pPr>
            <w:r>
              <w:rPr>
                <w:rFonts w:ascii="Arial" w:cs="Arial" w:eastAsia="Arial" w:hAnsi="Arial"/>
                <w:b/>
                <w:bCs/>
                <w:sz w:val="20"/>
                <w:szCs w:val="20"/>
              </w:rPr>
              <w:t xml:space="preserve">Turno 3 h</w:t>
            </w:r>
          </w:p>
        </w:tc>
        <w:tc>
          <w:tcPr>
            <w:tcW w:type="dxa" w:w="1500"/>
            <w:shd w:fill="D9D9D9" w:val="clear"/>
          </w:tcPr>
          <w:p>
            <w:pPr>
              <w:spacing w:after="0"/>
            </w:pPr>
            <w:r>
              <w:rPr>
                <w:rFonts w:ascii="Arial" w:cs="Arial" w:eastAsia="Arial" w:hAnsi="Arial"/>
                <w:b/>
                <w:bCs/>
                <w:sz w:val="20"/>
                <w:szCs w:val="20"/>
              </w:rPr>
              <w:t xml:space="preserve">Rango máximo</w:t>
            </w:r>
          </w:p>
        </w:tc>
      </w:tr>
      <w:tr>
        <w:tc>
          <w:tcPr>
            <w:tcW w:type="dxa" w:w="1500"/>
          </w:tcPr>
          <w:p>
            <w:pPr>
              <w:spacing w:after="0"/>
            </w:pPr>
            <w:r>
              <w:rPr>
                <w:rFonts w:ascii="Arial" w:cs="Arial" w:eastAsia="Arial" w:hAnsi="Arial"/>
                <w:b w:val="false"/>
                <w:bCs w:val="false"/>
                <w:sz w:val="20"/>
                <w:szCs w:val="20"/>
              </w:rPr>
              <w:t xml:space="preserve">llama3.1 8B</w:t>
            </w:r>
          </w:p>
        </w:tc>
        <w:tc>
          <w:tcPr>
            <w:tcW w:type="dxa" w:w="1500"/>
          </w:tcPr>
          <w:p>
            <w:pPr>
              <w:spacing w:after="0"/>
            </w:pPr>
            <w:r>
              <w:rPr>
                <w:rFonts w:ascii="Arial" w:cs="Arial" w:eastAsia="Arial" w:hAnsi="Arial"/>
                <w:b w:val="false"/>
                <w:bCs w:val="false"/>
                <w:sz w:val="20"/>
                <w:szCs w:val="20"/>
              </w:rPr>
              <w:t xml:space="preserve">0,778 · 0,778 · 0,759 · 0,778</w:t>
            </w:r>
          </w:p>
        </w:tc>
        <w:tc>
          <w:tcPr>
            <w:tcW w:type="dxa" w:w="1500"/>
          </w:tcPr>
          <w:p>
            <w:pPr>
              <w:spacing w:after="0"/>
            </w:pPr>
            <w:r>
              <w:rPr>
                <w:rFonts w:ascii="Arial" w:cs="Arial" w:eastAsia="Arial" w:hAnsi="Arial"/>
                <w:b w:val="false"/>
                <w:bCs w:val="false"/>
                <w:sz w:val="20"/>
                <w:szCs w:val="20"/>
              </w:rPr>
              <w:t xml:space="preserve">0,745 · 0,784 · 0,784 · 0,765</w:t>
            </w:r>
          </w:p>
        </w:tc>
        <w:tc>
          <w:tcPr>
            <w:tcW w:type="dxa" w:w="1500"/>
          </w:tcPr>
          <w:p>
            <w:pPr>
              <w:spacing w:after="0"/>
            </w:pPr>
            <w:r>
              <w:rPr>
                <w:rFonts w:ascii="Arial" w:cs="Arial" w:eastAsia="Arial" w:hAnsi="Arial"/>
                <w:b w:val="false"/>
                <w:bCs w:val="false"/>
                <w:sz w:val="20"/>
                <w:szCs w:val="20"/>
              </w:rPr>
              <w:t xml:space="preserve">0,711 · 0,684 · 0,684 · 0,684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0,039</w:t>
            </w:r>
          </w:p>
        </w:tc>
      </w:tr>
      <w:tr>
        <w:tc>
          <w:tcPr>
            <w:tcW w:type="dxa" w:w="1500"/>
          </w:tcPr>
          <w:p>
            <w:pPr>
              <w:spacing w:after="0"/>
            </w:pPr>
            <w:r>
              <w:rPr>
                <w:rFonts w:ascii="Arial" w:cs="Arial" w:eastAsia="Arial" w:hAnsi="Arial"/>
                <w:b w:val="false"/>
                <w:bCs w:val="false"/>
                <w:sz w:val="20"/>
                <w:szCs w:val="20"/>
              </w:rPr>
              <w:t xml:space="preserve">qwen2.5 14B</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**0,000**</w:t>
            </w:r>
          </w:p>
        </w:tc>
      </w:tr>
      <w:tr>
        <w:tc>
          <w:tcPr>
            <w:tcW w:type="dxa" w:w="1500"/>
          </w:tcPr>
          <w:p>
            <w:pPr>
              <w:spacing w:after="0"/>
            </w:pPr>
            <w:r>
              <w:rPr>
                <w:rFonts w:ascii="Arial" w:cs="Arial" w:eastAsia="Arial" w:hAnsi="Arial"/>
                <w:b w:val="false"/>
                <w:bCs w:val="false"/>
                <w:sz w:val="20"/>
                <w:szCs w:val="20"/>
              </w:rPr>
              <w:t xml:space="preserve">gpt-oss 20B</w:t>
            </w:r>
          </w:p>
        </w:tc>
        <w:tc>
          <w:tcPr>
            <w:tcW w:type="dxa" w:w="1500"/>
          </w:tcPr>
          <w:p>
            <w:pPr>
              <w:spacing w:after="0"/>
            </w:pPr>
            <w:r>
              <w:rPr>
                <w:rFonts w:ascii="Arial" w:cs="Arial" w:eastAsia="Arial" w:hAnsi="Arial"/>
                <w:b w:val="false"/>
                <w:bCs w:val="false"/>
                <w:sz w:val="20"/>
                <w:szCs w:val="20"/>
              </w:rPr>
              <w:t xml:space="preserve">0,778 · 0,778 · 0,796 · 0,815</w:t>
            </w:r>
          </w:p>
        </w:tc>
        <w:tc>
          <w:tcPr>
            <w:tcW w:type="dxa" w:w="1500"/>
          </w:tcPr>
          <w:p>
            <w:pPr>
              <w:spacing w:after="0"/>
            </w:pPr>
            <w:r>
              <w:rPr>
                <w:rFonts w:ascii="Arial" w:cs="Arial" w:eastAsia="Arial" w:hAnsi="Arial"/>
                <w:b w:val="false"/>
                <w:bCs w:val="false"/>
                <w:sz w:val="20"/>
                <w:szCs w:val="20"/>
              </w:rPr>
              <w:t xml:space="preserve">0,784 · 0,804 · 0,784 · 0,784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0,037</w:t>
            </w:r>
          </w:p>
        </w:tc>
      </w:tr>
    </w:tbl>
    <w:p>
      <w:pPr>
        <w:spacing w:after="160"/>
      </w:pPr>
    </w:p>
    <w:p>
      <w:pPr>
        <w:spacing w:after="160" w:line="360" w:lineRule="auto"/>
        <w:ind w:firstLine="425"/>
        <w:jc w:val="both"/>
      </w:pPr>
      <w:r>
        <w:rPr>
          <w:rFonts w:ascii="Arial" w:cs="Arial" w:eastAsia="Arial" w:hAnsi="Arial"/>
          <w:b/>
          <w:bCs/>
          <w:sz w:val="22"/>
          <w:szCs w:val="22"/>
        </w:rPr>
        <w:t xml:space="preserve">El modelo de catorce mil millones de parámetros produce resultados exactamente idénticos en las dieciséis ejecuciones</w:t>
      </w:r>
      <w:r>
        <w:rPr>
          <w:rFonts w:ascii="Arial" w:cs="Arial" w:eastAsia="Arial" w:hAnsi="Arial"/>
          <w:sz w:val="22"/>
          <w:szCs w:val="22"/>
        </w:rPr>
        <w:t xml:space="preserve">, descartando los mismos casos en todas ellas. Los otros dos varían: el menor en tres de los cuatro turnos y el mayor en dos.</w:t>
      </w:r>
    </w:p>
    <w:p>
      <w:pPr>
        <w:spacing w:after="160" w:line="360" w:lineRule="auto"/>
        <w:ind w:firstLine="425"/>
        <w:jc w:val="both"/>
      </w:pPr>
      <w:r>
        <w:rPr>
          <w:rFonts w:ascii="Arial" w:cs="Arial" w:eastAsia="Arial" w:hAnsi="Arial"/>
          <w:sz w:val="22"/>
          <w:szCs w:val="22"/>
        </w:rPr>
        <w:t xml:space="preserve">El dato relevante es que </w:t>
      </w:r>
      <w:r>
        <w:rPr>
          <w:rFonts w:ascii="Arial" w:cs="Arial" w:eastAsia="Arial" w:hAnsi="Arial"/>
          <w:b/>
          <w:bCs/>
          <w:sz w:val="22"/>
          <w:szCs w:val="22"/>
        </w:rPr>
        <w:t xml:space="preserve">la reproducibilidad no crece de forma monótona con el tamaño</w:t>
      </w:r>
      <w:r>
        <w:rPr>
          <w:rFonts w:ascii="Arial" w:cs="Arial" w:eastAsia="Arial" w:hAnsi="Arial"/>
          <w:sz w:val="22"/>
          <w:szCs w:val="22"/>
        </w:rPr>
        <w:t xml:space="preserve">. El modelo de veinte mil millones de parámetros, que es el que menos fraude destruye, es también menos reproducible que el de catorce mil. Son dos propiedades independientes, y un sistema antifraude necesita las dos: un modelo que decide distinto ante el mismo caso es inauditable con independencia de cuál sea su error medio.</w:t>
      </w:r>
    </w:p>
    <w:p>
      <w:pPr>
        <w:spacing w:after="160" w:line="360" w:lineRule="auto"/>
        <w:ind w:firstLine="425"/>
        <w:jc w:val="both"/>
      </w:pPr>
      <w:r>
        <w:rPr>
          <w:rFonts w:ascii="Arial" w:cs="Arial" w:eastAsia="Arial" w:hAnsi="Arial"/>
          <w:sz w:val="22"/>
          <w:szCs w:val="22"/>
        </w:rPr>
        <w:t xml:space="preserve">Conviene adelantar, no obstante, que esa reproducibilidad perfecta </w:t>
      </w:r>
      <w:r>
        <w:rPr>
          <w:rFonts w:ascii="Arial" w:cs="Arial" w:eastAsia="Arial" w:hAnsi="Arial"/>
          <w:b/>
          <w:bCs/>
          <w:sz w:val="22"/>
          <w:szCs w:val="22"/>
        </w:rPr>
        <w:t xml:space="preserve">no resultó ser una propiedad del modelo</w:t>
      </w:r>
      <w:r>
        <w:rPr>
          <w:rFonts w:ascii="Arial" w:cs="Arial" w:eastAsia="Arial" w:hAnsi="Arial"/>
          <w:sz w:val="22"/>
          <w:szCs w:val="22"/>
        </w:rPr>
        <w:t xml:space="preserve">. La ablación del expediente descrita en 5.8 muestra que depende de la información que se le entrega, y desaparece al retirarle la puntuación del detector. La conclusión de esta sección debe leerse, por tanto, junto a aquella.</w:t>
      </w:r>
    </w:p>
    <w:p>
      <w:pPr>
        <w:pStyle w:val="Heading3"/>
        <w:spacing w:after="200" w:before="360"/>
      </w:pPr>
      <w:r>
        <w:rPr>
          <w:rFonts w:ascii="Arial" w:cs="Arial" w:eastAsia="Arial" w:hAnsi="Arial"/>
          <w:b/>
          <w:bCs/>
          <w:color w:val="000000"/>
          <w:sz w:val="24"/>
          <w:szCs w:val="24"/>
        </w:rPr>
        <w:t xml:space="preserve">Una cifra que parecía peor de lo que es</w:t>
      </w:r>
    </w:p>
    <w:p>
      <w:pPr>
        <w:spacing w:after="160" w:line="360" w:lineRule="auto"/>
        <w:ind w:firstLine="425"/>
        <w:jc w:val="both"/>
      </w:pPr>
      <w:r>
        <w:rPr>
          <w:rFonts w:ascii="Arial" w:cs="Arial" w:eastAsia="Arial" w:hAnsi="Arial"/>
          <w:sz w:val="22"/>
          <w:szCs w:val="22"/>
        </w:rPr>
        <w:t xml:space="preserve">Una versión anterior de esta memoria ilustraba la falta de reproducibilidad del modelo menor con tres recalls de 0,60, 0,40 y 0,80 ante la misma entrada. La cifra es real y consta en el fichero de resultados correspondiente, pero procede de la primera tanda de experimentos, realizada sobre lotes sintéticos que contenían </w:t>
      </w:r>
      <w:r>
        <w:rPr>
          <w:rFonts w:ascii="Arial" w:cs="Arial" w:eastAsia="Arial" w:hAnsi="Arial"/>
          <w:b/>
          <w:bCs/>
          <w:sz w:val="22"/>
          <w:szCs w:val="22"/>
        </w:rPr>
        <w:t xml:space="preserve">cinco fraudes cada uno</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 cinco fraudes, un solo caso que cambie de veredicto mueve el recall en 0,20. Aquel rango de 0,40 correspondía por tanto a dos casos, no a un comportamiento errático. Sobre turnos reales, con entre veintiséis y cincuenta y cuatro fraudes, la variación del mismo modelo se sitúa entre 0,019 y 0,039.</w:t>
      </w:r>
    </w:p>
    <w:p>
      <w:pPr>
        <w:spacing w:after="160" w:line="360" w:lineRule="auto"/>
        <w:ind w:firstLine="425"/>
        <w:jc w:val="both"/>
      </w:pPr>
      <w:r>
        <w:rPr>
          <w:rFonts w:ascii="Arial" w:cs="Arial" w:eastAsia="Arial" w:hAnsi="Arial"/>
          <w:sz w:val="22"/>
          <w:szCs w:val="22"/>
        </w:rPr>
        <w:t xml:space="preserve">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pPr>
        <w:spacing w:after="160" w:line="360" w:lineRule="auto"/>
        <w:ind w:firstLine="425"/>
        <w:jc w:val="both"/>
      </w:pPr>
      <w:r>
        <w:rPr>
          <w:rFonts w:ascii="Arial" w:cs="Arial" w:eastAsia="Arial" w:hAnsi="Arial"/>
          <w:sz w:val="22"/>
          <w:szCs w:val="22"/>
        </w:rPr>
        <w:t xml:space="preserve">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80" w:before="240"/>
        <w:jc w:val="center"/>
      </w:pPr>
      <w:r>
        <w:drawing>
          <wp:inline distT="0" distB="0" distL="0" distR="0">
            <wp:extent cx="54006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2305050"/>
                    </a:xfrm>
                    <a:prstGeom prst="rect">
                      <a:avLst/>
                    </a:prstGeom>
                  </pic:spPr>
                </pic:pic>
              </a:graphicData>
            </a:graphic>
          </wp:inline>
        </w:drawing>
      </w:r>
    </w:p>
    <w:p>
      <w:pPr>
        <w:spacing w:after="240"/>
        <w:jc w:val="center"/>
      </w:pPr>
      <w:r>
        <w:rPr>
          <w:i/>
          <w:iCs/>
          <w:sz w:val="20"/>
          <w:szCs w:val="20"/>
        </w:rPr>
        <w:t xml:space="preserve">Figura 18. Efecto del nivel de información del expediente sobre el volumen de descartes, su acierto y la reproducibilidad entre ejecuciones.</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80" w:before="24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2428875"/>
                    </a:xfrm>
                    <a:prstGeom prst="rect">
                      <a:avLst/>
                    </a:prstGeom>
                  </pic:spPr>
                </pic:pic>
              </a:graphicData>
            </a:graphic>
          </wp:inline>
        </w:drawing>
      </w:r>
    </w:p>
    <w:p>
      <w:pPr>
        <w:spacing w:after="240"/>
        <w:jc w:val="center"/>
      </w:pPr>
      <w:r>
        <w:rPr>
          <w:i/>
          <w:iCs/>
          <w:sz w:val="20"/>
          <w:szCs w:val="20"/>
        </w:rPr>
        <w:t xml:space="preserve">Figura 19. Latencia media hasta aparecer en un informe frente al tamaño de ventana, y ocupación de cómputo medida en las ejecuciones registradas.</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80" w:before="240"/>
        <w:jc w:val="center"/>
      </w:pPr>
      <w:r>
        <w:drawing>
          <wp:inline distT="0" distB="0" distL="0" distR="0">
            <wp:extent cx="540067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3267075"/>
                    </a:xfrm>
                    <a:prstGeom prst="rect">
                      <a:avLst/>
                    </a:prstGeom>
                  </pic:spPr>
                </pic:pic>
              </a:graphicData>
            </a:graphic>
          </wp:inline>
        </w:drawing>
      </w:r>
    </w:p>
    <w:p>
      <w:pPr>
        <w:spacing w:after="240"/>
        <w:jc w:val="center"/>
      </w:pPr>
      <w:r>
        <w:rPr>
          <w:i/>
          <w:iCs/>
          <w:sz w:val="20"/>
          <w:szCs w:val="20"/>
        </w:rPr>
        <w:t xml:space="preserve">Figura 20. Un fallo silencioso reproducido a voluntad: el modelo de razonamiento agota los 220 tokens pensando y devuelve una respuesta vacía. Sin el aviso, el veredicto ausente sería indistinguible de un dato.</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Comparación con un modelo de mayor capacidad</w:t>
      </w:r>
    </w:p>
    <w:p>
      <w:pPr>
        <w:spacing w:after="80" w:before="240"/>
        <w:jc w:val="center"/>
      </w:pPr>
      <w:r>
        <w:drawing>
          <wp:inline distT="0" distB="0" distL="0" distR="0">
            <wp:extent cx="54006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2657475"/>
                    </a:xfrm>
                    <a:prstGeom prst="rect">
                      <a:avLst/>
                    </a:prstGeom>
                  </pic:spPr>
                </pic:pic>
              </a:graphicData>
            </a:graphic>
          </wp:inline>
        </w:drawing>
      </w:r>
    </w:p>
    <w:p>
      <w:pPr>
        <w:spacing w:after="240"/>
        <w:jc w:val="center"/>
      </w:pPr>
      <w:r>
        <w:rPr>
          <w:i/>
          <w:iCs/>
          <w:sz w:val="20"/>
          <w:szCs w:val="20"/>
        </w:rPr>
        <w:t xml:space="preserve">Figura 21. Ejecución con AirLLM en curso junto a nvidia-smi: memoria de vídeo casi vacía (1,7 de 16 GB) y utilización de GPU de un solo dígito. La consola no imprime nada nuevo hasta que el caso termina —es una única llamada bloqueante de casi dos horas y media—, por lo que se ve la misma traza de carga de capas aunque el proceso ya esté generando; la evidencia es la utilización de nvidia-smi, no el texto de la consola.</w:t>
      </w:r>
    </w:p>
    <w:p>
      <w:pPr>
        <w:spacing w:after="160" w:line="360" w:lineRule="auto"/>
        <w:ind w:firstLine="425"/>
        <w:jc w:val="both"/>
      </w:pPr>
      <w:r>
        <w:rPr>
          <w:rFonts w:ascii="Arial" w:cs="Arial" w:eastAsia="Arial" w:hAnsi="Arial"/>
          <w:sz w:val="22"/>
          <w:szCs w:val="22"/>
        </w:rPr>
        <w:t xml:space="preserve">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pPr>
        <w:spacing w:after="160" w:line="360" w:lineRule="auto"/>
        <w:ind w:firstLine="425"/>
        <w:jc w:val="both"/>
      </w:pPr>
      <w:r>
        <w:rPr>
          <w:rFonts w:ascii="Arial" w:cs="Arial" w:eastAsia="Arial" w:hAnsi="Arial"/>
          <w:sz w:val="22"/>
          <w:szCs w:val="22"/>
        </w:rPr>
        <w:t xml:space="preserve">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pPr>
        <w:pStyle w:val="Heading3"/>
        <w:spacing w:after="200" w:before="360"/>
      </w:pPr>
      <w:r>
        <w:rPr>
          <w:rFonts w:ascii="Arial" w:cs="Arial" w:eastAsia="Arial" w:hAnsi="Arial"/>
          <w:b/>
          <w:bCs/>
          <w:color w:val="000000"/>
          <w:sz w:val="24"/>
          <w:szCs w:val="24"/>
        </w:rPr>
        <w:t xml:space="preserve">Diseño de la comparación</w:t>
      </w:r>
    </w:p>
    <w:p>
      <w:pPr>
        <w:spacing w:after="160" w:line="360" w:lineRule="auto"/>
        <w:ind w:firstLine="425"/>
        <w:jc w:val="both"/>
      </w:pPr>
      <w:r>
        <w:rPr>
          <w:rFonts w:ascii="Arial" w:cs="Arial" w:eastAsia="Arial" w:hAnsi="Arial"/>
          <w:sz w:val="22"/>
          <w:szCs w:val="22"/>
        </w:rPr>
        <w:t xml:space="preserve">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pPr>
        <w:spacing w:after="160" w:line="360" w:lineRule="auto"/>
        <w:ind w:firstLine="425"/>
        <w:jc w:val="both"/>
      </w:pPr>
      <w:r>
        <w:rPr>
          <w:rFonts w:ascii="Arial" w:cs="Arial" w:eastAsia="Arial" w:hAnsi="Arial"/>
          <w:sz w:val="22"/>
          <w:szCs w:val="22"/>
        </w:rPr>
        <w:t xml:space="preserve">Antes de emplearlo se comprobó que reproduce el comportamiento del sistema: con el modelo de 14.000 millones sobre los casos 44 a 55 destruye los mismos dos fraudes que destruye el sistema completo en la comparativa de modelos.</w:t>
      </w:r>
    </w:p>
    <w:p>
      <w:pPr>
        <w:spacing w:after="160" w:line="360" w:lineRule="auto"/>
        <w:ind w:firstLine="425"/>
        <w:jc w:val="both"/>
      </w:pPr>
      <w:r>
        <w:rPr>
          <w:rFonts w:ascii="Arial" w:cs="Arial" w:eastAsia="Arial" w:hAnsi="Arial"/>
          <w:sz w:val="22"/>
          <w:szCs w:val="22"/>
        </w:rPr>
        <w:t xml:space="preserve">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Caso</w:t>
            </w:r>
          </w:p>
        </w:tc>
        <w:tc>
          <w:tcPr>
            <w:tcW w:type="dxa" w:w="2250"/>
            <w:shd w:fill="D9D9D9" w:val="clear"/>
          </w:tcPr>
          <w:p>
            <w:pPr>
              <w:spacing w:after="0"/>
            </w:pPr>
            <w:r>
              <w:rPr>
                <w:rFonts w:ascii="Arial" w:cs="Arial" w:eastAsia="Arial" w:hAnsi="Arial"/>
                <w:b/>
                <w:bCs/>
                <w:sz w:val="20"/>
                <w:szCs w:val="20"/>
              </w:rPr>
              <w:t xml:space="preserve">Clase real</w:t>
            </w:r>
          </w:p>
        </w:tc>
        <w:tc>
          <w:tcPr>
            <w:tcW w:type="dxa" w:w="2250"/>
            <w:shd w:fill="D9D9D9" w:val="clear"/>
          </w:tcPr>
          <w:p>
            <w:pPr>
              <w:spacing w:after="0"/>
            </w:pPr>
            <w:r>
              <w:rPr>
                <w:rFonts w:ascii="Arial" w:cs="Arial" w:eastAsia="Arial" w:hAnsi="Arial"/>
                <w:b/>
                <w:bCs/>
                <w:sz w:val="20"/>
                <w:szCs w:val="20"/>
              </w:rPr>
              <w:t xml:space="preserve">qwen2.5 14B</w:t>
            </w:r>
          </w:p>
        </w:tc>
        <w:tc>
          <w:tcPr>
            <w:tcW w:type="dxa" w:w="2250"/>
            <w:shd w:fill="D9D9D9" w:val="clear"/>
          </w:tcPr>
          <w:p>
            <w:pPr>
              <w:spacing w:after="0"/>
            </w:pPr>
            <w:r>
              <w:rPr>
                <w:rFonts w:ascii="Arial" w:cs="Arial" w:eastAsia="Arial" w:hAnsi="Arial"/>
                <w:b/>
                <w:bCs/>
                <w:sz w:val="20"/>
                <w:szCs w:val="20"/>
              </w:rPr>
              <w:t xml:space="preserve">Qwen2.5 72B</w:t>
            </w:r>
          </w:p>
        </w:tc>
      </w:tr>
      <w:tr>
        <w:tc>
          <w:tcPr>
            <w:tcW w:type="dxa" w:w="2250"/>
          </w:tcPr>
          <w:p>
            <w:pPr>
              <w:spacing w:after="0"/>
            </w:pPr>
            <w:r>
              <w:rPr>
                <w:rFonts w:ascii="Arial" w:cs="Arial" w:eastAsia="Arial" w:hAnsi="Arial"/>
                <w:b w:val="false"/>
                <w:bCs w:val="false"/>
                <w:sz w:val="20"/>
                <w:szCs w:val="20"/>
              </w:rPr>
              <w:t xml:space="preserve">50</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54</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bl>
    <w:p>
      <w:pPr>
        <w:spacing w:after="160"/>
      </w:pPr>
    </w:p>
    <w:p>
      <w:pPr>
        <w:spacing w:after="160" w:line="360" w:lineRule="auto"/>
        <w:ind w:firstLine="425"/>
        <w:jc w:val="both"/>
      </w:pPr>
      <w:r>
        <w:rPr>
          <w:rFonts w:ascii="Arial" w:cs="Arial" w:eastAsia="Arial" w:hAnsi="Arial"/>
          <w:sz w:val="22"/>
          <w:szCs w:val="22"/>
        </w:rPr>
        <w:t xml:space="preserve">Los veredictos son idénticos. El modelo de 72.000 millones de parámetros destruye los mismos dos fraudes que el de 14.000, ni uno más ni uno menos.</w:t>
      </w:r>
    </w:p>
    <w:p>
      <w:pPr>
        <w:spacing w:after="160" w:line="360" w:lineRule="auto"/>
        <w:ind w:firstLine="425"/>
        <w:jc w:val="both"/>
      </w:pPr>
      <w:r>
        <w:rPr>
          <w:rFonts w:ascii="Arial" w:cs="Arial" w:eastAsia="Arial" w:hAnsi="Arial"/>
          <w:sz w:val="22"/>
          <w:szCs w:val="22"/>
        </w:rPr>
        <w:t xml:space="preserve">El coste, en cambio, no lo es en absoluto.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14B</w:t>
            </w:r>
          </w:p>
        </w:tc>
        <w:tc>
          <w:tcPr>
            <w:tcW w:type="dxa" w:w="3000"/>
            <w:shd w:fill="D9D9D9" w:val="clear"/>
          </w:tcPr>
          <w:p>
            <w:pPr>
              <w:spacing w:after="0"/>
            </w:pPr>
            <w:r>
              <w:rPr>
                <w:rFonts w:ascii="Arial" w:cs="Arial" w:eastAsia="Arial" w:hAnsi="Arial"/>
                <w:b/>
                <w:bCs/>
                <w:sz w:val="20"/>
                <w:szCs w:val="20"/>
              </w:rPr>
              <w:t xml:space="preserve">72B, cuantizado a 4 bits</w:t>
            </w:r>
          </w:p>
        </w:tc>
      </w:tr>
      <w:tr>
        <w:tc>
          <w:tcPr>
            <w:tcW w:type="dxa" w:w="3000"/>
          </w:tcPr>
          <w:p>
            <w:pPr>
              <w:spacing w:after="0"/>
            </w:pPr>
            <w:r>
              <w:rPr>
                <w:rFonts w:ascii="Arial" w:cs="Arial" w:eastAsia="Arial" w:hAnsi="Arial"/>
                <w:b w:val="false"/>
                <w:bCs w:val="false"/>
                <w:sz w:val="20"/>
                <w:szCs w:val="20"/>
              </w:rPr>
              <w:t xml:space="preserve">Segundos por caso</w:t>
            </w:r>
          </w:p>
        </w:tc>
        <w:tc>
          <w:tcPr>
            <w:tcW w:type="dxa" w:w="3000"/>
          </w:tcPr>
          <w:p>
            <w:pPr>
              <w:spacing w:after="0"/>
            </w:pPr>
            <w:r>
              <w:rPr>
                <w:rFonts w:ascii="Arial" w:cs="Arial" w:eastAsia="Arial" w:hAnsi="Arial"/>
                <w:b w:val="false"/>
                <w:bCs w:val="false"/>
                <w:sz w:val="20"/>
                <w:szCs w:val="20"/>
              </w:rPr>
              <w:t xml:space="preserve">3,7</w:t>
            </w:r>
          </w:p>
        </w:tc>
        <w:tc>
          <w:tcPr>
            <w:tcW w:type="dxa" w:w="3000"/>
          </w:tcPr>
          <w:p>
            <w:pPr>
              <w:spacing w:after="0"/>
            </w:pPr>
            <w:r>
              <w:rPr>
                <w:rFonts w:ascii="Arial" w:cs="Arial" w:eastAsia="Arial" w:hAnsi="Arial"/>
                <w:b w:val="false"/>
                <w:bCs w:val="false"/>
                <w:sz w:val="20"/>
                <w:szCs w:val="20"/>
              </w:rPr>
              <w:t xml:space="preserve">6.622,7</w:t>
            </w:r>
          </w:p>
        </w:tc>
      </w:tr>
      <w:tr>
        <w:tc>
          <w:tcPr>
            <w:tcW w:type="dxa" w:w="3000"/>
          </w:tcPr>
          <w:p>
            <w:pPr>
              <w:spacing w:after="0"/>
            </w:pPr>
            <w:r>
              <w:rPr>
                <w:rFonts w:ascii="Arial" w:cs="Arial" w:eastAsia="Arial" w:hAnsi="Arial"/>
                <w:b w:val="false"/>
                <w:bCs w:val="false"/>
                <w:sz w:val="20"/>
                <w:szCs w:val="20"/>
              </w:rPr>
              <w:t xml:space="preserve">Expediente de 55 casos</w:t>
            </w:r>
          </w:p>
        </w:tc>
        <w:tc>
          <w:tcPr>
            <w:tcW w:type="dxa" w:w="3000"/>
          </w:tcPr>
          <w:p>
            <w:pPr>
              <w:spacing w:after="0"/>
            </w:pPr>
            <w:r>
              <w:rPr>
                <w:rFonts w:ascii="Arial" w:cs="Arial" w:eastAsia="Arial" w:hAnsi="Arial"/>
                <w:b w:val="false"/>
                <w:bCs w:val="false"/>
                <w:sz w:val="20"/>
                <w:szCs w:val="20"/>
              </w:rPr>
              <w:t xml:space="preserve">3,4 min</w:t>
            </w:r>
          </w:p>
        </w:tc>
        <w:tc>
          <w:tcPr>
            <w:tcW w:type="dxa" w:w="3000"/>
          </w:tcPr>
          <w:p>
            <w:pPr>
              <w:spacing w:after="0"/>
            </w:pPr>
            <w:r>
              <w:rPr>
                <w:rFonts w:ascii="Arial" w:cs="Arial" w:eastAsia="Arial" w:hAnsi="Arial"/>
                <w:b w:val="false"/>
                <w:bCs w:val="false"/>
                <w:sz w:val="20"/>
                <w:szCs w:val="20"/>
              </w:rPr>
              <w:t xml:space="preserve">6.071 min (extrapolado)</w:t>
            </w:r>
          </w:p>
        </w:tc>
      </w:tr>
      <w:tr>
        <w:tc>
          <w:tcPr>
            <w:tcW w:type="dxa" w:w="3000"/>
          </w:tcPr>
          <w:p>
            <w:pPr>
              <w:spacing w:after="0"/>
            </w:pPr>
            <w:r>
              <w:rPr>
                <w:rFonts w:ascii="Arial" w:cs="Arial" w:eastAsia="Arial" w:hAnsi="Arial"/>
                <w:b w:val="false"/>
                <w:bCs w:val="false"/>
                <w:sz w:val="20"/>
                <w:szCs w:val="20"/>
              </w:rPr>
              <w:t xml:space="preserve">Utilización de GPU</w:t>
            </w:r>
          </w:p>
        </w:tc>
        <w:tc>
          <w:tcPr>
            <w:tcW w:type="dxa" w:w="3000"/>
          </w:tcPr>
          <w:p>
            <w:pPr>
              <w:spacing w:after="0"/>
            </w:pPr>
            <w:r>
              <w:rPr>
                <w:rFonts w:ascii="Arial" w:cs="Arial" w:eastAsia="Arial" w:hAnsi="Arial"/>
                <w:b w:val="false"/>
                <w:bCs w:val="false"/>
                <w:sz w:val="20"/>
                <w:szCs w:val="20"/>
              </w:rPr>
              <w:t xml:space="preserve">—</w:t>
            </w:r>
          </w:p>
        </w:tc>
        <w:tc>
          <w:tcPr>
            <w:tcW w:type="dxa" w:w="3000"/>
          </w:tcPr>
          <w:p>
            <w:pPr>
              <w:spacing w:after="0"/>
            </w:pPr>
            <w:r>
              <w:rPr>
                <w:rFonts w:ascii="Arial" w:cs="Arial" w:eastAsia="Arial" w:hAnsi="Arial"/>
                <w:b w:val="false"/>
                <w:bCs w:val="false"/>
                <w:sz w:val="20"/>
                <w:szCs w:val="20"/>
              </w:rPr>
              <w:t xml:space="preserve">9 % a 25 %</w:t>
            </w:r>
          </w:p>
        </w:tc>
      </w:tr>
    </w:tbl>
    <w:p>
      <w:pPr>
        <w:spacing w:after="160"/>
      </w:pPr>
    </w:p>
    <w:p>
      <w:pPr>
        <w:spacing w:after="160" w:line="360" w:lineRule="auto"/>
        <w:ind w:firstLine="425"/>
        <w:jc w:val="both"/>
      </w:pPr>
      <w:r>
        <w:rPr>
          <w:rFonts w:ascii="Arial" w:cs="Arial" w:eastAsia="Arial" w:hAnsi="Arial"/>
          <w:sz w:val="22"/>
          <w:szCs w:val="22"/>
        </w:rPr>
        <w:t xml:space="preserve">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pPr>
        <w:pStyle w:val="Heading3"/>
        <w:spacing w:after="200" w:before="360"/>
      </w:pPr>
      <w:r>
        <w:rPr>
          <w:rFonts w:ascii="Arial" w:cs="Arial" w:eastAsia="Arial" w:hAnsi="Arial"/>
          <w:b/>
          <w:bCs/>
          <w:color w:val="000000"/>
          <w:sz w:val="24"/>
          <w:szCs w:val="24"/>
        </w:rPr>
        <w:t xml:space="preserve">Por qué falla, que no es por capacidad</w:t>
      </w:r>
    </w:p>
    <w:p>
      <w:pPr>
        <w:spacing w:after="160" w:line="360" w:lineRule="auto"/>
        <w:ind w:firstLine="425"/>
        <w:jc w:val="both"/>
      </w:pPr>
      <w:r>
        <w:rPr>
          <w:rFonts w:ascii="Arial" w:cs="Arial" w:eastAsia="Arial" w:hAnsi="Arial"/>
          <w:sz w:val="22"/>
          <w:szCs w:val="22"/>
        </w:rPr>
        <w:t xml:space="preserve">El veredicto por sí solo no explicaría gran cosa. El razonamiento escrito sí. Sobre el caso 55, que corresponde a un fraude real de 2,22 euros, el modelo escribió que dado que el nivel de riesgo es bajo y el importe muy reducido, es probable que se trate de un falso positivo. Sobre el caso 50, fraude real de 1,00 euro, que dado el bajo importe y el equilibrio entre factores, la transacción parece más bien una anomalía sin intención fraudulenta clara.</w:t>
      </w:r>
    </w:p>
    <w:p>
      <w:pPr>
        <w:spacing w:after="160" w:line="360" w:lineRule="auto"/>
        <w:ind w:firstLine="425"/>
        <w:jc w:val="both"/>
      </w:pPr>
      <w:r>
        <w:rPr>
          <w:rFonts w:ascii="Arial" w:cs="Arial" w:eastAsia="Arial" w:hAnsi="Arial"/>
          <w:sz w:val="22"/>
          <w:szCs w:val="22"/>
        </w:rPr>
        <w:t xml:space="preserve">Ambos se descartan porque el importe es bajo. Es una heurística razonable en abstracto y está exactamente invertida en este dominio, como muestra la distribución de importes del propio turno: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Fraude</w:t>
            </w:r>
          </w:p>
        </w:tc>
        <w:tc>
          <w:tcPr>
            <w:tcW w:type="dxa" w:w="3000"/>
            <w:shd w:fill="D9D9D9" w:val="clear"/>
          </w:tcPr>
          <w:p>
            <w:pPr>
              <w:spacing w:after="0"/>
            </w:pPr>
            <w:r>
              <w:rPr>
                <w:rFonts w:ascii="Arial" w:cs="Arial" w:eastAsia="Arial" w:hAnsi="Arial"/>
                <w:b/>
                <w:bCs/>
                <w:sz w:val="20"/>
                <w:szCs w:val="20"/>
              </w:rPr>
              <w:t xml:space="preserve">Legítima</w:t>
            </w:r>
          </w:p>
        </w:tc>
      </w:tr>
      <w:tr>
        <w:tc>
          <w:tcPr>
            <w:tcW w:type="dxa" w:w="3000"/>
          </w:tcPr>
          <w:p>
            <w:pPr>
              <w:spacing w:after="0"/>
            </w:pPr>
            <w:r>
              <w:rPr>
                <w:rFonts w:ascii="Arial" w:cs="Arial" w:eastAsia="Arial" w:hAnsi="Arial"/>
                <w:b w:val="false"/>
                <w:bCs w:val="false"/>
                <w:sz w:val="20"/>
                <w:szCs w:val="20"/>
              </w:rPr>
              <w:t xml:space="preserve">n</w:t>
            </w:r>
          </w:p>
        </w:tc>
        <w:tc>
          <w:tcPr>
            <w:tcW w:type="dxa" w:w="3000"/>
          </w:tcPr>
          <w:p>
            <w:pPr>
              <w:spacing w:after="0"/>
            </w:pPr>
            <w:r>
              <w:rPr>
                <w:rFonts w:ascii="Arial" w:cs="Arial" w:eastAsia="Arial" w:hAnsi="Arial"/>
                <w:b w:val="false"/>
                <w:bCs w:val="false"/>
                <w:sz w:val="20"/>
                <w:szCs w:val="20"/>
              </w:rPr>
              <w:t xml:space="preserve">54</w:t>
            </w:r>
          </w:p>
        </w:tc>
        <w:tc>
          <w:tcPr>
            <w:tcW w:type="dxa" w:w="3000"/>
          </w:tcPr>
          <w:p>
            <w:pPr>
              <w:spacing w:after="0"/>
            </w:pPr>
            <w:r>
              <w:rPr>
                <w:rFonts w:ascii="Arial" w:cs="Arial" w:eastAsia="Arial" w:hAnsi="Arial"/>
                <w:b w:val="false"/>
                <w:bCs w:val="false"/>
                <w:sz w:val="20"/>
                <w:szCs w:val="20"/>
              </w:rPr>
              <w:t xml:space="preserve">32.737</w:t>
            </w:r>
          </w:p>
        </w:tc>
      </w:tr>
      <w:tr>
        <w:tc>
          <w:tcPr>
            <w:tcW w:type="dxa" w:w="3000"/>
          </w:tcPr>
          <w:p>
            <w:pPr>
              <w:spacing w:after="0"/>
            </w:pPr>
            <w:r>
              <w:rPr>
                <w:rFonts w:ascii="Arial" w:cs="Arial" w:eastAsia="Arial" w:hAnsi="Arial"/>
                <w:b w:val="false"/>
                <w:bCs w:val="false"/>
                <w:sz w:val="20"/>
                <w:szCs w:val="20"/>
              </w:rPr>
              <w:t xml:space="preserve">Importe mediano</w:t>
            </w:r>
          </w:p>
        </w:tc>
        <w:tc>
          <w:tcPr>
            <w:tcW w:type="dxa" w:w="3000"/>
          </w:tcPr>
          <w:p>
            <w:pPr>
              <w:spacing w:after="0"/>
            </w:pPr>
            <w:r>
              <w:rPr>
                <w:rFonts w:ascii="Arial" w:cs="Arial" w:eastAsia="Arial" w:hAnsi="Arial"/>
                <w:b w:val="false"/>
                <w:bCs w:val="false"/>
                <w:sz w:val="20"/>
                <w:szCs w:val="20"/>
              </w:rPr>
              <w:t xml:space="preserve">2,11 EUR</w:t>
            </w:r>
          </w:p>
        </w:tc>
        <w:tc>
          <w:tcPr>
            <w:tcW w:type="dxa" w:w="3000"/>
          </w:tcPr>
          <w:p>
            <w:pPr>
              <w:spacing w:after="0"/>
            </w:pPr>
            <w:r>
              <w:rPr>
                <w:rFonts w:ascii="Arial" w:cs="Arial" w:eastAsia="Arial" w:hAnsi="Arial"/>
                <w:b w:val="false"/>
                <w:bCs w:val="false"/>
                <w:sz w:val="20"/>
                <w:szCs w:val="20"/>
              </w:rPr>
              <w:t xml:space="preserve">19,99 EUR</w:t>
            </w:r>
          </w:p>
        </w:tc>
      </w:tr>
      <w:tr>
        <w:tc>
          <w:tcPr>
            <w:tcW w:type="dxa" w:w="3000"/>
          </w:tcPr>
          <w:p>
            <w:pPr>
              <w:spacing w:after="0"/>
            </w:pPr>
            <w:r>
              <w:rPr>
                <w:rFonts w:ascii="Arial" w:cs="Arial" w:eastAsia="Arial" w:hAnsi="Arial"/>
                <w:b w:val="false"/>
                <w:bCs w:val="false"/>
                <w:sz w:val="20"/>
                <w:szCs w:val="20"/>
              </w:rPr>
              <w:t xml:space="preserve">Hasta 1 EUR</w:t>
            </w:r>
          </w:p>
        </w:tc>
        <w:tc>
          <w:tcPr>
            <w:tcW w:type="dxa" w:w="3000"/>
          </w:tcPr>
          <w:p>
            <w:pPr>
              <w:spacing w:after="0"/>
            </w:pPr>
            <w:r>
              <w:rPr>
                <w:rFonts w:ascii="Arial" w:cs="Arial" w:eastAsia="Arial" w:hAnsi="Arial"/>
                <w:b w:val="false"/>
                <w:bCs w:val="false"/>
                <w:sz w:val="20"/>
                <w:szCs w:val="20"/>
              </w:rPr>
              <w:t xml:space="preserve">40,7 %</w:t>
            </w:r>
          </w:p>
        </w:tc>
        <w:tc>
          <w:tcPr>
            <w:tcW w:type="dxa" w:w="3000"/>
          </w:tcPr>
          <w:p>
            <w:pPr>
              <w:spacing w:after="0"/>
            </w:pPr>
            <w:r>
              <w:rPr>
                <w:rFonts w:ascii="Arial" w:cs="Arial" w:eastAsia="Arial" w:hAnsi="Arial"/>
                <w:b w:val="false"/>
                <w:bCs w:val="false"/>
                <w:sz w:val="20"/>
                <w:szCs w:val="20"/>
              </w:rPr>
              <w:t xml:space="preserve">10,2 %</w:t>
            </w:r>
          </w:p>
        </w:tc>
      </w:tr>
      <w:tr>
        <w:tc>
          <w:tcPr>
            <w:tcW w:type="dxa" w:w="3000"/>
          </w:tcPr>
          <w:p>
            <w:pPr>
              <w:spacing w:after="0"/>
            </w:pPr>
            <w:r>
              <w:rPr>
                <w:rFonts w:ascii="Arial" w:cs="Arial" w:eastAsia="Arial" w:hAnsi="Arial"/>
                <w:b w:val="false"/>
                <w:bCs w:val="false"/>
                <w:sz w:val="20"/>
                <w:szCs w:val="20"/>
              </w:rPr>
              <w:t xml:space="preserve">Hasta 2 EUR</w:t>
            </w:r>
          </w:p>
        </w:tc>
        <w:tc>
          <w:tcPr>
            <w:tcW w:type="dxa" w:w="3000"/>
          </w:tcPr>
          <w:p>
            <w:pPr>
              <w:spacing w:after="0"/>
            </w:pPr>
            <w:r>
              <w:rPr>
                <w:rFonts w:ascii="Arial" w:cs="Arial" w:eastAsia="Arial" w:hAnsi="Arial"/>
                <w:b w:val="false"/>
                <w:bCs w:val="false"/>
                <w:sz w:val="20"/>
                <w:szCs w:val="20"/>
              </w:rPr>
              <w:t xml:space="preserve">50,0 %</w:t>
            </w:r>
          </w:p>
        </w:tc>
        <w:tc>
          <w:tcPr>
            <w:tcW w:type="dxa" w:w="3000"/>
          </w:tcPr>
          <w:p>
            <w:pPr>
              <w:spacing w:after="0"/>
            </w:pPr>
            <w:r>
              <w:rPr>
                <w:rFonts w:ascii="Arial" w:cs="Arial" w:eastAsia="Arial" w:hAnsi="Arial"/>
                <w:b w:val="false"/>
                <w:bCs w:val="false"/>
                <w:sz w:val="20"/>
                <w:szCs w:val="20"/>
              </w:rPr>
              <w:t xml:space="preserve">17,4 %</w:t>
            </w:r>
          </w:p>
        </w:tc>
      </w:tr>
      <w:tr>
        <w:tc>
          <w:tcPr>
            <w:tcW w:type="dxa" w:w="3000"/>
          </w:tcPr>
          <w:p>
            <w:pPr>
              <w:spacing w:after="0"/>
            </w:pPr>
            <w:r>
              <w:rPr>
                <w:rFonts w:ascii="Arial" w:cs="Arial" w:eastAsia="Arial" w:hAnsi="Arial"/>
                <w:b w:val="false"/>
                <w:bCs w:val="false"/>
                <w:sz w:val="20"/>
                <w:szCs w:val="20"/>
              </w:rPr>
              <w:t xml:space="preserve">Hasta 5 EUR</w:t>
            </w:r>
          </w:p>
        </w:tc>
        <w:tc>
          <w:tcPr>
            <w:tcW w:type="dxa" w:w="3000"/>
          </w:tcPr>
          <w:p>
            <w:pPr>
              <w:spacing w:after="0"/>
            </w:pPr>
            <w:r>
              <w:rPr>
                <w:rFonts w:ascii="Arial" w:cs="Arial" w:eastAsia="Arial" w:hAnsi="Arial"/>
                <w:b w:val="false"/>
                <w:bCs w:val="false"/>
                <w:sz w:val="20"/>
                <w:szCs w:val="20"/>
              </w:rPr>
              <w:t xml:space="preserve">59,3 %</w:t>
            </w:r>
          </w:p>
        </w:tc>
        <w:tc>
          <w:tcPr>
            <w:tcW w:type="dxa" w:w="3000"/>
          </w:tcPr>
          <w:p>
            <w:pPr>
              <w:spacing w:after="0"/>
            </w:pPr>
            <w:r>
              <w:rPr>
                <w:rFonts w:ascii="Arial" w:cs="Arial" w:eastAsia="Arial" w:hAnsi="Arial"/>
                <w:b w:val="false"/>
                <w:bCs w:val="false"/>
                <w:sz w:val="20"/>
                <w:szCs w:val="20"/>
              </w:rPr>
              <w:t xml:space="preserve">25,1 %</w:t>
            </w:r>
          </w:p>
        </w:tc>
      </w:tr>
    </w:tbl>
    <w:p>
      <w:pPr>
        <w:spacing w:after="160"/>
      </w:pPr>
    </w:p>
    <w:p>
      <w:pPr>
        <w:spacing w:after="160" w:line="360" w:lineRule="auto"/>
        <w:ind w:firstLine="425"/>
        <w:jc w:val="both"/>
      </w:pPr>
      <w:r>
        <w:rPr>
          <w:rFonts w:ascii="Arial" w:cs="Arial" w:eastAsia="Arial" w:hAnsi="Arial"/>
          <w:sz w:val="22"/>
          <w:szCs w:val="22"/>
        </w:rPr>
        <w:t xml:space="preserve">Una transacción fraudulenta tiene 2,4 veces más probabilidad de ser de cinco euros o menos que una legítima. El patrón dominante en fraude con tarjeta es el cargo mínimo de prueba antes del cargo grande, y el modelo lo lee como señal de inocencia.</w:t>
      </w:r>
    </w:p>
    <w:p>
      <w:pPr>
        <w:spacing w:after="160" w:line="360" w:lineRule="auto"/>
        <w:ind w:firstLine="425"/>
        <w:jc w:val="both"/>
      </w:pPr>
      <w:r>
        <w:rPr>
          <w:rFonts w:ascii="Arial" w:cs="Arial" w:eastAsia="Arial" w:hAnsi="Arial"/>
          <w:sz w:val="22"/>
          <w:szCs w:val="22"/>
        </w:rPr>
        <w:t xml:space="preserve">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pPr>
        <w:pStyle w:val="Heading3"/>
        <w:spacing w:after="200" w:before="360"/>
      </w:pPr>
      <w:r>
        <w:rPr>
          <w:rFonts w:ascii="Arial" w:cs="Arial" w:eastAsia="Arial" w:hAnsi="Arial"/>
          <w:b/>
          <w:bCs/>
          <w:color w:val="000000"/>
          <w:sz w:val="24"/>
          <w:szCs w:val="24"/>
        </w:rPr>
        <w:t xml:space="preserve">Advertencias</w:t>
      </w:r>
    </w:p>
    <w:p>
      <w:pPr>
        <w:spacing w:after="160" w:line="360" w:lineRule="auto"/>
        <w:ind w:firstLine="425"/>
        <w:jc w:val="both"/>
      </w:pPr>
      <w:r>
        <w:rPr>
          <w:rFonts w:ascii="Arial" w:cs="Arial" w:eastAsia="Arial" w:hAnsi="Arial"/>
          <w:sz w:val="22"/>
          <w:szCs w:val="22"/>
        </w:rPr>
        <w:t xml:space="preserve">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pPr>
        <w:pStyle w:val="Heading2"/>
        <w:spacing w:after="200" w:before="360"/>
      </w:pPr>
      <w:r>
        <w:rPr>
          <w:rFonts w:ascii="Arial" w:cs="Arial" w:eastAsia="Arial" w:hAnsi="Arial"/>
          <w:b/>
          <w:bCs/>
          <w:color w:val="000000"/>
          <w:sz w:val="26"/>
          <w:szCs w:val="26"/>
        </w:rPr>
        <w:t xml:space="preserve">5.12 Corrección de la premisa: ¿cambia el veredicto o solo la prosa?</w:t>
      </w:r>
    </w:p>
    <w:p>
      <w:pPr>
        <w:spacing w:after="80" w:before="240"/>
        <w:jc w:val="center"/>
      </w:pPr>
      <w:r>
        <w:drawing>
          <wp:inline distT="0" distB="0" distL="0" distR="0">
            <wp:extent cx="54006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390900"/>
                    </a:xfrm>
                    <a:prstGeom prst="rect">
                      <a:avLst/>
                    </a:prstGeom>
                  </pic:spPr>
                </pic:pic>
              </a:graphicData>
            </a:graphic>
          </wp:inline>
        </w:drawing>
      </w:r>
    </w:p>
    <w:p>
      <w:pPr>
        <w:spacing w:after="240"/>
        <w:jc w:val="center"/>
      </w:pPr>
      <w:r>
        <w:rPr>
          <w:i/>
          <w:iCs/>
          <w:sz w:val="20"/>
          <w:szCs w:val="20"/>
        </w:rPr>
        <w:t xml:space="preserve">Figura 22. Sin la corrección de dominio: el modelo usa el importe bajo como argumento y descarta el fraude 1885.</w:t>
      </w:r>
    </w:p>
    <w:p>
      <w:pPr>
        <w:spacing w:after="80" w:before="240"/>
        <w:jc w:val="center"/>
      </w:pPr>
      <w:r>
        <w:drawing>
          <wp:inline distT="0" distB="0" distL="0" distR="0">
            <wp:extent cx="54006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438525"/>
                    </a:xfrm>
                    <a:prstGeom prst="rect">
                      <a:avLst/>
                    </a:prstGeom>
                  </pic:spPr>
                </pic:pic>
              </a:graphicData>
            </a:graphic>
          </wp:inline>
        </w:drawing>
      </w:r>
    </w:p>
    <w:p>
      <w:pPr>
        <w:spacing w:after="240"/>
        <w:jc w:val="center"/>
      </w:pPr>
      <w:r>
        <w:rPr>
          <w:i/>
          <w:iCs/>
          <w:sz w:val="20"/>
          <w:szCs w:val="20"/>
        </w:rPr>
        <w:t xml:space="preserve">Figura 23. El resultado central, en vivo: con la corrección de dominio, el párrafo escribe que la transacción «podría ser una prueba inicial antes de realizar cargos más grandes» y el veredicto la descarta. El caso era el fraude 1885.</w:t>
      </w:r>
    </w:p>
    <w:p>
      <w:pPr>
        <w:spacing w:after="160" w:line="360" w:lineRule="auto"/>
        <w:ind w:firstLine="425"/>
        <w:jc w:val="both"/>
      </w:pPr>
      <w:r>
        <w:rPr>
          <w:rFonts w:ascii="Arial" w:cs="Arial" w:eastAsia="Arial" w:hAnsi="Arial"/>
          <w:sz w:val="22"/>
          <w:szCs w:val="22"/>
        </w:rPr>
        <w:t xml:space="preserve">La sección anterior mostró que los modelos descartan fraude alegando que el importe es reducido, premisa que en estos datos está invertida. Cabía esperar, por tanto, una corrección barata: bastaría con retirar esa creencia del enunciado.</w:t>
      </w:r>
    </w:p>
    <w:p>
      <w:pPr>
        <w:spacing w:after="160" w:line="360" w:lineRule="auto"/>
        <w:ind w:firstLine="425"/>
        <w:jc w:val="both"/>
      </w:pPr>
      <w:r>
        <w:rPr>
          <w:rFonts w:ascii="Arial" w:cs="Arial" w:eastAsia="Arial" w:hAnsi="Arial"/>
          <w:sz w:val="22"/>
          <w:szCs w:val="22"/>
        </w:rPr>
        <w:t xml:space="preserve">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pPr>
        <w:spacing w:after="160" w:line="360" w:lineRule="auto"/>
        <w:ind w:firstLine="425"/>
        <w:jc w:val="both"/>
      </w:pPr>
      <w:r>
        <w:rPr>
          <w:rFonts w:ascii="Arial" w:cs="Arial" w:eastAsia="Arial" w:hAnsi="Arial"/>
          <w:sz w:val="22"/>
          <w:szCs w:val="22"/>
        </w:rPr>
        <w:t xml:space="preserve">La medición abarca cuatro turnos, doce casos de cola por turno y dos modelos, en las dos condiciones: 192 veredictos.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el resultado.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pPr>
        <w:pStyle w:val="Heading3"/>
        <w:spacing w:after="200" w:before="360"/>
      </w:pPr>
      <w:r>
        <w:rPr>
          <w:rFonts w:ascii="Arial" w:cs="Arial" w:eastAsia="Arial" w:hAnsi="Arial"/>
          <w:b/>
          <w:bCs/>
          <w:color w:val="000000"/>
          <w:sz w:val="24"/>
          <w:szCs w:val="24"/>
        </w:rPr>
        <w:t xml:space="preserve">Cómo se cuenta una mención</w:t>
      </w:r>
    </w:p>
    <w:p>
      <w:pPr>
        <w:spacing w:after="160" w:line="360" w:lineRule="auto"/>
        <w:ind w:firstLine="425"/>
        <w:jc w:val="both"/>
      </w:pPr>
      <w:r>
        <w:rPr>
          <w:rFonts w:ascii="Arial" w:cs="Arial" w:eastAsia="Arial" w:hAnsi="Arial"/>
          <w:sz w:val="22"/>
          <w:szCs w:val="22"/>
        </w:rPr>
        <w:t xml:space="preserve">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pPr>
        <w:spacing w:after="160" w:line="360" w:lineRule="auto"/>
        <w:ind w:firstLine="425"/>
        <w:jc w:val="both"/>
      </w:pPr>
      <w:r>
        <w:rPr>
          <w:rFonts w:ascii="Arial" w:cs="Arial" w:eastAsia="Arial" w:hAnsi="Arial"/>
          <w:sz w:val="22"/>
          <w:szCs w:val="22"/>
        </w:rPr>
        <w:t xml:space="preserve">El criterio es deliberadamente conservador y deja fuera menciones más sueltas que un lector humano sí contaría. Los falsos negativos subestiman la tasa de contradicción, que es la cifra que sostiene la conclusión, y ese es el lado seguro del error.</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Una tasa alta demuestra que la prosa y el veredicto no van juntos. </w:t>
      </w:r>
      <w:r>
        <w:rPr>
          <w:rFonts w:ascii="Arial" w:cs="Arial" w:eastAsia="Arial" w:hAnsi="Arial"/>
          <w:b/>
          <w:bCs/>
          <w:sz w:val="22"/>
          <w:szCs w:val="22"/>
        </w:rPr>
        <w:t xml:space="preserve">No demuestra por qué mecanismo interno ocurre</w:t>
      </w:r>
      <w:r>
        <w:rPr>
          <w:rFonts w:ascii="Arial" w:cs="Arial" w:eastAsia="Arial" w:hAnsi="Arial"/>
          <w:sz w:val="22"/>
          <w:szCs w:val="22"/>
        </w:rPr>
        <w:t xml:space="preserve">, y no debe redactarse como si lo hiciera. El montaje experimental no da acceso al proceso de decisión del modelo, solo a lo que escribe y a lo que decide.</w:t>
      </w:r>
    </w:p>
    <w:p>
      <w:pPr>
        <w:spacing w:after="160" w:line="360" w:lineRule="auto"/>
        <w:ind w:firstLine="425"/>
        <w:jc w:val="both"/>
      </w:pPr>
      <w:r>
        <w:rPr>
          <w:rFonts w:ascii="Arial" w:cs="Arial" w:eastAsia="Arial" w:hAnsi="Arial"/>
          <w:sz w:val="22"/>
          <w:szCs w:val="22"/>
        </w:rPr>
        <w:t xml:space="preserve">Queda además fuera de la comparación el modelo de razonamiento evaluado en secciones anteriores, por los motivos que se detallan en 6.2.5: consume su presupuesto de generación antes de emitir la respuesta y solo una de ocho ejecuciones completó los doce veredictos.</w:t>
      </w:r>
    </w:p>
    <w:p>
      <w:pPr>
        <w:pStyle w:val="Heading3"/>
        <w:spacing w:after="200" w:before="360"/>
      </w:pPr>
      <w:r>
        <w:rPr>
          <w:rFonts w:ascii="Arial" w:cs="Arial" w:eastAsia="Arial" w:hAnsi="Arial"/>
          <w:b/>
          <w:bCs/>
          <w:color w:val="000000"/>
          <w:sz w:val="24"/>
          <w:szCs w:val="24"/>
        </w:rPr>
        <w:t xml:space="preserve">Una comparación que no se ha realizado</w:t>
      </w:r>
    </w:p>
    <w:p>
      <w:pPr>
        <w:spacing w:after="160" w:line="360" w:lineRule="auto"/>
        <w:ind w:firstLine="425"/>
        <w:jc w:val="both"/>
      </w:pPr>
      <w:r>
        <w:rPr>
          <w:rFonts w:ascii="Arial" w:cs="Arial" w:eastAsia="Arial" w:hAnsi="Arial"/>
          <w:sz w:val="22"/>
          <w:szCs w:val="22"/>
        </w:rPr>
        <w:t xml:space="preserve">Este trabajo no contrasta sus resultados contra modelos accesibles por interfaz remota. La omisión es deliberada y conviene declararla, porque un lector puede echarla en falta.</w:t>
      </w:r>
    </w:p>
    <w:p>
      <w:pPr>
        <w:spacing w:after="160" w:line="360" w:lineRule="auto"/>
        <w:ind w:firstLine="425"/>
        <w:jc w:val="both"/>
      </w:pPr>
      <w:r>
        <w:rPr>
          <w:rFonts w:ascii="Arial" w:cs="Arial" w:eastAsia="Arial" w:hAnsi="Arial"/>
          <w:sz w:val="22"/>
          <w:szCs w:val="22"/>
        </w:rPr>
        <w:t xml:space="preserve">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pPr>
        <w:spacing w:after="160" w:line="360" w:lineRule="auto"/>
        <w:ind w:firstLine="425"/>
        <w:jc w:val="both"/>
      </w:pPr>
      <w:r>
        <w:rPr>
          <w:rFonts w:ascii="Arial" w:cs="Arial" w:eastAsia="Arial" w:hAnsi="Arial"/>
          <w:sz w:val="22"/>
          <w:szCs w:val="22"/>
        </w:rPr>
        <w:t xml:space="preserve">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pPr>
        <w:pStyle w:val="Heading2"/>
        <w:spacing w:after="200" w:before="360"/>
      </w:pPr>
      <w:r>
        <w:rPr>
          <w:rFonts w:ascii="Arial" w:cs="Arial" w:eastAsia="Arial" w:hAnsi="Arial"/>
          <w:b/>
          <w:bCs/>
          <w:color w:val="000000"/>
          <w:sz w:val="26"/>
          <w:szCs w:val="26"/>
        </w:rPr>
        <w:t xml:space="preserve">5.13 Extensión exploratoria: un dataset con variables de negocio</w:t>
      </w:r>
    </w:p>
    <w:p>
      <w:pPr>
        <w:spacing w:after="160" w:line="360" w:lineRule="auto"/>
        <w:ind w:firstLine="425"/>
        <w:jc w:val="both"/>
      </w:pPr>
      <w:r>
        <w:rPr>
          <w:rFonts w:ascii="Arial" w:cs="Arial" w:eastAsia="Arial" w:hAnsi="Arial"/>
          <w:sz w:val="22"/>
          <w:szCs w:val="22"/>
        </w:rPr>
        <w:t xml:space="preserve">La sección 5.1 midió el coste de la anonimización del conjunto ULB: retirar las dos únicas variables interpretables, importe y hora, apenas cambia el AUC-PR, de modo que lo único que la capa 2 puede explicar en términos que un humano reconozca es casi irrelevante para la decisión. Esta sección comprueba qué ocurre con un dataset donde eso no es cierto. No sustituye a los experimentos anteriores ni sigue su misma exigencia metodológica: es una exploración con un único modelo, sin búsqueda de hiperparámetros y sin réplicas, pensada para responder una pregunta concreta y no para sustituir las conclusiones del capítulo.</w:t>
      </w:r>
    </w:p>
    <w:p>
      <w:pPr>
        <w:pStyle w:val="Heading3"/>
        <w:spacing w:after="200" w:before="360"/>
      </w:pPr>
      <w:r>
        <w:rPr>
          <w:rFonts w:ascii="Arial" w:cs="Arial" w:eastAsia="Arial" w:hAnsi="Arial"/>
          <w:b/>
          <w:bCs/>
          <w:color w:val="000000"/>
          <w:sz w:val="24"/>
          <w:szCs w:val="24"/>
        </w:rPr>
        <w:t xml:space="preserve">El dataset</w:t>
      </w:r>
    </w:p>
    <w:p>
      <w:pPr>
        <w:spacing w:after="160" w:line="360" w:lineRule="auto"/>
        <w:ind w:firstLine="425"/>
        <w:jc w:val="both"/>
      </w:pPr>
      <w:r>
        <w:rPr>
          <w:rFonts w:ascii="Arial" w:cs="Arial" w:eastAsia="Arial" w:hAnsi="Arial"/>
          <w:sz w:val="22"/>
          <w:szCs w:val="22"/>
        </w:rPr>
        <w:t xml:space="preserve">Se generó con Sparkov, el mismo generador que produjo el conjunto "Credit Card Transactions Fraud Detection Dataset" de Kaggle. Se generó en lugar de descargarlo porque el generador no exige credenciales y permite fijar exactamente el periodo y el número de clientes, cosa que la versión de Kaggle no permite: 1.000 clientes simulados, un año completo (2024), semilla fija para que sea reproducible.</w:t>
      </w:r>
    </w:p>
    <w:p>
      <w:pPr>
        <w:spacing w:after="160" w:line="360" w:lineRule="auto"/>
        <w:ind w:firstLine="425"/>
        <w:jc w:val="both"/>
      </w:pPr>
      <w:r>
        <w:rPr>
          <w:rFonts w:ascii="Arial" w:cs="Arial" w:eastAsia="Arial" w:hAnsi="Arial"/>
          <w:b/>
          <w:bCs/>
          <w:sz w:val="22"/>
          <w:szCs w:val="22"/>
        </w:rPr>
        <w:t xml:space="preserve">Es un dataset simulado, no transacciones reales.</w:t>
      </w:r>
      <w:r>
        <w:rPr>
          <w:rFonts w:ascii="Arial" w:cs="Arial" w:eastAsia="Arial" w:hAnsi="Arial"/>
          <w:sz w:val="22"/>
          <w:szCs w:val="22"/>
        </w:rPr>
        <w:t xml:space="preserve"> Es la limitación que hay que declarar frente al conjunto principal del trabajo, que sí lo es, y el motivo por el que esta sección se trata como exploratoria y no como una réplica del experimento principal sobre otro dominio.</w:t>
      </w:r>
    </w:p>
    <w:p>
      <w:pPr>
        <w:spacing w:after="160" w:line="360" w:lineRule="auto"/>
        <w:ind w:firstLine="425"/>
        <w:jc w:val="both"/>
      </w:pPr>
      <w:r>
        <w:rPr>
          <w:rFonts w:ascii="Arial" w:cs="Arial" w:eastAsia="Arial" w:hAnsi="Arial"/>
          <w:sz w:val="22"/>
          <w:szCs w:val="22"/>
        </w:rPr>
        <w:t xml:space="preserve">A cambio, cada transacción trae comercio, categoría de comercio, coordenadas del domicilio y del comercio, población de la ciudad, profesión y fecha de nacimiento del titular. Se derivaron seis variables de negocio a partir de esos campos: importe, hora del día, día de la semana, edad del titular, distancia en kilómetros entre domicilio y comercio, y población de la ciudad, más la categoría de comercio codificada en catorce indicadores binarios.</w:t>
      </w:r>
    </w:p>
    <w:p>
      <w:pPr>
        <w:spacing w:after="160" w:line="360" w:lineRule="auto"/>
        <w:ind w:firstLine="425"/>
        <w:jc w:val="both"/>
      </w:pPr>
      <w:r>
        <w:rPr>
          <w:rFonts w:ascii="Arial" w:cs="Arial" w:eastAsia="Arial" w:hAnsi="Arial"/>
          <w:sz w:val="22"/>
          <w:szCs w:val="22"/>
        </w:rPr>
        <w:t xml:space="preserve">El periodo de un año, frente a las cuarenta y ocho horas del conjunto ULB, permite además una partición temporal con volumen real: entrenamiento con los primeros diez meses y prueba con los últimos dos, en lugar de las últimas horas de un periodo de dos días.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
            </w:r>
          </w:p>
        </w:tc>
        <w:tc>
          <w:tcPr>
            <w:tcW w:type="dxa" w:w="2250"/>
            <w:shd w:fill="D9D9D9" w:val="clear"/>
          </w:tcPr>
          <w:p>
            <w:pPr>
              <w:spacing w:after="0"/>
            </w:pPr>
            <w:r>
              <w:rPr>
                <w:rFonts w:ascii="Arial" w:cs="Arial" w:eastAsia="Arial" w:hAnsi="Arial"/>
                <w:b/>
                <w:bCs/>
                <w:sz w:val="20"/>
                <w:szCs w:val="20"/>
              </w:rPr>
              <w:t xml:space="preserve">Filas</w:t>
            </w:r>
          </w:p>
        </w:tc>
        <w:tc>
          <w:tcPr>
            <w:tcW w:type="dxa" w:w="2250"/>
            <w:shd w:fill="D9D9D9" w:val="clear"/>
          </w:tcPr>
          <w:p>
            <w:pPr>
              <w:spacing w:after="0"/>
            </w:pPr>
            <w:r>
              <w:rPr>
                <w:rFonts w:ascii="Arial" w:cs="Arial" w:eastAsia="Arial" w:hAnsi="Arial"/>
                <w:b/>
                <w:bCs/>
                <w:sz w:val="20"/>
                <w:szCs w:val="20"/>
              </w:rPr>
              <w:t xml:space="preserve">Fraude</w:t>
            </w:r>
          </w:p>
        </w:tc>
        <w:tc>
          <w:tcPr>
            <w:tcW w:type="dxa" w:w="2250"/>
            <w:shd w:fill="D9D9D9" w:val="clear"/>
          </w:tcPr>
          <w:p>
            <w:pPr>
              <w:spacing w:after="0"/>
            </w:pPr>
            <w:r>
              <w:rPr>
                <w:rFonts w:ascii="Arial" w:cs="Arial" w:eastAsia="Arial" w:hAnsi="Arial"/>
                <w:b/>
                <w:bCs/>
                <w:sz w:val="20"/>
                <w:szCs w:val="20"/>
              </w:rPr>
              <w:t xml:space="preserve">Prevalencia</w:t>
            </w:r>
          </w:p>
        </w:tc>
      </w:tr>
      <w:tr>
        <w:tc>
          <w:tcPr>
            <w:tcW w:type="dxa" w:w="2250"/>
          </w:tcPr>
          <w:p>
            <w:pPr>
              <w:spacing w:after="0"/>
            </w:pPr>
            <w:r>
              <w:rPr>
                <w:rFonts w:ascii="Arial" w:cs="Arial" w:eastAsia="Arial" w:hAnsi="Arial"/>
                <w:b w:val="false"/>
                <w:bCs w:val="false"/>
                <w:sz w:val="20"/>
                <w:szCs w:val="20"/>
              </w:rPr>
              <w:t xml:space="preserve">Entrenamiento</w:t>
            </w:r>
          </w:p>
        </w:tc>
        <w:tc>
          <w:tcPr>
            <w:tcW w:type="dxa" w:w="2250"/>
          </w:tcPr>
          <w:p>
            <w:pPr>
              <w:spacing w:after="0"/>
            </w:pPr>
            <w:r>
              <w:rPr>
                <w:rFonts w:ascii="Arial" w:cs="Arial" w:eastAsia="Arial" w:hAnsi="Arial"/>
                <w:b w:val="false"/>
                <w:bCs w:val="false"/>
                <w:sz w:val="20"/>
                <w:szCs w:val="20"/>
              </w:rPr>
              <w:t xml:space="preserve">653.869</w:t>
            </w:r>
          </w:p>
        </w:tc>
        <w:tc>
          <w:tcPr>
            <w:tcW w:type="dxa" w:w="2250"/>
          </w:tcPr>
          <w:p>
            <w:pPr>
              <w:spacing w:after="0"/>
            </w:pPr>
            <w:r>
              <w:rPr>
                <w:rFonts w:ascii="Arial" w:cs="Arial" w:eastAsia="Arial" w:hAnsi="Arial"/>
                <w:b w:val="false"/>
                <w:bCs w:val="false"/>
                <w:sz w:val="20"/>
                <w:szCs w:val="20"/>
              </w:rPr>
              <w:t xml:space="preserve">8.161</w:t>
            </w:r>
          </w:p>
        </w:tc>
        <w:tc>
          <w:tcPr>
            <w:tcW w:type="dxa" w:w="2250"/>
          </w:tcPr>
          <w:p>
            <w:pPr>
              <w:spacing w:after="0"/>
            </w:pPr>
            <w:r>
              <w:rPr>
                <w:rFonts w:ascii="Arial" w:cs="Arial" w:eastAsia="Arial" w:hAnsi="Arial"/>
                <w:b w:val="false"/>
                <w:bCs w:val="false"/>
                <w:sz w:val="20"/>
                <w:szCs w:val="20"/>
              </w:rPr>
              <w:t xml:space="preserve">1,248 %</w:t>
            </w:r>
          </w:p>
        </w:tc>
      </w:tr>
      <w:tr>
        <w:tc>
          <w:tcPr>
            <w:tcW w:type="dxa" w:w="2250"/>
          </w:tcPr>
          <w:p>
            <w:pPr>
              <w:spacing w:after="0"/>
            </w:pPr>
            <w:r>
              <w:rPr>
                <w:rFonts w:ascii="Arial" w:cs="Arial" w:eastAsia="Arial" w:hAnsi="Arial"/>
                <w:b w:val="false"/>
                <w:bCs w:val="false"/>
                <w:sz w:val="20"/>
                <w:szCs w:val="20"/>
              </w:rPr>
              <w:t xml:space="preserve">Prueba</w:t>
            </w:r>
          </w:p>
        </w:tc>
        <w:tc>
          <w:tcPr>
            <w:tcW w:type="dxa" w:w="2250"/>
          </w:tcPr>
          <w:p>
            <w:pPr>
              <w:spacing w:after="0"/>
            </w:pPr>
            <w:r>
              <w:rPr>
                <w:rFonts w:ascii="Arial" w:cs="Arial" w:eastAsia="Arial" w:hAnsi="Arial"/>
                <w:b w:val="false"/>
                <w:bCs w:val="false"/>
                <w:sz w:val="20"/>
                <w:szCs w:val="20"/>
              </w:rPr>
              <w:t xml:space="preserve">192.881</w:t>
            </w:r>
          </w:p>
        </w:tc>
        <w:tc>
          <w:tcPr>
            <w:tcW w:type="dxa" w:w="2250"/>
          </w:tcPr>
          <w:p>
            <w:pPr>
              <w:spacing w:after="0"/>
            </w:pPr>
            <w:r>
              <w:rPr>
                <w:rFonts w:ascii="Arial" w:cs="Arial" w:eastAsia="Arial" w:hAnsi="Arial"/>
                <w:b w:val="false"/>
                <w:bCs w:val="false"/>
                <w:sz w:val="20"/>
                <w:szCs w:val="20"/>
              </w:rPr>
              <w:t xml:space="preserve">1.321</w:t>
            </w:r>
          </w:p>
        </w:tc>
        <w:tc>
          <w:tcPr>
            <w:tcW w:type="dxa" w:w="2250"/>
          </w:tcPr>
          <w:p>
            <w:pPr>
              <w:spacing w:after="0"/>
            </w:pPr>
            <w:r>
              <w:rPr>
                <w:rFonts w:ascii="Arial" w:cs="Arial" w:eastAsia="Arial" w:hAnsi="Arial"/>
                <w:b w:val="false"/>
                <w:bCs w:val="false"/>
                <w:sz w:val="20"/>
                <w:szCs w:val="20"/>
              </w:rPr>
              <w:t xml:space="preserve">0,685 %</w:t>
            </w:r>
          </w:p>
        </w:tc>
      </w:tr>
    </w:tbl>
    <w:p>
      <w:pPr>
        <w:spacing w:after="160"/>
      </w:pPr>
    </w:p>
    <w:p>
      <w:pPr>
        <w:pStyle w:val="Heading3"/>
        <w:spacing w:after="200" w:before="360"/>
      </w:pPr>
      <w:r>
        <w:rPr>
          <w:rFonts w:ascii="Arial" w:cs="Arial" w:eastAsia="Arial" w:hAnsi="Arial"/>
          <w:b/>
          <w:bCs/>
          <w:color w:val="000000"/>
          <w:sz w:val="24"/>
          <w:szCs w:val="24"/>
        </w:rPr>
        <w:t xml:space="preserve">El detector</w:t>
      </w:r>
    </w:p>
    <w:p>
      <w:pPr>
        <w:spacing w:after="160" w:line="360" w:lineRule="auto"/>
        <w:ind w:firstLine="425"/>
        <w:jc w:val="both"/>
      </w:pPr>
      <w:r>
        <w:rPr>
          <w:rFonts w:ascii="Arial" w:cs="Arial" w:eastAsia="Arial" w:hAnsi="Arial"/>
          <w:sz w:val="22"/>
          <w:szCs w:val="22"/>
        </w:rPr>
        <w:t xml:space="preserve">Se entrenó únicamente XGBoost, con la misma ponderación por gradiente que el sistema principal, sin ninguna búsqueda de hiperparámetros.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ROC-AUC</w:t>
            </w:r>
          </w:p>
        </w:tc>
        <w:tc>
          <w:tcPr>
            <w:tcW w:type="dxa" w:w="1800"/>
            <w:shd w:fill="D9D9D9" w:val="clear"/>
          </w:tcPr>
          <w:p>
            <w:pPr>
              <w:spacing w:after="0"/>
            </w:pPr>
            <w:r>
              <w:rPr>
                <w:rFonts w:ascii="Arial" w:cs="Arial" w:eastAsia="Arial" w:hAnsi="Arial"/>
                <w:b/>
                <w:bCs/>
                <w:sz w:val="20"/>
                <w:szCs w:val="20"/>
              </w:rPr>
              <w:t xml:space="preserve">P@50</w:t>
            </w:r>
          </w:p>
        </w:tc>
        <w:tc>
          <w:tcPr>
            <w:tcW w:type="dxa" w:w="1800"/>
            <w:shd w:fill="D9D9D9" w:val="clear"/>
          </w:tcPr>
          <w:p>
            <w:pPr>
              <w:spacing w:after="0"/>
            </w:pPr>
            <w:r>
              <w:rPr>
                <w:rFonts w:ascii="Arial" w:cs="Arial" w:eastAsia="Arial" w:hAnsi="Arial"/>
                <w:b/>
                <w:bCs/>
                <w:sz w:val="20"/>
                <w:szCs w:val="20"/>
              </w:rPr>
              <w:t xml:space="preserve">P@100</w:t>
            </w:r>
          </w:p>
        </w:tc>
        <w:tc>
          <w:tcPr>
            <w:tcW w:type="dxa" w:w="1800"/>
            <w:shd w:fill="D9D9D9" w:val="clear"/>
          </w:tcPr>
          <w:p>
            <w:pPr>
              <w:spacing w:after="0"/>
            </w:pPr>
            <w:r>
              <w:rPr>
                <w:rFonts w:ascii="Arial" w:cs="Arial" w:eastAsia="Arial" w:hAnsi="Arial"/>
                <w:b/>
                <w:bCs/>
                <w:sz w:val="20"/>
                <w:szCs w:val="20"/>
              </w:rPr>
              <w:t xml:space="preserve">P@200</w:t>
            </w:r>
          </w:p>
        </w:tc>
      </w:tr>
      <w:tr>
        <w:tc>
          <w:tcPr>
            <w:tcW w:type="dxa" w:w="1800"/>
          </w:tcPr>
          <w:p>
            <w:pPr>
              <w:spacing w:after="0"/>
            </w:pPr>
            <w:r>
              <w:rPr>
                <w:rFonts w:ascii="Arial" w:cs="Arial" w:eastAsia="Arial" w:hAnsi="Arial"/>
                <w:b w:val="false"/>
                <w:bCs w:val="false"/>
                <w:sz w:val="20"/>
                <w:szCs w:val="20"/>
              </w:rPr>
              <w:t xml:space="preserve">0,078</w:t>
            </w:r>
          </w:p>
        </w:tc>
        <w:tc>
          <w:tcPr>
            <w:tcW w:type="dxa" w:w="1800"/>
          </w:tcPr>
          <w:p>
            <w:pPr>
              <w:spacing w:after="0"/>
            </w:pPr>
            <w:r>
              <w:rPr>
                <w:rFonts w:ascii="Arial" w:cs="Arial" w:eastAsia="Arial" w:hAnsi="Arial"/>
                <w:b w:val="false"/>
                <w:bCs w:val="false"/>
                <w:sz w:val="20"/>
                <w:szCs w:val="20"/>
              </w:rPr>
              <w:t xml:space="preserve">0,723</w:t>
            </w:r>
          </w:p>
        </w:tc>
        <w:tc>
          <w:tcPr>
            <w:tcW w:type="dxa" w:w="1800"/>
          </w:tcPr>
          <w:p>
            <w:pPr>
              <w:spacing w:after="0"/>
            </w:pPr>
            <w:r>
              <w:rPr>
                <w:rFonts w:ascii="Arial" w:cs="Arial" w:eastAsia="Arial" w:hAnsi="Arial"/>
                <w:b w:val="false"/>
                <w:bCs w:val="false"/>
                <w:sz w:val="20"/>
                <w:szCs w:val="20"/>
              </w:rPr>
              <w:t xml:space="preserve">0,420</w:t>
            </w:r>
          </w:p>
        </w:tc>
        <w:tc>
          <w:tcPr>
            <w:tcW w:type="dxa" w:w="1800"/>
          </w:tcPr>
          <w:p>
            <w:pPr>
              <w:spacing w:after="0"/>
            </w:pPr>
            <w:r>
              <w:rPr>
                <w:rFonts w:ascii="Arial" w:cs="Arial" w:eastAsia="Arial" w:hAnsi="Arial"/>
                <w:b w:val="false"/>
                <w:bCs w:val="false"/>
                <w:sz w:val="20"/>
                <w:szCs w:val="20"/>
              </w:rPr>
              <w:t xml:space="preserve">0,400</w:t>
            </w:r>
          </w:p>
        </w:tc>
        <w:tc>
          <w:tcPr>
            <w:tcW w:type="dxa" w:w="1800"/>
          </w:tcPr>
          <w:p>
            <w:pPr>
              <w:spacing w:after="0"/>
            </w:pPr>
            <w:r>
              <w:rPr>
                <w:rFonts w:ascii="Arial" w:cs="Arial" w:eastAsia="Arial" w:hAnsi="Arial"/>
                <w:b w:val="false"/>
                <w:bCs w:val="false"/>
                <w:sz w:val="20"/>
                <w:szCs w:val="20"/>
              </w:rPr>
              <w:t xml:space="preserve">0,345</w:t>
            </w:r>
          </w:p>
        </w:tc>
      </w:tr>
    </w:tbl>
    <w:p>
      <w:pPr>
        <w:spacing w:after="160"/>
      </w:pPr>
    </w:p>
    <w:p>
      <w:pPr>
        <w:spacing w:after="160" w:line="360" w:lineRule="auto"/>
        <w:ind w:firstLine="425"/>
        <w:jc w:val="both"/>
      </w:pPr>
      <w:r>
        <w:rPr>
          <w:rFonts w:ascii="Arial" w:cs="Arial" w:eastAsia="Arial" w:hAnsi="Arial"/>
          <w:sz w:val="22"/>
          <w:szCs w:val="22"/>
        </w:rPr>
        <w:t xml:space="preserve">Las cifras no son comparables en crudo con las del conjunto ULB, y no deben leerse como que este problema sea inherentemente más difícil: el detector ULB pasó por una búsqueda de hiperparámetros completa (fase 7) y este no ha pasado por ninguna. Lo que sí es legítimo leer es la parte alta del ranking, que es la que opera un equipo real: entre los cincuenta casos de mayor puntuación, un 42 % son fraude auténtico, frente a una prevalencia del 0,685 % en la prueba. Es una señal real, sesenta y una veces por encima del azar, aunque muy por debajo del 0,98 del sistema principal en el mismo punto de operación.</w:t>
      </w:r>
    </w:p>
    <w:p>
      <w:pPr>
        <w:spacing w:after="160" w:line="360" w:lineRule="auto"/>
        <w:ind w:firstLine="425"/>
        <w:jc w:val="both"/>
      </w:pPr>
      <w:r>
        <w:rPr>
          <w:rFonts w:ascii="Arial" w:cs="Arial" w:eastAsia="Arial" w:hAnsi="Arial"/>
          <w:sz w:val="22"/>
          <w:szCs w:val="22"/>
        </w:rPr>
        <w:t xml:space="preserve">Conviene precisar que las métricas con umbral fijo en 0,5 —una precisión de 0,009 pese a un recall de 0,948— no son informativas aquí: la ponderación de la clase minoritaria empuja la mayoría de las probabilidades hacia arriba, igual que ocurre en el sistema principal, donde por eso el punto de operación se fija por P@N y no por un umbral de probabilidad fijo (4.5 y 5.2).</w:t>
      </w:r>
    </w:p>
    <w:p>
      <w:pPr>
        <w:pStyle w:val="Heading3"/>
        <w:spacing w:after="200" w:before="360"/>
      </w:pPr>
      <w:r>
        <w:rPr>
          <w:rFonts w:ascii="Arial" w:cs="Arial" w:eastAsia="Arial" w:hAnsi="Arial"/>
          <w:b/>
          <w:bCs/>
          <w:color w:val="000000"/>
          <w:sz w:val="24"/>
          <w:szCs w:val="24"/>
        </w:rPr>
        <w:t xml:space="preserve">Lo que cambia: las contribuciones son de negocio</w:t>
      </w:r>
    </w:p>
    <w:p>
      <w:pPr>
        <w:spacing w:after="160" w:line="360" w:lineRule="auto"/>
        <w:ind w:firstLine="425"/>
        <w:jc w:val="both"/>
      </w:pPr>
      <w:r>
        <w:rPr>
          <w:rFonts w:ascii="Arial" w:cs="Arial" w:eastAsia="Arial" w:hAnsi="Arial"/>
          <w:sz w:val="22"/>
          <w:szCs w:val="22"/>
        </w:rPr>
        <w:t xml:space="preserve">Es el resultado que motiva la sección. Las contribuciones de Shapley sobre los casos de fraude mejor puntuados citan variables que un analista reconoce sin traducción. Un ejemplo, el comercio "Kozey-Kuhlman", categoría cuidado personal, 744,54 USD, a 109,7 km del domicilio del titular, probabilidad 1,0000: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Variable</w:t>
            </w:r>
          </w:p>
        </w:tc>
        <w:tc>
          <w:tcPr>
            <w:tcW w:type="dxa" w:w="4500"/>
            <w:shd w:fill="D9D9D9" w:val="clear"/>
          </w:tcPr>
          <w:p>
            <w:pPr>
              <w:spacing w:after="0"/>
            </w:pPr>
            <w:r>
              <w:rPr>
                <w:rFonts w:ascii="Arial" w:cs="Arial" w:eastAsia="Arial" w:hAnsi="Arial"/>
                <w:b/>
                <w:bCs/>
                <w:sz w:val="20"/>
                <w:szCs w:val="20"/>
              </w:rPr>
              <w:t xml:space="preserve">Aporte</w:t>
            </w:r>
          </w:p>
        </w:tc>
      </w:tr>
      <w:tr>
        <w:tc>
          <w:tcPr>
            <w:tcW w:type="dxa" w:w="4500"/>
          </w:tcPr>
          <w:p>
            <w:pPr>
              <w:spacing w:after="0"/>
            </w:pPr>
            <w:r>
              <w:rPr>
                <w:rFonts w:ascii="Arial" w:cs="Arial" w:eastAsia="Arial" w:hAnsi="Arial"/>
                <w:b w:val="false"/>
                <w:bCs w:val="false"/>
                <w:sz w:val="20"/>
                <w:szCs w:val="20"/>
              </w:rPr>
              <w:t xml:space="preserve">categoria_personal_care</w:t>
            </w:r>
          </w:p>
        </w:tc>
        <w:tc>
          <w:tcPr>
            <w:tcW w:type="dxa" w:w="4500"/>
          </w:tcPr>
          <w:p>
            <w:pPr>
              <w:spacing w:after="0"/>
            </w:pPr>
            <w:r>
              <w:rPr>
                <w:rFonts w:ascii="Arial" w:cs="Arial" w:eastAsia="Arial" w:hAnsi="Arial"/>
                <w:b w:val="false"/>
                <w:bCs w:val="false"/>
                <w:sz w:val="20"/>
                <w:szCs w:val="20"/>
              </w:rPr>
              <w:t xml:space="preserve">+5,109</w:t>
            </w:r>
          </w:p>
        </w:tc>
      </w:tr>
      <w:tr>
        <w:tc>
          <w:tcPr>
            <w:tcW w:type="dxa" w:w="4500"/>
          </w:tcPr>
          <w:p>
            <w:pPr>
              <w:spacing w:after="0"/>
            </w:pPr>
            <w:r>
              <w:rPr>
                <w:rFonts w:ascii="Arial" w:cs="Arial" w:eastAsia="Arial" w:hAnsi="Arial"/>
                <w:b w:val="false"/>
                <w:bCs w:val="false"/>
                <w:sz w:val="20"/>
                <w:szCs w:val="20"/>
              </w:rPr>
              <w:t xml:space="preserve">hora</w:t>
            </w:r>
          </w:p>
        </w:tc>
        <w:tc>
          <w:tcPr>
            <w:tcW w:type="dxa" w:w="4500"/>
          </w:tcPr>
          <w:p>
            <w:pPr>
              <w:spacing w:after="0"/>
            </w:pPr>
            <w:r>
              <w:rPr>
                <w:rFonts w:ascii="Arial" w:cs="Arial" w:eastAsia="Arial" w:hAnsi="Arial"/>
                <w:b w:val="false"/>
                <w:bCs w:val="false"/>
                <w:sz w:val="20"/>
                <w:szCs w:val="20"/>
              </w:rPr>
              <w:t xml:space="preserve">+3,606</w:t>
            </w:r>
          </w:p>
        </w:tc>
      </w:tr>
      <w:tr>
        <w:tc>
          <w:tcPr>
            <w:tcW w:type="dxa" w:w="4500"/>
          </w:tcPr>
          <w:p>
            <w:pPr>
              <w:spacing w:after="0"/>
            </w:pPr>
            <w:r>
              <w:rPr>
                <w:rFonts w:ascii="Arial" w:cs="Arial" w:eastAsia="Arial" w:hAnsi="Arial"/>
                <w:b w:val="false"/>
                <w:bCs w:val="false"/>
                <w:sz w:val="20"/>
                <w:szCs w:val="20"/>
              </w:rPr>
              <w:t xml:space="preserve">importe</w:t>
            </w:r>
          </w:p>
        </w:tc>
        <w:tc>
          <w:tcPr>
            <w:tcW w:type="dxa" w:w="4500"/>
          </w:tcPr>
          <w:p>
            <w:pPr>
              <w:spacing w:after="0"/>
            </w:pPr>
            <w:r>
              <w:rPr>
                <w:rFonts w:ascii="Arial" w:cs="Arial" w:eastAsia="Arial" w:hAnsi="Arial"/>
                <w:b w:val="false"/>
                <w:bCs w:val="false"/>
                <w:sz w:val="20"/>
                <w:szCs w:val="20"/>
              </w:rPr>
              <w:t xml:space="preserve">+3,285</w:t>
            </w:r>
          </w:p>
        </w:tc>
      </w:tr>
      <w:tr>
        <w:tc>
          <w:tcPr>
            <w:tcW w:type="dxa" w:w="4500"/>
          </w:tcPr>
          <w:p>
            <w:pPr>
              <w:spacing w:after="0"/>
            </w:pPr>
            <w:r>
              <w:rPr>
                <w:rFonts w:ascii="Arial" w:cs="Arial" w:eastAsia="Arial" w:hAnsi="Arial"/>
                <w:b w:val="false"/>
                <w:bCs w:val="false"/>
                <w:sz w:val="20"/>
                <w:szCs w:val="20"/>
              </w:rPr>
              <w:t xml:space="preserve">edad</w:t>
            </w:r>
          </w:p>
        </w:tc>
        <w:tc>
          <w:tcPr>
            <w:tcW w:type="dxa" w:w="4500"/>
          </w:tcPr>
          <w:p>
            <w:pPr>
              <w:spacing w:after="0"/>
            </w:pPr>
            <w:r>
              <w:rPr>
                <w:rFonts w:ascii="Arial" w:cs="Arial" w:eastAsia="Arial" w:hAnsi="Arial"/>
                <w:b w:val="false"/>
                <w:bCs w:val="false"/>
                <w:sz w:val="20"/>
                <w:szCs w:val="20"/>
              </w:rPr>
              <w:t xml:space="preserve">+1,247</w:t>
            </w:r>
          </w:p>
        </w:tc>
      </w:tr>
      <w:tr>
        <w:tc>
          <w:tcPr>
            <w:tcW w:type="dxa" w:w="4500"/>
          </w:tcPr>
          <w:p>
            <w:pPr>
              <w:spacing w:after="0"/>
            </w:pPr>
            <w:r>
              <w:rPr>
                <w:rFonts w:ascii="Arial" w:cs="Arial" w:eastAsia="Arial" w:hAnsi="Arial"/>
                <w:b w:val="false"/>
                <w:bCs w:val="false"/>
                <w:sz w:val="20"/>
                <w:szCs w:val="20"/>
              </w:rPr>
              <w:t xml:space="preserve">categoria_home</w:t>
            </w:r>
          </w:p>
        </w:tc>
        <w:tc>
          <w:tcPr>
            <w:tcW w:type="dxa" w:w="4500"/>
          </w:tcPr>
          <w:p>
            <w:pPr>
              <w:spacing w:after="0"/>
            </w:pPr>
            <w:r>
              <w:rPr>
                <w:rFonts w:ascii="Arial" w:cs="Arial" w:eastAsia="Arial" w:hAnsi="Arial"/>
                <w:b w:val="false"/>
                <w:bCs w:val="false"/>
                <w:sz w:val="20"/>
                <w:szCs w:val="20"/>
              </w:rPr>
              <w:t xml:space="preserve">+0,365</w:t>
            </w:r>
          </w:p>
        </w:tc>
      </w:tr>
      <w:tr>
        <w:tc>
          <w:tcPr>
            <w:tcW w:type="dxa" w:w="4500"/>
          </w:tcPr>
          <w:p>
            <w:pPr>
              <w:spacing w:after="0"/>
            </w:pPr>
            <w:r>
              <w:rPr>
                <w:rFonts w:ascii="Arial" w:cs="Arial" w:eastAsia="Arial" w:hAnsi="Arial"/>
                <w:b w:val="false"/>
                <w:bCs w:val="false"/>
                <w:sz w:val="20"/>
                <w:szCs w:val="20"/>
              </w:rPr>
              <w:t xml:space="preserve">dia_semana</w:t>
            </w:r>
          </w:p>
        </w:tc>
        <w:tc>
          <w:tcPr>
            <w:tcW w:type="dxa" w:w="4500"/>
          </w:tcPr>
          <w:p>
            <w:pPr>
              <w:spacing w:after="0"/>
            </w:pPr>
            <w:r>
              <w:rPr>
                <w:rFonts w:ascii="Arial" w:cs="Arial" w:eastAsia="Arial" w:hAnsi="Arial"/>
                <w:b w:val="false"/>
                <w:bCs w:val="false"/>
                <w:sz w:val="20"/>
                <w:szCs w:val="20"/>
              </w:rPr>
              <w:t xml:space="preserve">+0,282</w:t>
            </w:r>
          </w:p>
        </w:tc>
      </w:tr>
    </w:tbl>
    <w:p>
      <w:pPr>
        <w:spacing w:after="160"/>
      </w:pPr>
    </w:p>
    <w:p>
      <w:pPr>
        <w:spacing w:after="160" w:line="360" w:lineRule="auto"/>
        <w:ind w:firstLine="425"/>
        <w:jc w:val="both"/>
      </w:pPr>
      <w:r>
        <w:rPr>
          <w:rFonts w:ascii="Arial" w:cs="Arial" w:eastAsia="Arial" w:hAnsi="Arial"/>
          <w:sz w:val="22"/>
          <w:szCs w:val="22"/>
        </w:rPr>
        <w:t xml:space="preserve">Frente al expediente del sistema principal, donde la variable de mayor aporte es una componente anonimizada como V14, aquí la explicación es directamente "la categoría de comercio, la hora del día y el importe son atípicos para este titular". Es exactamente la explicación que 4.2.1 declaraba imposible sobre el conjunto ULB.</w:t>
      </w:r>
    </w:p>
    <w:p>
      <w:pPr>
        <w:pStyle w:val="Heading3"/>
        <w:spacing w:after="200" w:before="360"/>
      </w:pPr>
      <w:r>
        <w:rPr>
          <w:rFonts w:ascii="Arial" w:cs="Arial" w:eastAsia="Arial" w:hAnsi="Arial"/>
          <w:b/>
          <w:bCs/>
          <w:color w:val="000000"/>
          <w:sz w:val="24"/>
          <w:szCs w:val="24"/>
        </w:rPr>
        <w:t xml:space="preserve">Prueba con el Investigador</w:t>
      </w:r>
    </w:p>
    <w:p>
      <w:pPr>
        <w:spacing w:after="160" w:line="360" w:lineRule="auto"/>
        <w:ind w:firstLine="425"/>
        <w:jc w:val="both"/>
      </w:pPr>
      <w:r>
        <w:rPr>
          <w:rFonts w:ascii="Arial" w:cs="Arial" w:eastAsia="Arial" w:hAnsi="Arial"/>
          <w:sz w:val="22"/>
          <w:szCs w:val="22"/>
        </w:rPr>
        <w:t xml:space="preserve">Se ejecutó qwen2.5-14b, el mismo modelo de 5.11 y 5.12, sobre los cinco casos de fraude de mayor puntuación, con el prompt exacto del arnés adaptado al expediente de negocio. Los cinco se confirman correctamente.</w:t>
      </w:r>
    </w:p>
    <w:p>
      <w:pPr>
        <w:spacing w:after="160" w:line="360" w:lineRule="auto"/>
        <w:ind w:firstLine="425"/>
        <w:jc w:val="both"/>
      </w:pPr>
      <w:r>
        <w:rPr>
          <w:rFonts w:ascii="Arial" w:cs="Arial" w:eastAsia="Arial" w:hAnsi="Arial"/>
          <w:sz w:val="22"/>
          <w:szCs w:val="22"/>
        </w:rPr>
        <w:t xml:space="preserve">Lo relevante no es el veredicto —con probabilidad 1,0000 en los cinco, confirmarlos no exige discriminar nada difícil— sino la prosa. Sobre el caso de Medhurst, Cartwright and Ebert, un cargo de 902,19 USD en la categoría de cuidado personal, el modelo escribe que el importe es alto para ese tipo de establecimiento, que la operación ocurre a las 22:00 h, y que el titular, de 85 años, vive a 120,7 km del comercio, lo que "dificulta la verosimilitud de la transacción". Sobre el caso de Mosciski Group, un cargo de viaje de 866,48 USD, sopesa explícitamente la distancia y la baja población de la ciudad del titular como atenuantes frente al importe y la categoría, y concluye que estos últimos "superan estas posibles anomalías geográficas".</w:t>
      </w:r>
    </w:p>
    <w:p>
      <w:pPr>
        <w:spacing w:after="160" w:line="360" w:lineRule="auto"/>
        <w:ind w:firstLine="425"/>
        <w:jc w:val="both"/>
      </w:pPr>
      <w:r>
        <w:rPr>
          <w:rFonts w:ascii="Arial" w:cs="Arial" w:eastAsia="Arial" w:hAnsi="Arial"/>
          <w:sz w:val="22"/>
          <w:szCs w:val="22"/>
        </w:rPr>
        <w:t xml:space="preserve">Es exactamente el tipo de razonamiento que 4.2.1 declaraba imposible sobre el conjunto ULB: aquí el modelo no se limita a citar una componente anónima como atípica, sino que combina categoría de comercio, edad del titular, distancia y hora en una explicación que un analista podría aceptar o rebatir con su propio criterio.</w:t>
      </w:r>
    </w:p>
    <w:p>
      <w:pPr>
        <w:pStyle w:val="Heading3"/>
        <w:spacing w:after="200" w:before="360"/>
      </w:pPr>
      <w:r>
        <w:rPr>
          <w:rFonts w:ascii="Arial" w:cs="Arial" w:eastAsia="Arial" w:hAnsi="Arial"/>
          <w:b/>
          <w:bCs/>
          <w:color w:val="000000"/>
          <w:sz w:val="24"/>
          <w:szCs w:val="24"/>
        </w:rPr>
        <w:t xml:space="preserve">Ablación: dossier completo frente a dossier reducido, mismo caso</w:t>
      </w:r>
    </w:p>
    <w:p>
      <w:pPr>
        <w:spacing w:after="160" w:line="360" w:lineRule="auto"/>
        <w:ind w:firstLine="425"/>
        <w:jc w:val="both"/>
      </w:pPr>
      <w:r>
        <w:rPr>
          <w:rFonts w:ascii="Arial" w:cs="Arial" w:eastAsia="Arial" w:hAnsi="Arial"/>
          <w:sz w:val="22"/>
          <w:szCs w:val="22"/>
        </w:rPr>
        <w:t xml:space="preserve">Comparar dos datasets distintos confunde el efecto del dominio con el de la legibilidad: cualquier diferencia de comportamiento podría deberse a que Sparkov es otro dominio, a que su detector es otro, o a que las variables tienen nombre. Para aislar esta última, únicamente esta, se repitió el experimento sobre los </w:t>
      </w:r>
      <w:r>
        <w:rPr>
          <w:rFonts w:ascii="Arial" w:cs="Arial" w:eastAsia="Arial" w:hAnsi="Arial"/>
          <w:b/>
          <w:bCs/>
          <w:sz w:val="22"/>
          <w:szCs w:val="22"/>
        </w:rPr>
        <w:t xml:space="preserve">mismos</w:t>
      </w:r>
      <w:r>
        <w:rPr>
          <w:rFonts w:ascii="Arial" w:cs="Arial" w:eastAsia="Arial" w:hAnsi="Arial"/>
          <w:sz w:val="22"/>
          <w:szCs w:val="22"/>
        </w:rPr>
        <w:t xml:space="preserve"> nueve casos con dos versiones del mismo dossier: </w:t>
      </w:r>
      <w:r>
        <w:rPr>
          <w:rFonts w:ascii="Arial" w:cs="Arial" w:eastAsia="Arial" w:hAnsi="Arial"/>
          <w:b/>
          <w:bCs/>
          <w:sz w:val="22"/>
          <w:szCs w:val="22"/>
        </w:rPr>
        <w:t xml:space="preserve">completo</w:t>
      </w:r>
      <w:r>
        <w:rPr>
          <w:rFonts w:ascii="Arial" w:cs="Arial" w:eastAsia="Arial" w:hAnsi="Arial"/>
          <w:sz w:val="22"/>
          <w:szCs w:val="22"/>
        </w:rPr>
        <w:t xml:space="preserve">, con comercio, categoría, edad, distancia y población con su nombre real, y </w:t>
      </w:r>
      <w:r>
        <w:rPr>
          <w:rFonts w:ascii="Arial" w:cs="Arial" w:eastAsia="Arial" w:hAnsi="Arial"/>
          <w:b/>
          <w:bCs/>
          <w:sz w:val="22"/>
          <w:szCs w:val="22"/>
        </w:rPr>
        <w:t xml:space="preserve">reducido</w:t>
      </w:r>
      <w:r>
        <w:rPr>
          <w:rFonts w:ascii="Arial" w:cs="Arial" w:eastAsia="Arial" w:hAnsi="Arial"/>
          <w:sz w:val="22"/>
          <w:szCs w:val="22"/>
        </w:rPr>
        <w:t xml:space="preserve">, con esas mismas cinco variables anonimizadas como var_1 a var_5 —el mismo techo de legibilidad que impone el conjunto ULB— y solo importe y hora conservando su nombre. Las contribuciones numéricas son idénticas en ambas versiones; solo cambia si la etiqueta dice algo reconocible.</w:t>
      </w:r>
    </w:p>
    <w:p>
      <w:pPr>
        <w:spacing w:after="160" w:line="360" w:lineRule="auto"/>
        <w:ind w:firstLine="425"/>
        <w:jc w:val="both"/>
      </w:pPr>
      <w:r>
        <w:rPr>
          <w:rFonts w:ascii="Arial" w:cs="Arial" w:eastAsia="Arial" w:hAnsi="Arial"/>
          <w:sz w:val="22"/>
          <w:szCs w:val="22"/>
        </w:rPr>
        <w:t xml:space="preserve">Los casos no se eligieron por posición en un ranking, sino por desacuerdo entre el detector y la realidad: los seis fraudes reales con la probabilidad más baja de todo el conjunto de prueba (entre 0,0018 y 0,0205 — el detector apenas los nota) y los tres legítimos con la probabilidad más alta (1,0000 — falsos positivos con la máxima confianza posible). Son los casos donde el criterio del modelo, si aporta algo distinto del detector, tendría más ocasión de notarse.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Caso</w:t>
            </w:r>
          </w:p>
        </w:tc>
        <w:tc>
          <w:tcPr>
            <w:tcW w:type="dxa" w:w="1800"/>
            <w:shd w:fill="D9D9D9" w:val="clear"/>
          </w:tcPr>
          <w:p>
            <w:pPr>
              <w:spacing w:after="0"/>
            </w:pPr>
            <w:r>
              <w:rPr>
                <w:rFonts w:ascii="Arial" w:cs="Arial" w:eastAsia="Arial" w:hAnsi="Arial"/>
                <w:b/>
                <w:bCs/>
                <w:sz w:val="20"/>
                <w:szCs w:val="20"/>
              </w:rPr>
              <w:t xml:space="preserve">Real</w:t>
            </w:r>
          </w:p>
        </w:tc>
        <w:tc>
          <w:tcPr>
            <w:tcW w:type="dxa" w:w="1800"/>
            <w:shd w:fill="D9D9D9" w:val="clear"/>
          </w:tcPr>
          <w:p>
            <w:pPr>
              <w:spacing w:after="0"/>
            </w:pPr>
            <w:r>
              <w:rPr>
                <w:rFonts w:ascii="Arial" w:cs="Arial" w:eastAsia="Arial" w:hAnsi="Arial"/>
                <w:b/>
                <w:bCs/>
                <w:sz w:val="20"/>
                <w:szCs w:val="20"/>
              </w:rPr>
              <w:t xml:space="preserve">Importe</w:t>
            </w:r>
          </w:p>
        </w:tc>
        <w:tc>
          <w:tcPr>
            <w:tcW w:type="dxa" w:w="1800"/>
            <w:shd w:fill="D9D9D9" w:val="clear"/>
          </w:tcPr>
          <w:p>
            <w:pPr>
              <w:spacing w:after="0"/>
            </w:pPr>
            <w:r>
              <w:rPr>
                <w:rFonts w:ascii="Arial" w:cs="Arial" w:eastAsia="Arial" w:hAnsi="Arial"/>
                <w:b/>
                <w:bCs/>
                <w:sz w:val="20"/>
                <w:szCs w:val="20"/>
              </w:rPr>
              <w:t xml:space="preserve">Completo</w:t>
            </w:r>
          </w:p>
        </w:tc>
        <w:tc>
          <w:tcPr>
            <w:tcW w:type="dxa" w:w="1800"/>
            <w:shd w:fill="D9D9D9" w:val="clear"/>
          </w:tcPr>
          <w:p>
            <w:pPr>
              <w:spacing w:after="0"/>
            </w:pPr>
            <w:r>
              <w:rPr>
                <w:rFonts w:ascii="Arial" w:cs="Arial" w:eastAsia="Arial" w:hAnsi="Arial"/>
                <w:b/>
                <w:bCs/>
                <w:sz w:val="20"/>
                <w:szCs w:val="20"/>
              </w:rPr>
              <w:t xml:space="preserve">Reducido</w:t>
            </w:r>
          </w:p>
        </w:tc>
      </w:tr>
      <w:tr>
        <w:tc>
          <w:tcPr>
            <w:tcW w:type="dxa" w:w="1800"/>
          </w:tcPr>
          <w:p>
            <w:pPr>
              <w:spacing w:after="0"/>
            </w:pPr>
            <w:r>
              <w:rPr>
                <w:rFonts w:ascii="Arial" w:cs="Arial" w:eastAsia="Arial" w:hAnsi="Arial"/>
                <w:b w:val="false"/>
                <w:bCs w:val="false"/>
                <w:sz w:val="20"/>
                <w:szCs w:val="20"/>
              </w:rPr>
              <w:t xml:space="preserve">1-6</w:t>
            </w:r>
          </w:p>
        </w:tc>
        <w:tc>
          <w:tcPr>
            <w:tcW w:type="dxa" w:w="1800"/>
          </w:tcPr>
          <w:p>
            <w:pPr>
              <w:spacing w:after="0"/>
            </w:pPr>
            <w:r>
              <w:rPr>
                <w:rFonts w:ascii="Arial" w:cs="Arial" w:eastAsia="Arial" w:hAnsi="Arial"/>
                <w:b w:val="false"/>
                <w:bCs w:val="false"/>
                <w:sz w:val="20"/>
                <w:szCs w:val="20"/>
              </w:rPr>
              <w:t xml:space="preserve">fraude</w:t>
            </w:r>
          </w:p>
        </w:tc>
        <w:tc>
          <w:tcPr>
            <w:tcW w:type="dxa" w:w="1800"/>
          </w:tcPr>
          <w:p>
            <w:pPr>
              <w:spacing w:after="0"/>
            </w:pPr>
            <w:r>
              <w:rPr>
                <w:rFonts w:ascii="Arial" w:cs="Arial" w:eastAsia="Arial" w:hAnsi="Arial"/>
                <w:b w:val="false"/>
                <w:bCs w:val="false"/>
                <w:sz w:val="20"/>
                <w:szCs w:val="20"/>
              </w:rPr>
              <w:t xml:space="preserve">9,67 a 156,52 USD</w:t>
            </w:r>
          </w:p>
        </w:tc>
        <w:tc>
          <w:tcPr>
            <w:tcW w:type="dxa" w:w="1800"/>
          </w:tcPr>
          <w:p>
            <w:pPr>
              <w:spacing w:after="0"/>
            </w:pPr>
            <w:r>
              <w:rPr>
                <w:rFonts w:ascii="Arial" w:cs="Arial" w:eastAsia="Arial" w:hAnsi="Arial"/>
                <w:b w:val="false"/>
                <w:bCs w:val="false"/>
                <w:sz w:val="20"/>
                <w:szCs w:val="20"/>
              </w:rPr>
              <w:t xml:space="preserve">DESCARTADO</w:t>
            </w:r>
          </w:p>
        </w:tc>
        <w:tc>
          <w:tcPr>
            <w:tcW w:type="dxa" w:w="1800"/>
          </w:tcPr>
          <w:p>
            <w:pPr>
              <w:spacing w:after="0"/>
            </w:pPr>
            <w:r>
              <w:rPr>
                <w:rFonts w:ascii="Arial" w:cs="Arial" w:eastAsia="Arial" w:hAnsi="Arial"/>
                <w:b w:val="false"/>
                <w:bCs w:val="false"/>
                <w:sz w:val="20"/>
                <w:szCs w:val="20"/>
              </w:rPr>
              <w:t xml:space="preserve">DESCARTADO</w:t>
            </w:r>
          </w:p>
        </w:tc>
      </w:tr>
      <w:tr>
        <w:tc>
          <w:tcPr>
            <w:tcW w:type="dxa" w:w="1800"/>
          </w:tcPr>
          <w:p>
            <w:pPr>
              <w:spacing w:after="0"/>
            </w:pPr>
            <w:r>
              <w:rPr>
                <w:rFonts w:ascii="Arial" w:cs="Arial" w:eastAsia="Arial" w:hAnsi="Arial"/>
                <w:b w:val="false"/>
                <w:bCs w:val="false"/>
                <w:sz w:val="20"/>
                <w:szCs w:val="20"/>
              </w:rPr>
              <w:t xml:space="preserve">7-9</w:t>
            </w:r>
          </w:p>
        </w:tc>
        <w:tc>
          <w:tcPr>
            <w:tcW w:type="dxa" w:w="1800"/>
          </w:tcPr>
          <w:p>
            <w:pPr>
              <w:spacing w:after="0"/>
            </w:pPr>
            <w:r>
              <w:rPr>
                <w:rFonts w:ascii="Arial" w:cs="Arial" w:eastAsia="Arial" w:hAnsi="Arial"/>
                <w:b w:val="false"/>
                <w:bCs w:val="false"/>
                <w:sz w:val="20"/>
                <w:szCs w:val="20"/>
              </w:rPr>
              <w:t xml:space="preserve">legítima</w:t>
            </w:r>
          </w:p>
        </w:tc>
        <w:tc>
          <w:tcPr>
            <w:tcW w:type="dxa" w:w="1800"/>
          </w:tcPr>
          <w:p>
            <w:pPr>
              <w:spacing w:after="0"/>
            </w:pPr>
            <w:r>
              <w:rPr>
                <w:rFonts w:ascii="Arial" w:cs="Arial" w:eastAsia="Arial" w:hAnsi="Arial"/>
                <w:b w:val="false"/>
                <w:bCs w:val="false"/>
                <w:sz w:val="20"/>
                <w:szCs w:val="20"/>
              </w:rPr>
              <w:t xml:space="preserve">955 a 2.135 USD</w:t>
            </w:r>
          </w:p>
        </w:tc>
        <w:tc>
          <w:tcPr>
            <w:tcW w:type="dxa" w:w="1800"/>
          </w:tcPr>
          <w:p>
            <w:pPr>
              <w:spacing w:after="0"/>
            </w:pPr>
            <w:r>
              <w:rPr>
                <w:rFonts w:ascii="Arial" w:cs="Arial" w:eastAsia="Arial" w:hAnsi="Arial"/>
                <w:b w:val="false"/>
                <w:bCs w:val="false"/>
                <w:sz w:val="20"/>
                <w:szCs w:val="20"/>
              </w:rPr>
              <w:t xml:space="preserve">CONFIRMADO</w:t>
            </w:r>
          </w:p>
        </w:tc>
        <w:tc>
          <w:tcPr>
            <w:tcW w:type="dxa" w:w="1800"/>
          </w:tcPr>
          <w:p>
            <w:pPr>
              <w:spacing w:after="0"/>
            </w:pPr>
            <w:r>
              <w:rPr>
                <w:rFonts w:ascii="Arial" w:cs="Arial" w:eastAsia="Arial" w:hAnsi="Arial"/>
                <w:b w:val="false"/>
                <w:bCs w:val="false"/>
                <w:sz w:val="20"/>
                <w:szCs w:val="20"/>
              </w:rPr>
              <w:t xml:space="preserve">CONFIRMADO</w:t>
            </w:r>
          </w:p>
        </w:tc>
      </w:tr>
    </w:tbl>
    <w:p>
      <w:pPr>
        <w:spacing w:after="160"/>
      </w:pPr>
    </w:p>
    <w:p>
      <w:pPr>
        <w:spacing w:after="160" w:line="360" w:lineRule="auto"/>
        <w:ind w:firstLine="425"/>
        <w:jc w:val="both"/>
      </w:pPr>
      <w:r>
        <w:rPr>
          <w:rFonts w:ascii="Arial" w:cs="Arial" w:eastAsia="Arial" w:hAnsi="Arial"/>
          <w:b/>
          <w:bCs/>
          <w:sz w:val="22"/>
          <w:szCs w:val="22"/>
        </w:rPr>
        <w:t xml:space="preserve">El veredicto es idéntico entre las dos versiones en los nueve casos, sin una sola excepción.</w:t>
      </w:r>
      <w:r>
        <w:rPr>
          <w:rFonts w:ascii="Arial" w:cs="Arial" w:eastAsia="Arial" w:hAnsi="Arial"/>
          <w:sz w:val="22"/>
          <w:szCs w:val="22"/>
        </w:rPr>
        <w:t xml:space="preserve"> Ni un fraude se recupera al dar nombre a las variables, ni un falso positivo se corrige al quitárselo. El modelo reproduce con exactitud el error del detector: confirma los tres legítimos que el detector puntúa alto y descarta los seis fraudes que puntúa bajo, tenga o no delante los nombres de las variables.</w:t>
      </w:r>
    </w:p>
    <w:p>
      <w:pPr>
        <w:spacing w:after="160" w:line="360" w:lineRule="auto"/>
        <w:ind w:firstLine="425"/>
        <w:jc w:val="both"/>
      </w:pPr>
      <w:r>
        <w:rPr>
          <w:rFonts w:ascii="Arial" w:cs="Arial" w:eastAsia="Arial" w:hAnsi="Arial"/>
          <w:sz w:val="22"/>
          <w:szCs w:val="22"/>
        </w:rPr>
        <w:t xml:space="preserve">La prosa sí es distinta, y de forma sistemática: en la versión completa nombra el comercio, comenta la categoría en sus propios términos —"servicios de transporte de gas", "categoría de comida y bebida"— y pondera explícitamente la edad o la distancia. En la reducida, la misma estructura argumental se sostiene sobre "var_1" y "var_2" sin perder coherencia interna. Es la confirmación experimental de 6.2.3 en su forma más limpia: el modelo no necesita entender qué es una variable para basar su veredicto en su magnitud, y entenderlo tampoco le hace decidir distinto. La legibilidad de negocio cambia lo que el texto puede argumentar, no lo que el sistema decide.</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 solo modelo, sin hiperparámetros ajustados, sobre datos simulados y con una sola semilla de generación. Nueve casos por versión no permiten ningún contraste estadístico, igual que las demostraciones de 5.11 y 5.14: es un resultado cualitativo y así debe leerse. Los cinco casos de la primera prueba y los nueve de la ablación no se solapan, y ambos apuntan en la misma dirección.</w:t>
      </w:r>
    </w:p>
    <w:p>
      <w:pPr>
        <w:spacing w:after="160" w:line="360" w:lineRule="auto"/>
        <w:ind w:firstLine="425"/>
        <w:jc w:val="both"/>
      </w:pPr>
      <w:r>
        <w:rPr>
          <w:rFonts w:ascii="Arial" w:cs="Arial" w:eastAsia="Arial" w:hAnsi="Arial"/>
          <w:sz w:val="22"/>
          <w:szCs w:val="22"/>
        </w:rPr>
        <w:t xml:space="preserve">Lo que sí permite, y es lo que se buscaba, es comprobar dos cosas por separado. Primera, que la limitación de 4.2.1 —las explicaciones no pueden ser de negocio porque el dato no lo es— es del dataset y no del sistema: con otro dataset, las mismas herramientas producen expedientes legibles por un humano y explicaciones que los aprovechan, sin cambiar una sola línea de la capa 2. Segunda, y más incómoda, que esa legibilidad no basta: sobre los mismos nueve casos de mayor desacuerdo entre el detector y la realidad, saber qué significa cada variable no cambió ni un veredicto. El problema que 5.12 y 5.14 documentan sobre ULB no es que el modelo no entienda las variables; es que su veredicto no depende de entenderlas.</w:t>
      </w:r>
    </w:p>
    <w:p>
      <w:pPr>
        <w:pStyle w:val="Heading2"/>
        <w:spacing w:after="200" w:before="360"/>
      </w:pPr>
      <w:r>
        <w:rPr>
          <w:rFonts w:ascii="Arial" w:cs="Arial" w:eastAsia="Arial" w:hAnsi="Arial"/>
          <w:b/>
          <w:bCs/>
          <w:color w:val="000000"/>
          <w:sz w:val="26"/>
          <w:szCs w:val="26"/>
        </w:rPr>
        <w:t xml:space="preserve">5.14 Ajuste fino QLoRA: ¿cambia por los pesos lo que no cambió por el enunciado?</w:t>
      </w:r>
    </w:p>
    <w:p>
      <w:pPr>
        <w:spacing w:after="160" w:line="360" w:lineRule="auto"/>
        <w:ind w:firstLine="425"/>
        <w:jc w:val="both"/>
      </w:pPr>
      <w:r>
        <w:rPr>
          <w:rFonts w:ascii="Arial" w:cs="Arial" w:eastAsia="Arial" w:hAnsi="Arial"/>
          <w:sz w:val="22"/>
          <w:szCs w:val="22"/>
        </w:rPr>
        <w:t xml:space="preserve">La sección 5.12 mostró que corregir en el enunciado la premisa sobre el importe bajo no cambia la decisión, solo la prosa. Queda una vía que 5.12 no podía probar: si esa misma corrección, en lugar de pedirse en el enunciado en cada llamada, se instala en los pesos del modelo mediante un ajuste fino, ¿deja de ser un consejo que el modelo puede ignorar y pasa a ser una disposición que aplica?</w:t>
      </w:r>
    </w:p>
    <w:p>
      <w:pPr>
        <w:pStyle w:val="Heading3"/>
        <w:spacing w:after="200" w:before="360"/>
      </w:pPr>
      <w:r>
        <w:rPr>
          <w:rFonts w:ascii="Arial" w:cs="Arial" w:eastAsia="Arial" w:hAnsi="Arial"/>
          <w:b/>
          <w:bCs/>
          <w:color w:val="000000"/>
          <w:sz w:val="24"/>
          <w:szCs w:val="24"/>
        </w:rPr>
        <w:t xml:space="preserve">Diseño</w:t>
      </w:r>
    </w:p>
    <w:p>
      <w:pPr>
        <w:spacing w:after="160" w:line="360" w:lineRule="auto"/>
        <w:ind w:firstLine="425"/>
        <w:jc w:val="both"/>
      </w:pPr>
      <w:r>
        <w:rPr>
          <w:rFonts w:ascii="Arial" w:cs="Arial" w:eastAsia="Arial" w:hAnsi="Arial"/>
          <w:sz w:val="22"/>
          <w:szCs w:val="22"/>
        </w:rPr>
        <w:t xml:space="preserve">Se entrenó un adaptador LoRA de rango 16 sobre Qwen2.5-14B-Instruct en 4 bits, con 540 ejemplos construidos exclusivamente con transacciones anteriores al corte de la partición temporal —una aserción explícita comprueba en cada ejemplo que su instante es anterior al límite de entrenamiento, para que ningún caso de la evaluación pueda haberse visto durante el ajuste—. El conjunto equilibra fraude y falso positivo y sobremuestrea el fraude de importe bajo dentro de su propia clase, precisamente el patrón que el modelo no reconocía. Las respuestas objetivo se generaron por plantilla a partir de las contribuciones reales del detector, no se redactaron a mano.</w:t>
      </w:r>
    </w:p>
    <w:p>
      <w:pPr>
        <w:spacing w:after="160" w:line="360" w:lineRule="auto"/>
        <w:ind w:firstLine="425"/>
        <w:jc w:val="both"/>
      </w:pPr>
      <w:r>
        <w:rPr>
          <w:rFonts w:ascii="Arial" w:cs="Arial" w:eastAsia="Arial" w:hAnsi="Arial"/>
          <w:sz w:val="22"/>
          <w:szCs w:val="22"/>
        </w:rPr>
        <w:t xml:space="preserve">Se comparan tres condiciones sobre los mismos doce casos de cola de 5.11 y 5.12, con el enunciado exacto del arnés: el modelo base, el modelo base con la corrección en el enunciado, y el modelo con el adaptador y sin corrección en el enunciado. El entrenamiento tardó 29,6 horas —muy por encima de lo esperado, por un cuello de botella de memoria compartida en una GPU de 16 GB compartida con el resto del sistema operativo— con una pérdida final de 0,086.</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Condición</w:t>
            </w:r>
          </w:p>
        </w:tc>
        <w:tc>
          <w:tcPr>
            <w:tcW w:type="dxa" w:w="2250"/>
            <w:shd w:fill="D9D9D9" w:val="clear"/>
          </w:tcPr>
          <w:p>
            <w:pPr>
              <w:spacing w:after="0"/>
            </w:pPr>
            <w:r>
              <w:rPr>
                <w:rFonts w:ascii="Arial" w:cs="Arial" w:eastAsia="Arial" w:hAnsi="Arial"/>
                <w:b/>
                <w:bCs/>
                <w:sz w:val="20"/>
                <w:szCs w:val="20"/>
              </w:rPr>
              <w:t xml:space="preserve">Confirma</w:t>
            </w:r>
          </w:p>
        </w:tc>
        <w:tc>
          <w:tcPr>
            <w:tcW w:type="dxa" w:w="2250"/>
            <w:shd w:fill="D9D9D9" w:val="clear"/>
          </w:tcPr>
          <w:p>
            <w:pPr>
              <w:spacing w:after="0"/>
            </w:pPr>
            <w:r>
              <w:rPr>
                <w:rFonts w:ascii="Arial" w:cs="Arial" w:eastAsia="Arial" w:hAnsi="Arial"/>
                <w:b/>
                <w:bCs/>
                <w:sz w:val="20"/>
                <w:szCs w:val="20"/>
              </w:rPr>
              <w:t xml:space="preserve">Fraude destruido</w:t>
            </w:r>
          </w:p>
        </w:tc>
        <w:tc>
          <w:tcPr>
            <w:tcW w:type="dxa" w:w="2250"/>
            <w:shd w:fill="D9D9D9" w:val="clear"/>
          </w:tcPr>
          <w:p>
            <w:pPr>
              <w:spacing w:after="0"/>
            </w:pPr>
            <w:r>
              <w:rPr>
                <w:rFonts w:ascii="Arial" w:cs="Arial" w:eastAsia="Arial" w:hAnsi="Arial"/>
                <w:b/>
                <w:bCs/>
                <w:sz w:val="20"/>
                <w:szCs w:val="20"/>
              </w:rPr>
              <w:t xml:space="preserve">Casos confirmados</w:t>
            </w:r>
          </w:p>
        </w:tc>
      </w:tr>
      <w:tr>
        <w:tc>
          <w:tcPr>
            <w:tcW w:type="dxa" w:w="2250"/>
          </w:tcPr>
          <w:p>
            <w:pPr>
              <w:spacing w:after="0"/>
            </w:pPr>
            <w:r>
              <w:rPr>
                <w:rFonts w:ascii="Arial" w:cs="Arial" w:eastAsia="Arial" w:hAnsi="Arial"/>
                <w:b w:val="false"/>
                <w:bCs w:val="false"/>
                <w:sz w:val="20"/>
                <w:szCs w:val="20"/>
              </w:rPr>
              <w:t xml:space="preserve">base</w:t>
            </w:r>
          </w:p>
        </w:tc>
        <w:tc>
          <w:tcPr>
            <w:tcW w:type="dxa" w:w="2250"/>
          </w:tcPr>
          <w:p>
            <w:pPr>
              <w:spacing w:after="0"/>
            </w:pPr>
            <w:r>
              <w:rPr>
                <w:rFonts w:ascii="Arial" w:cs="Arial" w:eastAsia="Arial" w:hAnsi="Arial"/>
                <w:b w:val="false"/>
                <w:bCs w:val="false"/>
                <w:sz w:val="20"/>
                <w:szCs w:val="20"/>
              </w:rPr>
              <w:t xml:space="preserve">0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ninguno</w:t>
            </w:r>
          </w:p>
        </w:tc>
      </w:tr>
      <w:tr>
        <w:tc>
          <w:tcPr>
            <w:tcW w:type="dxa" w:w="2250"/>
          </w:tcPr>
          <w:p>
            <w:pPr>
              <w:spacing w:after="0"/>
            </w:pPr>
            <w:r>
              <w:rPr>
                <w:rFonts w:ascii="Arial" w:cs="Arial" w:eastAsia="Arial" w:hAnsi="Arial"/>
                <w:b w:val="false"/>
                <w:bCs w:val="false"/>
                <w:sz w:val="20"/>
                <w:szCs w:val="20"/>
              </w:rPr>
              <w:t xml:space="preserve">base + dominio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r>
        <w:tc>
          <w:tcPr>
            <w:tcW w:type="dxa" w:w="2250"/>
          </w:tcPr>
          <w:p>
            <w:pPr>
              <w:spacing w:after="0"/>
            </w:pPr>
            <w:r>
              <w:rPr>
                <w:rFonts w:ascii="Arial" w:cs="Arial" w:eastAsia="Arial" w:hAnsi="Arial"/>
                <w:b w:val="false"/>
                <w:bCs w:val="false"/>
                <w:sz w:val="20"/>
                <w:szCs w:val="20"/>
              </w:rPr>
              <w:t xml:space="preserve">adaptado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bl>
    <w:p>
      <w:pPr>
        <w:spacing w:after="160"/>
      </w:pPr>
    </w:p>
    <w:p>
      <w:pPr>
        <w:spacing w:after="160" w:line="360" w:lineRule="auto"/>
        <w:ind w:firstLine="425"/>
        <w:jc w:val="both"/>
      </w:pPr>
      <w:r>
        <w:rPr>
          <w:rFonts w:ascii="Arial" w:cs="Arial" w:eastAsia="Arial" w:hAnsi="Arial"/>
          <w:b/>
          <w:bCs/>
          <w:sz w:val="22"/>
          <w:szCs w:val="22"/>
        </w:rPr>
        <w:t xml:space="preserve">Los veredictos de "adaptado" son idénticos a los de "base + dominio", caso por caso, en los doce.</w:t>
      </w:r>
      <w:r>
        <w:rPr>
          <w:rFonts w:ascii="Arial" w:cs="Arial" w:eastAsia="Arial" w:hAnsi="Arial"/>
          <w:sz w:val="22"/>
          <w:szCs w:val="22"/>
        </w:rPr>
        <w:t xml:space="preserve"> El adaptador no salva los fraudes 50 y 55, que siguen descartados, y confirma el mismo caso de control, el 44, que no es fraude. Instalar la corrección en los pesos no logró lo que instalarla en el enunciado tampoco logró.</w:t>
      </w:r>
    </w:p>
    <w:p>
      <w:pPr>
        <w:spacing w:after="160" w:line="360" w:lineRule="auto"/>
        <w:ind w:firstLine="425"/>
        <w:jc w:val="both"/>
      </w:pPr>
      <w:r>
        <w:rPr>
          <w:rFonts w:ascii="Arial" w:cs="Arial" w:eastAsia="Arial" w:hAnsi="Arial"/>
          <w:sz w:val="22"/>
          <w:szCs w:val="22"/>
        </w:rPr>
        <w:t xml:space="preserve">Lo que sí cambia por completo es la prosa. Frente al párrafo largo y con matices de las otras dos condiciones, el modelo adaptado responde con una estructura fija y telegráfica: cita la probabilidad exacta del expediente, dos variables a favor de la sospecha y dos en contra con sus valores, y cierra con una frase de conclusión. Sobre el caso 55 escribe: "el detector eleva el CASO 55 con probabilidad 0,0673 y un importe de 2,22 EUR. Empujan hacia fraude V14 (+3,004) y V4 (+2,180). En sentido contrario, V1 (-2,603) y V7 (-1,660). El conjunto de aportes no sostiene la sospecha: el patrón es compatible con una operación legítima."</w:t>
      </w:r>
    </w:p>
    <w:p>
      <w:pPr>
        <w:spacing w:after="160" w:line="360" w:lineRule="auto"/>
        <w:ind w:firstLine="425"/>
        <w:jc w:val="both"/>
      </w:pPr>
      <w:r>
        <w:rPr>
          <w:rFonts w:ascii="Arial" w:cs="Arial" w:eastAsia="Arial" w:hAnsi="Arial"/>
          <w:sz w:val="22"/>
          <w:szCs w:val="22"/>
        </w:rPr>
        <w:t xml:space="preserve">Y sobre el caso 44, el único que confirma, escribe: "el importe reducido no es un atenuante: el cargo mínimo de prueba es un patrón habitual de fraude, y las contribuciones dominantes lo respaldan."</w:t>
      </w:r>
    </w:p>
    <w:p>
      <w:pPr>
        <w:spacing w:after="160" w:line="360" w:lineRule="auto"/>
        <w:ind w:firstLine="425"/>
        <w:jc w:val="both"/>
      </w:pPr>
      <w:r>
        <w:rPr>
          <w:rFonts w:ascii="Arial" w:cs="Arial" w:eastAsia="Arial" w:hAnsi="Arial"/>
          <w:sz w:val="22"/>
          <w:szCs w:val="22"/>
        </w:rPr>
        <w:t xml:space="preserve">La cifra que cita —0,0673 en el caso 55, 0,1286 en el 50, 0,6081 en el 44— es la probabilidad que el propio expediente le entrega, y coincide en todos los casos con el sentido del veredicto: probabilidad baja, descarta; probabilidad más alta, confirma. Es la misma dependencia de la puntuación del detector que 5.7 y 5.8 documentaron sin ajuste fino de por medio: el modelo no aprendió a razonar distinto sobre el importe, aprendió una plantilla que resume fielmente las contribuciones y decide según la puntuación que ya traía el expediente. El entrenamiento con respuestas objetivo generadas por plantilla es la explicación más probable de por qué el estilo se volvió tan uniforme.</w:t>
      </w:r>
    </w:p>
    <w:p>
      <w:pPr>
        <w:pStyle w:val="Heading3"/>
        <w:spacing w:after="200" w:before="360"/>
      </w:pPr>
      <w:r>
        <w:rPr>
          <w:rFonts w:ascii="Arial" w:cs="Arial" w:eastAsia="Arial" w:hAnsi="Arial"/>
          <w:b/>
          <w:bCs/>
          <w:color w:val="000000"/>
          <w:sz w:val="24"/>
          <w:szCs w:val="24"/>
        </w:rPr>
        <w:t xml:space="preserve">Lectura</w:t>
      </w:r>
    </w:p>
    <w:p>
      <w:pPr>
        <w:spacing w:after="160" w:line="360" w:lineRule="auto"/>
        <w:ind w:firstLine="425"/>
        <w:jc w:val="both"/>
      </w:pPr>
      <w:r>
        <w:rPr>
          <w:rFonts w:ascii="Arial" w:cs="Arial" w:eastAsia="Arial" w:hAnsi="Arial"/>
          <w:sz w:val="22"/>
          <w:szCs w:val="22"/>
        </w:rPr>
        <w:t xml:space="preserve">Se comprobó lo que 6.4 dejaba como pregunta abierta: la disociación entre explicación y decisión no depende de que la corrección llegue por el enunciado o por los pesos. En ambos casos el modelo dispone de la misma evidencia —las contribuciones por variable— y en ambos casos decide con el mismo criterio, que no es el importe sino la puntuación previa del detector. Cambiar el canal de la corrección cambió el estilo de la respuesta y no cambió ni un solo veredicto.</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Doce casos y un adaptador entrenado una vez: no hay contraste estadístico posible, igual que en 5.11. El conjunto de ajuste usa respuestas objetivo plantilladas, lo que probablemente explica la uniformidad de la prosa resultante más que cualquier propiedad del ajuste fino en sí; un conjunto con respuestas más variadas podría comportarse distinto y queda como trabajo futuro. No se ha medido si el adaptador generaliza a casos de fraude de importe bajo fuera de los que motivaron su diseño.</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w:t>
      </w:r>
      <w:r>
        <w:rPr>
          <w:rFonts w:ascii="Arial" w:cs="Arial" w:eastAsia="Arial" w:hAnsi="Arial"/>
          <w:b/>
          <w:bCs/>
          <w:sz w:val="22"/>
          <w:szCs w:val="22"/>
        </w:rPr>
        <w:t xml:space="preserve">sobre el turno evaluado</w:t>
      </w:r>
      <w:r>
        <w:rPr>
          <w:rFonts w:ascii="Arial" w:cs="Arial" w:eastAsia="Arial" w:hAnsi="Arial"/>
          <w:sz w:val="22"/>
          <w:szCs w:val="22"/>
        </w:rPr>
        <w:t xml:space="preserve">, el importe mediano de una transacción fraudulenta es de 2,11 euros frente a 19,99 de una legítima, y el 59,3 % de los fraudes no llega a cinco euros frente al 25,1 % de las legítimas: 2,4 veces más probabilidad de ser de importe reducido. La relación se mantiene sobre el conjunto completo, aunque con menor intensidad —mediana de 9,25 frente a 22,00 euros, y 45,1 % frente a 24,2 % por debajo de cinco euros, es decir 1,9 veces—, de modo que la premisa del modelo resulta falsa en ambas poblaciones.</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En los términos que la literatura de inteligencia artificial explicable emplea, y que se recogen en 2.4, lo observado es que </w:t>
      </w:r>
      <w:r>
        <w:rPr>
          <w:rFonts w:ascii="Arial" w:cs="Arial" w:eastAsia="Arial" w:hAnsi="Arial"/>
          <w:b/>
          <w:bCs/>
          <w:sz w:val="22"/>
          <w:szCs w:val="22"/>
        </w:rPr>
        <w:t xml:space="preserve">la corrección aumenta la plausibilidad de la explicación sin aumentar su fidelidad</w:t>
      </w:r>
      <w:r>
        <w:rPr>
          <w:rFonts w:ascii="Arial" w:cs="Arial" w:eastAsia="Arial" w:hAnsi="Arial"/>
          <w:sz w:val="22"/>
          <w:szCs w:val="22"/>
        </w:rPr>
        <w:t xml:space="preserve">. La plausibilidad crece de forma deliberada y verificable: el modelo pasa de no mencionar nunca el patrón del cargo de prueba a describirlo correctamente en 43 de 96 casos, empleando conocimiento válido del dominio. La fidelidad no acompaña: la decisión que sigue a esa descripción es la misma que antes.</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 Es precisamente el riesgo que la literatura señala al distinguir ambas propiedades, observado aquí sobre un sistema en funcionamiento y con un denominador.</w:t>
      </w:r>
    </w:p>
    <w:p>
      <w:pPr>
        <w:spacing w:after="160" w:line="360" w:lineRule="auto"/>
        <w:ind w:firstLine="425"/>
        <w:jc w:val="both"/>
      </w:pPr>
      <w:r>
        <w:rPr>
          <w:rFonts w:ascii="Arial" w:cs="Arial" w:eastAsia="Arial" w:hAnsi="Arial"/>
          <w:sz w:val="22"/>
          <w:szCs w:val="22"/>
        </w:rP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rFonts w:ascii="Arial" w:cs="Arial" w:eastAsia="Arial" w:hAnsi="Arial"/>
          <w:b/>
          <w:bCs/>
          <w:sz w:val="22"/>
          <w:szCs w:val="22"/>
        </w:rPr>
        <w:t xml:space="preserve">consistencia entre explicación y decisión</w:t>
      </w:r>
      <w:r>
        <w:rPr>
          <w:rFonts w:ascii="Arial" w:cs="Arial" w:eastAsia="Arial" w:hAnsi="Arial"/>
          <w:sz w:val="22"/>
          <w:szCs w:val="22"/>
        </w:rPr>
        <w:t xml:space="preserve">, y no confundirla con la fidelidad.</w:t>
      </w:r>
    </w:p>
    <w:p>
      <w:pPr>
        <w:spacing w:after="160" w:line="360" w:lineRule="auto"/>
        <w:ind w:firstLine="425"/>
        <w:jc w:val="both"/>
      </w:pPr>
      <w:r>
        <w:rPr>
          <w:rFonts w:ascii="Arial" w:cs="Arial" w:eastAsia="Arial" w:hAnsi="Arial"/>
          <w:sz w:val="22"/>
          <w:szCs w:val="22"/>
        </w:rPr>
        <w:t xml:space="preserve">Cabía preguntarse si el problema era el canal: quizá una corrección repetida en cada llamada, que el modelo puede en principio ignorar, se comporta distinto de una corrección instalada de forma permanente en los pesos. La sección 5.14 responde que no. Un adaptador LoRA entrenado sobre el propio dominio, con ejemplos que sí distinguen fraude de importe bajo de falso positivo de importe bajo, produce sobre los mismos doce casos de cola </w:t>
      </w:r>
      <w:r>
        <w:rPr>
          <w:rFonts w:ascii="Arial" w:cs="Arial" w:eastAsia="Arial" w:hAnsi="Arial"/>
          <w:b/>
          <w:bCs/>
          <w:sz w:val="22"/>
          <w:szCs w:val="22"/>
        </w:rPr>
        <w:t xml:space="preserve">veredictos idénticos, uno por uno, a los de la corrección en el enunciado</w:t>
      </w:r>
      <w:r>
        <w:rPr>
          <w:rFonts w:ascii="Arial" w:cs="Arial" w:eastAsia="Arial" w:hAnsi="Arial"/>
          <w:sz w:val="22"/>
          <w:szCs w:val="22"/>
        </w:rPr>
        <w:t xml:space="preserve">. Cambia la forma —una prosa telegráfica que cita las contribuciones con sus valores exactos— y no cambia la decisión. La causa más probable, discutida en 5.14, es que el modelo aprendió a resumir fielmente el expediente y a decidir según la puntuación que este ya traía, no a ponderar el importe de otra manera: el mismo mecanismo que describe 6.2.3, ahora instalado en los pesos en vez de sugerido en el prompt.</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spacing w:after="160" w:line="360" w:lineRule="auto"/>
        <w:ind w:firstLine="425"/>
        <w:jc w:val="both"/>
      </w:pPr>
      <w:r>
        <w:rPr>
          <w:rFonts w:ascii="Arial" w:cs="Arial" w:eastAsia="Arial" w:hAnsi="Arial"/>
          <w:sz w:val="22"/>
          <w:szCs w:val="22"/>
        </w:rPr>
        <w:t xml:space="preserve">La ablación de 5.13 sobre el dataset Sparkov lo confirma desde un ángulo que ULB no permitía probar. Sobre los mismos nueve casos —seis fraudes que el detector apenas nota y tres falsos positivos que señala con máxima confianza—, dar nombre real a comercio, categoría, edad y distancia frente a anonimizarlos como var_1 a var_5 no cambió un solo veredicto: el modelo reproduce el error del detector en los nueve casos, tenga o no delante el significado de las variables. Que el modelo entienda o no la variable es irrelevante para su decisión; lo relevante es su magnitud. La legibilidad de negocio mejora lo que el texto puede argumentar y no toca, en esta comprobación, lo que el sistema decide.</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agotan su presupuesto de generación pensando antes de responder, de modo que la respuesta llega vacía o cortada a mitad de frase, sin el veredicto final. Se observó primero en un modelo y las pruebas del demostrador lo reprodujeron en un segundo de otra familia: es una propiedad de la clase, no una rareza.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conjunto principal está anonimizado, cubre un solo periodo de 48 horas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extensión de 5.13 sobre variables de negocio usa un dataset simulado, no transacciones reales, con un único modelo sin ajuste de hiperparámetros. Ni la prueba de los cinco casos de mayor probabilidad ni la ablación completo/reducido sobre los nueve de mayor desacuerdo permiten ningún contraste estadístico: son catorce casos en total y así deben leerse, como demostraciones y no como series.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ajuste QLoRA de 5.14 se evaluó sobre los mismos doce casos de cola que 5.11 y 5.12, con un solo adaptador entrenado una vez. Las respuestas objetivo del entrenamiento se generaron por plantilla, lo que probablemente influye en la uniformidad de la prosa resultante; no se ha probado un conjunto de entrenamiento con respuestas más variadas.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Repetir la extensión de negocio con transacciones reales y con un detector ajustado.</w:t>
      </w:r>
      <w:r>
        <w:rPr>
          <w:rFonts w:ascii="Arial" w:cs="Arial" w:eastAsia="Arial" w:hAnsi="Arial"/>
          <w:sz w:val="22"/>
          <w:szCs w:val="22"/>
        </w:rPr>
        <w:t xml:space="preserve"> La sección 5.13 agotó, dentro de lo razonable para una extensión exploratoria, la pregunta que la motivaba: sobre un dataset simulado (Sparkov) con variables de negocio, las contribuciones del detector y la prosa del Investigador dejan de citar componentes anónimas y pasan a citar comercio, categoría, distancia y edad; y una ablación que compara el mismo caso con esas variables legibles o anonimizadas muestra que esa legibilidad, por sí sola, no cambia ni un veredicto sobre los nueve casos de mayor desacuerdo entre el detector y la realidad. Queda pendiente repetir el ejercicio con transacciones reales y no simuladas, y con un detector que haya pasado por la misma búsqueda de hiperparámetros que el de ULB: la mediana de probabilidad de 0,95 sobre el conjunto de prueba de Sparkov sugiere que una parte del problema es de calibración, no solo de dominio, y separarlas requeriría ese ajuste.</w:t>
      </w:r>
    </w:p>
    <w:p>
      <w:pPr>
        <w:spacing w:after="160" w:line="360" w:lineRule="auto"/>
        <w:ind w:firstLine="425"/>
        <w:jc w:val="both"/>
      </w:pPr>
      <w:r>
        <w:rPr>
          <w:rFonts w:ascii="Arial" w:cs="Arial" w:eastAsia="Arial" w:hAnsi="Arial"/>
          <w:b/>
          <w:bCs/>
          <w:sz w:val="22"/>
          <w:szCs w:val="22"/>
        </w:rPr>
        <w:t xml:space="preserve">Ajuste fino sobre casos etiquetados, con un conjunto de entrenamiento más variado.</w:t>
      </w:r>
      <w:r>
        <w:rPr>
          <w:rFonts w:ascii="Arial" w:cs="Arial" w:eastAsia="Arial" w:hAnsi="Arial"/>
          <w:sz w:val="22"/>
          <w:szCs w:val="22"/>
        </w:rPr>
        <w:t xml:space="preserve"> Se realizó (5.14): un adaptador LoRA sobre el propio dominio, entrenado solo con casos anteriores al corte de prueba. El resultado fue negativo en el sentido relevante y positivo en el metodológico. Los veredictos sobre los doce casos de cola son idénticos a los de corregir la premisa en el enunciado, caso por caso: la disociación entre explicación y decisión persiste cuando la información llega por los pesos, no solo por el enunciado. Lo que queda abierto es si ese resultado depende de que las respuestas objetivo del entrenamiento se generaran por plantilla, lo que pudo enseñar al modelo a resumir el expediente en vez de a decidir distinto sobre él. Repetirlo con un conjunto de respuestas más variadas, redactadas o revisadas por un humano, separaría esas dos explicaciones.</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Baisholanova, K., et al. (2025). FraudX AI: An Interpretable Machine Learning Framework for Credit Card Fraud Detection on Imbalanced Datasets. Computers, 14(4), 120. https://doi.org/10.3390/computers14040120</w:t>
      </w:r>
    </w:p>
    <w:p>
      <w:pPr>
        <w:spacing w:after="160" w:line="360" w:lineRule="auto"/>
        <w:ind w:left="425" w:hanging="425"/>
      </w:pPr>
      <w:r>
        <w:rPr>
          <w:rFonts w:ascii="Arial" w:cs="Arial" w:eastAsia="Arial" w:hAnsi="Arial"/>
          <w:sz w:val="22"/>
          <w:szCs w:val="22"/>
        </w:rPr>
        <w:t xml:space="preserve">Bhattacharya, G., et al. (2025). MASCA: LLM based-Multi Agents System for Credit Assessment. arXiv:2507.22758.</w:t>
      </w:r>
    </w:p>
    <w:p>
      <w:pPr>
        <w:spacing w:after="160" w:line="360" w:lineRule="auto"/>
        <w:ind w:left="425" w:hanging="425"/>
      </w:pPr>
      <w:r>
        <w:rPr>
          <w:rFonts w:ascii="Arial" w:cs="Arial" w:eastAsia="Arial" w:hAnsi="Arial"/>
          <w:sz w:val="22"/>
          <w:szCs w:val="22"/>
        </w:rPr>
        <w:t xml:space="preserve">Bilal, A., Ebert, D., &amp; Lin, B. (2025). LLMs for Explainable AI: A Comprehensive Survey. arXiv:2504.00125.</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Kabane, S. (2024). Impact of Sampling Techniques and Data Leakage on XGBoost Performance in Credit Card Fraud Detection. arXiv:2412.07437.</w:t>
      </w:r>
    </w:p>
    <w:p>
      <w:pPr>
        <w:spacing w:after="160" w:line="360" w:lineRule="auto"/>
        <w:ind w:left="425" w:hanging="425"/>
      </w:pPr>
      <w:r>
        <w:rPr>
          <w:rFonts w:ascii="Arial" w:cs="Arial" w:eastAsia="Arial" w:hAnsi="Arial"/>
          <w:sz w:val="22"/>
          <w:szCs w:val="22"/>
        </w:rPr>
        <w:t xml:space="preserve">Li, A., Zhao, Y., Qiu, C., Kloft, M., Smyth, P., Rudolph, M., &amp; Mandt, S. (2024). Anomaly Detection of Tabular Data Using LLMs. arXiv:2406.16308.</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Magnier, B. (2025). Data Leakage and Deceptive Performance: A Critical Examination of Credit Card Fraud Detection Methodologies. Mathematics, 13(16), 2563. https://doi.org/10.3390/math13162563</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Qin, J., Xi, Y., Huang, J., Rui, R., Yin, D., Liu, W., Yu, Y., Zhang, W., &amp; Sun, X. (2025). APTBench: Benchmarking Agentic Potential of Base LLMs During Pre-Training. arXiv:2510.24397.</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Sun, H., Zhang, S., Niu, L., Ren, L., Xu, H., Fu, H., Zhao, F., Yuan, C., &amp; Wang, X. (2025). Collab-Overcooked: Benchmarking and Evaluating Large Language Models as Collaborative Agents. En Proceedings of EMNLP 2025 (pp. 4890-4919). https://doi.org/10.18653/v1/2025.emnlp-main.249</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80" w:before="240"/>
        <w:jc w:val="center"/>
      </w:pPr>
      <w:r>
        <w:drawing>
          <wp:inline distT="0" distB="0" distL="0" distR="0">
            <wp:extent cx="540067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00675" cy="4324350"/>
                    </a:xfrm>
                    <a:prstGeom prst="rect">
                      <a:avLst/>
                    </a:prstGeom>
                  </pic:spPr>
                </pic:pic>
              </a:graphicData>
            </a:graphic>
          </wp:inline>
        </w:drawing>
      </w:r>
    </w:p>
    <w:p>
      <w:pPr>
        <w:spacing w:after="240"/>
        <w:jc w:val="center"/>
      </w:pPr>
      <w:r>
        <w:rPr>
          <w:i/>
          <w:iCs/>
          <w:sz w:val="20"/>
          <w:szCs w:val="20"/>
        </w:rPr>
        <w:t xml:space="preserve">Figura 24. Estructura del repositorio. En azul el código determinista de la capa 1, en rojo el estocástico de la capa 2, en verde los guiones de experimentación, en gris los datos y la documentación.</w:t>
      </w:r>
    </w:p>
    <w:p>
      <w:pPr>
        <w:spacing w:after="160" w:line="360" w:lineRule="auto"/>
        <w:ind w:firstLine="425"/>
        <w:jc w:val="both"/>
      </w:pPr>
      <w:r>
        <w:rPr>
          <w:rFonts w:ascii="Arial" w:cs="Arial" w:eastAsia="Arial" w:hAnsi="Arial"/>
          <w:sz w:val="22"/>
          <w:szCs w:val="22"/>
        </w:rPr>
        <w:t xml:space="preserve">El repositorio se organiza en cuatro directorios con responsabilidades separadas.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Directorio</w:t>
            </w:r>
          </w:p>
        </w:tc>
        <w:tc>
          <w:tcPr>
            <w:tcW w:type="dxa" w:w="4500"/>
            <w:shd w:fill="D9D9D9" w:val="clear"/>
          </w:tcPr>
          <w:p>
            <w:pPr>
              <w:spacing w:after="0"/>
            </w:pPr>
            <w:r>
              <w:rPr>
                <w:rFonts w:ascii="Arial" w:cs="Arial" w:eastAsia="Arial" w:hAnsi="Arial"/>
                <w:b/>
                <w:bCs/>
                <w:sz w:val="20"/>
                <w:szCs w:val="20"/>
              </w:rPr>
              <w:t xml:space="preserve">Contenido</w:t>
            </w:r>
          </w:p>
        </w:tc>
      </w:tr>
      <w:tr>
        <w:tc>
          <w:tcPr>
            <w:tcW w:type="dxa" w:w="4500"/>
          </w:tcPr>
          <w:p>
            <w:pPr>
              <w:spacing w:after="0"/>
            </w:pPr>
            <w:r>
              <w:rPr>
                <w:rFonts w:ascii="Arial" w:cs="Arial" w:eastAsia="Arial" w:hAnsi="Arial"/>
                <w:b w:val="false"/>
                <w:bCs w:val="false"/>
                <w:sz w:val="20"/>
                <w:szCs w:val="20"/>
              </w:rPr>
              <w:t xml:space="preserve">src/detector</w:t>
            </w:r>
          </w:p>
        </w:tc>
        <w:tc>
          <w:tcPr>
            <w:tcW w:type="dxa" w:w="4500"/>
          </w:tcPr>
          <w:p>
            <w:pPr>
              <w:spacing w:after="0"/>
            </w:pPr>
            <w:r>
              <w:rPr>
                <w:rFonts w:ascii="Arial" w:cs="Arial" w:eastAsia="Arial" w:hAnsi="Arial"/>
                <w:b w:val="false"/>
                <w:bCs w:val="false"/>
                <w:sz w:val="20"/>
                <w:szCs w:val="20"/>
              </w:rPr>
              <w:t xml:space="preserve">Carga de datos, entrenamiento y puntuación. Sin dependencias de la capa 2</w:t>
            </w:r>
          </w:p>
        </w:tc>
      </w:tr>
      <w:tr>
        <w:tc>
          <w:tcPr>
            <w:tcW w:type="dxa" w:w="4500"/>
          </w:tcPr>
          <w:p>
            <w:pPr>
              <w:spacing w:after="0"/>
            </w:pPr>
            <w:r>
              <w:rPr>
                <w:rFonts w:ascii="Arial" w:cs="Arial" w:eastAsia="Arial" w:hAnsi="Arial"/>
                <w:b w:val="false"/>
                <w:bCs w:val="false"/>
                <w:sz w:val="20"/>
                <w:szCs w:val="20"/>
              </w:rPr>
              <w:t xml:space="preserve">src/agents</w:t>
            </w:r>
          </w:p>
        </w:tc>
        <w:tc>
          <w:tcPr>
            <w:tcW w:type="dxa" w:w="4500"/>
          </w:tcPr>
          <w:p>
            <w:pPr>
              <w:spacing w:after="0"/>
            </w:pPr>
            <w:r>
              <w:rPr>
                <w:rFonts w:ascii="Arial" w:cs="Arial" w:eastAsia="Arial" w:hAnsi="Arial"/>
                <w:b w:val="false"/>
                <w:bCs w:val="false"/>
                <w:sz w:val="20"/>
                <w:szCs w:val="20"/>
              </w:rPr>
              <w:t xml:space="preserve">Definición de los agentes, herramientas y fragmentos de enunciado compartidos</w:t>
            </w:r>
          </w:p>
        </w:tc>
      </w:tr>
      <w:tr>
        <w:tc>
          <w:tcPr>
            <w:tcW w:type="dxa" w:w="4500"/>
          </w:tcPr>
          <w:p>
            <w:pPr>
              <w:spacing w:after="0"/>
            </w:pPr>
            <w:r>
              <w:rPr>
                <w:rFonts w:ascii="Arial" w:cs="Arial" w:eastAsia="Arial" w:hAnsi="Arial"/>
                <w:b w:val="false"/>
                <w:bCs w:val="false"/>
                <w:sz w:val="20"/>
                <w:szCs w:val="20"/>
              </w:rPr>
              <w:t xml:space="preserve">scripts</w:t>
            </w:r>
          </w:p>
        </w:tc>
        <w:tc>
          <w:tcPr>
            <w:tcW w:type="dxa" w:w="4500"/>
          </w:tcPr>
          <w:p>
            <w:pPr>
              <w:spacing w:after="0"/>
            </w:pPr>
            <w:r>
              <w:rPr>
                <w:rFonts w:ascii="Arial" w:cs="Arial" w:eastAsia="Arial" w:hAnsi="Arial"/>
                <w:b w:val="false"/>
                <w:bCs w:val="false"/>
                <w:sz w:val="20"/>
                <w:szCs w:val="20"/>
              </w:rPr>
              <w:t xml:space="preserve">Un guion por experimento, cada uno con su justificación en la cabecera</w:t>
            </w:r>
          </w:p>
        </w:tc>
      </w:tr>
      <w:tr>
        <w:tc>
          <w:tcPr>
            <w:tcW w:type="dxa" w:w="4500"/>
          </w:tcPr>
          <w:p>
            <w:pPr>
              <w:spacing w:after="0"/>
            </w:pPr>
            <w:r>
              <w:rPr>
                <w:rFonts w:ascii="Arial" w:cs="Arial" w:eastAsia="Arial" w:hAnsi="Arial"/>
                <w:b w:val="false"/>
                <w:bCs w:val="false"/>
                <w:sz w:val="20"/>
                <w:szCs w:val="20"/>
              </w:rPr>
              <w:t xml:space="preserve">reports</w:t>
            </w:r>
          </w:p>
        </w:tc>
        <w:tc>
          <w:tcPr>
            <w:tcW w:type="dxa" w:w="4500"/>
          </w:tcPr>
          <w:p>
            <w:pPr>
              <w:spacing w:after="0"/>
            </w:pPr>
            <w:r>
              <w:rPr>
                <w:rFonts w:ascii="Arial" w:cs="Arial" w:eastAsia="Arial" w:hAnsi="Arial"/>
                <w:b w:val="false"/>
                <w:bCs w:val="false"/>
                <w:sz w:val="20"/>
                <w:szCs w:val="20"/>
              </w:rPr>
              <w:t xml:space="preserve">Resultados de todas las ejecuciones, versionados</w:t>
            </w:r>
          </w:p>
        </w:tc>
      </w:tr>
    </w:tbl>
    <w:p>
      <w:pPr>
        <w:spacing w:after="160"/>
      </w:pPr>
    </w:p>
    <w:p>
      <w:pPr>
        <w:spacing w:after="160" w:line="360" w:lineRule="auto"/>
        <w:ind w:firstLine="425"/>
        <w:jc w:val="both"/>
      </w:pPr>
      <w:r>
        <w:rPr>
          <w:rFonts w:ascii="Arial" w:cs="Arial" w:eastAsia="Arial" w:hAnsi="Arial"/>
          <w:sz w:val="22"/>
          <w:szCs w:val="22"/>
        </w:rPr>
        <w:t xml:space="preserve">La reproducción completa requiere Python 3.12, un servidor de modelos local y el conjunto de datos, que no se distribuye con el repositorio por su tamaño.</w:t>
      </w:r>
    </w:p>
    <w:p>
      <w:pPr>
        <w:spacing w:after="160" w:line="360" w:lineRule="auto"/>
        <w:ind w:firstLine="425"/>
        <w:jc w:val="both"/>
      </w:pPr>
      <w:r>
        <w:rPr>
          <w:rFonts w:ascii="Arial" w:cs="Arial" w:eastAsia="Arial" w:hAnsi="Arial"/>
          <w:sz w:val="22"/>
          <w:szCs w:val="22"/>
        </w:rP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fueron invocados, incluidos los que afectan a la comparabilidad entre tandas, como el presupuesto de tokens por caso.</w:t>
      </w:r>
    </w:p>
    <w:p>
      <w:pPr>
        <w:pStyle w:val="Heading2"/>
        <w:spacing w:after="200" w:before="360"/>
      </w:pPr>
      <w:r>
        <w:rPr>
          <w:rFonts w:ascii="Arial" w:cs="Arial" w:eastAsia="Arial" w:hAnsi="Arial"/>
          <w:b/>
          <w:bCs/>
          <w:color w:val="000000"/>
          <w:sz w:val="26"/>
          <w:szCs w:val="26"/>
        </w:rPr>
        <w:t xml:space="preserve">B. Código fuente</w:t>
      </w:r>
    </w:p>
    <w:p>
      <w:pPr>
        <w:spacing w:after="80" w:before="240"/>
        <w:jc w:val="center"/>
      </w:pPr>
      <w:r>
        <w:drawing>
          <wp:inline distT="0" distB="0" distL="0" distR="0">
            <wp:extent cx="5400675"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00675" cy="3914775"/>
                    </a:xfrm>
                    <a:prstGeom prst="rect">
                      <a:avLst/>
                    </a:prstGeom>
                  </pic:spPr>
                </pic:pic>
              </a:graphicData>
            </a:graphic>
          </wp:inline>
        </w:drawing>
      </w:r>
    </w:p>
    <w:p>
      <w:pPr>
        <w:spacing w:after="240"/>
        <w:jc w:val="center"/>
      </w:pPr>
      <w:r>
        <w:rPr>
          <w:i/>
          <w:iCs/>
          <w:sz w:val="20"/>
          <w:szCs w:val="20"/>
        </w:rPr>
        <w:t xml:space="preserve">Figura 25. La función de selección de casos del detector, con la documentación de sus decisiones de diseño.</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 veintidós entregas, 2.173 líneas de código en los módulos del sistema y 3.637 en los guiones de experimentación, además de 131 ficheros de resultados.</w:t>
      </w:r>
    </w:p>
    <w:p>
      <w:pPr>
        <w:spacing w:after="160" w:line="360" w:lineRule="auto"/>
        <w:ind w:firstLine="425"/>
        <w:jc w:val="both"/>
      </w:pPr>
      <w:r>
        <w:rPr>
          <w:rFonts w:ascii="Arial" w:cs="Arial" w:eastAsia="Arial" w:hAnsi="Arial"/>
          <w:sz w:val="22"/>
          <w:szCs w:val="22"/>
        </w:rPr>
        <w:t xml:space="preserve">Los guiones se agrupan en tres familias, y cada uno declara en su cabecera la pregunta a la que responde y las decisiones de diseño que la afectan.</w:t>
      </w:r>
    </w:p>
    <w:p>
      <w:pPr>
        <w:spacing w:after="160" w:line="360" w:lineRule="auto"/>
        <w:ind w:firstLine="425"/>
        <w:jc w:val="both"/>
      </w:pPr>
      <w:r>
        <w:rPr>
          <w:rFonts w:ascii="Arial" w:cs="Arial" w:eastAsia="Arial" w:hAnsi="Arial"/>
          <w:b/>
          <w:bCs/>
          <w:sz w:val="22"/>
          <w:szCs w:val="22"/>
        </w:rPr>
        <w:t xml:space="preserve">Sistema en funcionamiento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Función</w:t>
            </w:r>
          </w:p>
        </w:tc>
      </w:tr>
      <w:tr>
        <w:tc>
          <w:tcPr>
            <w:tcW w:type="dxa" w:w="4500"/>
          </w:tcPr>
          <w:p>
            <w:pPr>
              <w:spacing w:after="0"/>
            </w:pPr>
            <w:r>
              <w:rPr>
                <w:rFonts w:ascii="Arial" w:cs="Arial" w:eastAsia="Arial" w:hAnsi="Arial"/>
                <w:b w:val="false"/>
                <w:bCs w:val="false"/>
                <w:sz w:val="20"/>
                <w:szCs w:val="20"/>
              </w:rPr>
              <w:t xml:space="preserve">check_entorno.py</w:t>
            </w:r>
          </w:p>
        </w:tc>
        <w:tc>
          <w:tcPr>
            <w:tcW w:type="dxa" w:w="4500"/>
          </w:tcPr>
          <w:p>
            <w:pPr>
              <w:spacing w:after="0"/>
            </w:pPr>
            <w:r>
              <w:rPr>
                <w:rFonts w:ascii="Arial" w:cs="Arial" w:eastAsia="Arial" w:hAnsi="Arial"/>
                <w:b w:val="false"/>
                <w:bCs w:val="false"/>
                <w:sz w:val="20"/>
                <w:szCs w:val="20"/>
              </w:rPr>
              <w:t xml:space="preserve">Verificación del entorno antes de nada</w:t>
            </w:r>
          </w:p>
        </w:tc>
      </w:tr>
      <w:tr>
        <w:tc>
          <w:tcPr>
            <w:tcW w:type="dxa" w:w="4500"/>
          </w:tcPr>
          <w:p>
            <w:pPr>
              <w:spacing w:after="0"/>
            </w:pPr>
            <w:r>
              <w:rPr>
                <w:rFonts w:ascii="Arial" w:cs="Arial" w:eastAsia="Arial" w:hAnsi="Arial"/>
                <w:b w:val="false"/>
                <w:bCs w:val="false"/>
                <w:sz w:val="20"/>
                <w:szCs w:val="20"/>
              </w:rPr>
              <w:t xml:space="preserve">run_departamento.py</w:t>
            </w:r>
          </w:p>
        </w:tc>
        <w:tc>
          <w:tcPr>
            <w:tcW w:type="dxa" w:w="4500"/>
          </w:tcPr>
          <w:p>
            <w:pPr>
              <w:spacing w:after="0"/>
            </w:pPr>
            <w:r>
              <w:rPr>
                <w:rFonts w:ascii="Arial" w:cs="Arial" w:eastAsia="Arial" w:hAnsi="Arial"/>
                <w:b w:val="false"/>
                <w:bCs w:val="false"/>
                <w:sz w:val="20"/>
                <w:szCs w:val="20"/>
              </w:rPr>
              <w:t xml:space="preserve">Ejecución completa del sistema sobre un turno</w:t>
            </w:r>
          </w:p>
        </w:tc>
      </w:tr>
      <w:tr>
        <w:tc>
          <w:tcPr>
            <w:tcW w:type="dxa" w:w="4500"/>
          </w:tcPr>
          <w:p>
            <w:pPr>
              <w:spacing w:after="0"/>
            </w:pPr>
            <w:r>
              <w:rPr>
                <w:rFonts w:ascii="Arial" w:cs="Arial" w:eastAsia="Arial" w:hAnsi="Arial"/>
                <w:b w:val="false"/>
                <w:bCs w:val="false"/>
                <w:sz w:val="20"/>
                <w:szCs w:val="20"/>
              </w:rPr>
              <w:t xml:space="preserve">run_streaming.py</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tune_detector.py</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bl>
    <w:p>
      <w:pPr>
        <w:spacing w:after="160"/>
      </w:pPr>
    </w:p>
    <w:p>
      <w:pPr>
        <w:spacing w:after="160" w:line="360" w:lineRule="auto"/>
        <w:ind w:firstLine="425"/>
        <w:jc w:val="both"/>
      </w:pPr>
      <w:r>
        <w:rPr>
          <w:rFonts w:ascii="Arial" w:cs="Arial" w:eastAsia="Arial" w:hAnsi="Arial"/>
          <w:b/>
          <w:bCs/>
          <w:sz w:val="22"/>
          <w:szCs w:val="22"/>
        </w:rPr>
        <w:t xml:space="preserve">Experimentos y ablaciones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Pregunta que responde</w:t>
            </w:r>
          </w:p>
        </w:tc>
      </w:tr>
      <w:tr>
        <w:tc>
          <w:tcPr>
            <w:tcW w:type="dxa" w:w="4500"/>
          </w:tcPr>
          <w:p>
            <w:pPr>
              <w:spacing w:after="0"/>
            </w:pPr>
            <w:r>
              <w:rPr>
                <w:rFonts w:ascii="Arial" w:cs="Arial" w:eastAsia="Arial" w:hAnsi="Arial"/>
                <w:b w:val="false"/>
                <w:bCs w:val="false"/>
                <w:sz w:val="20"/>
                <w:szCs w:val="20"/>
              </w:rPr>
              <w:t xml:space="preserve">experimento.py</w:t>
            </w:r>
          </w:p>
        </w:tc>
        <w:tc>
          <w:tcPr>
            <w:tcW w:type="dxa" w:w="4500"/>
          </w:tcPr>
          <w:p>
            <w:pPr>
              <w:spacing w:after="0"/>
            </w:pPr>
            <w:r>
              <w:rPr>
                <w:rFonts w:ascii="Arial" w:cs="Arial" w:eastAsia="Arial" w:hAnsi="Arial"/>
                <w:b w:val="false"/>
                <w:bCs w:val="false"/>
                <w:sz w:val="20"/>
                <w:szCs w:val="20"/>
              </w:rPr>
              <w:t xml:space="preserve">Comparativa entre modelos y modos</w:t>
            </w:r>
          </w:p>
        </w:tc>
      </w:tr>
      <w:tr>
        <w:tc>
          <w:tcPr>
            <w:tcW w:type="dxa" w:w="4500"/>
          </w:tcPr>
          <w:p>
            <w:pPr>
              <w:spacing w:after="0"/>
            </w:pPr>
            <w:r>
              <w:rPr>
                <w:rFonts w:ascii="Arial" w:cs="Arial" w:eastAsia="Arial" w:hAnsi="Arial"/>
                <w:b w:val="false"/>
                <w:bCs w:val="false"/>
                <w:sz w:val="20"/>
                <w:szCs w:val="20"/>
              </w:rPr>
              <w:t xml:space="preserve">analisis.py</w:t>
            </w:r>
          </w:p>
        </w:tc>
        <w:tc>
          <w:tcPr>
            <w:tcW w:type="dxa" w:w="4500"/>
          </w:tcPr>
          <w:p>
            <w:pPr>
              <w:spacing w:after="0"/>
            </w:pPr>
            <w:r>
              <w:rPr>
                <w:rFonts w:ascii="Arial" w:cs="Arial" w:eastAsia="Arial" w:hAnsi="Arial"/>
                <w:b w:val="false"/>
                <w:bCs w:val="false"/>
                <w:sz w:val="20"/>
                <w:szCs w:val="20"/>
              </w:rPr>
              <w:t xml:space="preserve">Análisis estadístico de los resultados anteriores</w:t>
            </w:r>
          </w:p>
        </w:tc>
      </w:tr>
      <w:tr>
        <w:tc>
          <w:tcPr>
            <w:tcW w:type="dxa" w:w="4500"/>
          </w:tcPr>
          <w:p>
            <w:pPr>
              <w:spacing w:after="0"/>
            </w:pPr>
            <w:r>
              <w:rPr>
                <w:rFonts w:ascii="Arial" w:cs="Arial" w:eastAsia="Arial" w:hAnsi="Arial"/>
                <w:b w:val="false"/>
                <w:bCs w:val="false"/>
                <w:sz w:val="20"/>
                <w:szCs w:val="20"/>
              </w:rPr>
              <w:t xml:space="preserve">comparar_detectores.py</w:t>
            </w:r>
          </w:p>
        </w:tc>
        <w:tc>
          <w:tcPr>
            <w:tcW w:type="dxa" w:w="4500"/>
          </w:tcPr>
          <w:p>
            <w:pPr>
              <w:spacing w:after="0"/>
            </w:pPr>
            <w:r>
              <w:rPr>
                <w:rFonts w:ascii="Arial" w:cs="Arial" w:eastAsia="Arial" w:hAnsi="Arial"/>
                <w:b w:val="false"/>
                <w:bCs w:val="false"/>
                <w:sz w:val="20"/>
                <w:szCs w:val="20"/>
              </w:rPr>
              <w:t xml:space="preserve">¿Difieren XGBoost y Random Forest de forma significativa?</w:t>
            </w:r>
          </w:p>
        </w:tc>
      </w:tr>
      <w:tr>
        <w:tc>
          <w:tcPr>
            <w:tcW w:type="dxa" w:w="4500"/>
          </w:tcPr>
          <w:p>
            <w:pPr>
              <w:spacing w:after="0"/>
            </w:pPr>
            <w:r>
              <w:rPr>
                <w:rFonts w:ascii="Arial" w:cs="Arial" w:eastAsia="Arial" w:hAnsi="Arial"/>
                <w:b w:val="false"/>
                <w:bCs w:val="false"/>
                <w:sz w:val="20"/>
                <w:szCs w:val="20"/>
              </w:rPr>
              <w:t xml:space="preserve">ablacion_desbalanceo.py</w:t>
            </w:r>
          </w:p>
        </w:tc>
        <w:tc>
          <w:tcPr>
            <w:tcW w:type="dxa" w:w="4500"/>
          </w:tcPr>
          <w:p>
            <w:pPr>
              <w:spacing w:after="0"/>
            </w:pPr>
            <w:r>
              <w:rPr>
                <w:rFonts w:ascii="Arial" w:cs="Arial" w:eastAsia="Arial" w:hAnsi="Arial"/>
                <w:b w:val="false"/>
                <w:bCs w:val="false"/>
                <w:sz w:val="20"/>
                <w:szCs w:val="20"/>
              </w:rPr>
              <w:t xml:space="preserve">¿Qué aporta cada estrategia frente al desbalanceo?</w:t>
            </w:r>
          </w:p>
        </w:tc>
      </w:tr>
      <w:tr>
        <w:tc>
          <w:tcPr>
            <w:tcW w:type="dxa" w:w="4500"/>
          </w:tcPr>
          <w:p>
            <w:pPr>
              <w:spacing w:after="0"/>
            </w:pPr>
            <w:r>
              <w:rPr>
                <w:rFonts w:ascii="Arial" w:cs="Arial" w:eastAsia="Arial" w:hAnsi="Arial"/>
                <w:b w:val="false"/>
                <w:bCs w:val="false"/>
                <w:sz w:val="20"/>
                <w:szCs w:val="20"/>
              </w:rPr>
              <w:t xml:space="preserve">ablacion_variables.py</w:t>
            </w:r>
          </w:p>
        </w:tc>
        <w:tc>
          <w:tcPr>
            <w:tcW w:type="dxa" w:w="4500"/>
          </w:tcPr>
          <w:p>
            <w:pPr>
              <w:spacing w:after="0"/>
            </w:pPr>
            <w:r>
              <w:rPr>
                <w:rFonts w:ascii="Arial" w:cs="Arial" w:eastAsia="Arial" w:hAnsi="Arial"/>
                <w:b w:val="false"/>
                <w:bCs w:val="false"/>
                <w:sz w:val="20"/>
                <w:szCs w:val="20"/>
              </w:rPr>
              <w:t xml:space="preserve">¿Cuánto contribuye cada grupo de variables?</w:t>
            </w:r>
          </w:p>
        </w:tc>
      </w:tr>
      <w:tr>
        <w:tc>
          <w:tcPr>
            <w:tcW w:type="dxa" w:w="4500"/>
          </w:tcPr>
          <w:p>
            <w:pPr>
              <w:spacing w:after="0"/>
            </w:pPr>
            <w:r>
              <w:rPr>
                <w:rFonts w:ascii="Arial" w:cs="Arial" w:eastAsia="Arial" w:hAnsi="Arial"/>
                <w:b w:val="false"/>
                <w:bCs w:val="false"/>
                <w:sz w:val="20"/>
                <w:szCs w:val="20"/>
              </w:rPr>
              <w:t xml:space="preserve">ablacion_dominio.py</w:t>
            </w:r>
          </w:p>
        </w:tc>
        <w:tc>
          <w:tcPr>
            <w:tcW w:type="dxa" w:w="4500"/>
          </w:tcPr>
          <w:p>
            <w:pPr>
              <w:spacing w:after="0"/>
            </w:pPr>
            <w:r>
              <w:rPr>
                <w:rFonts w:ascii="Arial" w:cs="Arial" w:eastAsia="Arial" w:hAnsi="Arial"/>
                <w:b w:val="false"/>
                <w:bCs w:val="false"/>
                <w:sz w:val="20"/>
                <w:szCs w:val="20"/>
              </w:rPr>
              <w:t xml:space="preserve">¿Cambia el veredicto al corregir la premisa, o solo la prosa?</w:t>
            </w:r>
          </w:p>
        </w:tc>
      </w:tr>
      <w:tr>
        <w:tc>
          <w:tcPr>
            <w:tcW w:type="dxa" w:w="4500"/>
          </w:tcPr>
          <w:p>
            <w:pPr>
              <w:spacing w:after="0"/>
            </w:pPr>
            <w:r>
              <w:rPr>
                <w:rFonts w:ascii="Arial" w:cs="Arial" w:eastAsia="Arial" w:hAnsi="Arial"/>
                <w:b w:val="false"/>
                <w:bCs w:val="false"/>
                <w:sz w:val="20"/>
                <w:szCs w:val="20"/>
              </w:rPr>
              <w:t xml:space="preserve">investigador_solo.py</w:t>
            </w:r>
          </w:p>
        </w:tc>
        <w:tc>
          <w:tcPr>
            <w:tcW w:type="dxa" w:w="4500"/>
          </w:tcPr>
          <w:p>
            <w:pPr>
              <w:spacing w:after="0"/>
            </w:pPr>
            <w:r>
              <w:rPr>
                <w:rFonts w:ascii="Arial" w:cs="Arial" w:eastAsia="Arial" w:hAnsi="Arial"/>
                <w:b w:val="false"/>
                <w:bCs w:val="false"/>
                <w:sz w:val="20"/>
                <w:szCs w:val="20"/>
              </w:rPr>
              <w:t xml:space="preserve">Comparación con modelos de mayor capacidad</w:t>
            </w:r>
          </w:p>
        </w:tc>
      </w:tr>
    </w:tbl>
    <w:p>
      <w:pPr>
        <w:spacing w:after="160"/>
      </w:pPr>
    </w:p>
    <w:p>
      <w:pPr>
        <w:spacing w:after="160" w:line="360" w:lineRule="auto"/>
        <w:ind w:firstLine="425"/>
        <w:jc w:val="both"/>
      </w:pPr>
      <w:r>
        <w:rPr>
          <w:rFonts w:ascii="Arial" w:cs="Arial" w:eastAsia="Arial" w:hAnsi="Arial"/>
          <w:b/>
          <w:bCs/>
          <w:sz w:val="22"/>
          <w:szCs w:val="22"/>
        </w:rPr>
        <w:t xml:space="preserve">Pruebas sin modelo de lenguaje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Qué comprueba</w:t>
            </w:r>
          </w:p>
        </w:tc>
      </w:tr>
      <w:tr>
        <w:tc>
          <w:tcPr>
            <w:tcW w:type="dxa" w:w="4500"/>
          </w:tcPr>
          <w:p>
            <w:pPr>
              <w:spacing w:after="0"/>
            </w:pPr>
            <w:r>
              <w:rPr>
                <w:rFonts w:ascii="Arial" w:cs="Arial" w:eastAsia="Arial" w:hAnsi="Arial"/>
                <w:b w:val="false"/>
                <w:bCs w:val="false"/>
                <w:sz w:val="20"/>
                <w:szCs w:val="20"/>
              </w:rPr>
              <w:t xml:space="preserve">test_detector.py</w:t>
            </w:r>
          </w:p>
        </w:tc>
        <w:tc>
          <w:tcPr>
            <w:tcW w:type="dxa" w:w="4500"/>
          </w:tcPr>
          <w:p>
            <w:pPr>
              <w:spacing w:after="0"/>
            </w:pPr>
            <w:r>
              <w:rPr>
                <w:rFonts w:ascii="Arial" w:cs="Arial" w:eastAsia="Arial" w:hAnsi="Arial"/>
                <w:b w:val="false"/>
                <w:bCs w:val="false"/>
                <w:sz w:val="20"/>
                <w:szCs w:val="20"/>
              </w:rPr>
              <w:t xml:space="preserve">El detector como herramienta</w:t>
            </w:r>
          </w:p>
        </w:tc>
      </w:tr>
      <w:tr>
        <w:tc>
          <w:tcPr>
            <w:tcW w:type="dxa" w:w="4500"/>
          </w:tcPr>
          <w:p>
            <w:pPr>
              <w:spacing w:after="0"/>
            </w:pPr>
            <w:r>
              <w:rPr>
                <w:rFonts w:ascii="Arial" w:cs="Arial" w:eastAsia="Arial" w:hAnsi="Arial"/>
                <w:b w:val="false"/>
                <w:bCs w:val="false"/>
                <w:sz w:val="20"/>
                <w:szCs w:val="20"/>
              </w:rPr>
              <w:t xml:space="preserve">test_tools.py</w:t>
            </w:r>
          </w:p>
        </w:tc>
        <w:tc>
          <w:tcPr>
            <w:tcW w:type="dxa" w:w="4500"/>
          </w:tcPr>
          <w:p>
            <w:pPr>
              <w:spacing w:after="0"/>
            </w:pPr>
            <w:r>
              <w:rPr>
                <w:rFonts w:ascii="Arial" w:cs="Arial" w:eastAsia="Arial" w:hAnsi="Arial"/>
                <w:b w:val="false"/>
                <w:bCs w:val="false"/>
                <w:sz w:val="20"/>
                <w:szCs w:val="20"/>
              </w:rPr>
              <w:t xml:space="preserve">Las herramientas de construcción del expediente</w:t>
            </w:r>
          </w:p>
        </w:tc>
      </w:tr>
      <w:tr>
        <w:tc>
          <w:tcPr>
            <w:tcW w:type="dxa" w:w="4500"/>
          </w:tcPr>
          <w:p>
            <w:pPr>
              <w:spacing w:after="0"/>
            </w:pPr>
            <w:r>
              <w:rPr>
                <w:rFonts w:ascii="Arial" w:cs="Arial" w:eastAsia="Arial" w:hAnsi="Arial"/>
                <w:b w:val="false"/>
                <w:bCs w:val="false"/>
                <w:sz w:val="20"/>
                <w:szCs w:val="20"/>
              </w:rPr>
              <w:t xml:space="preserve">test_auditor.py</w:t>
            </w:r>
          </w:p>
        </w:tc>
        <w:tc>
          <w:tcPr>
            <w:tcW w:type="dxa" w:w="4500"/>
          </w:tcPr>
          <w:p>
            <w:pPr>
              <w:spacing w:after="0"/>
            </w:pPr>
            <w:r>
              <w:rPr>
                <w:rFonts w:ascii="Arial" w:cs="Arial" w:eastAsia="Arial" w:hAnsi="Arial"/>
                <w:b w:val="false"/>
                <w:bCs w:val="false"/>
                <w:sz w:val="20"/>
                <w:szCs w:val="20"/>
              </w:rPr>
              <w:t xml:space="preserve">Regresión del auditor de informes</w:t>
            </w:r>
          </w:p>
        </w:tc>
      </w:tr>
      <w:tr>
        <w:tc>
          <w:tcPr>
            <w:tcW w:type="dxa" w:w="4500"/>
          </w:tcPr>
          <w:p>
            <w:pPr>
              <w:spacing w:after="0"/>
            </w:pPr>
            <w:r>
              <w:rPr>
                <w:rFonts w:ascii="Arial" w:cs="Arial" w:eastAsia="Arial" w:hAnsi="Arial"/>
                <w:b w:val="false"/>
                <w:bCs w:val="false"/>
                <w:sz w:val="20"/>
                <w:szCs w:val="20"/>
              </w:rPr>
              <w:t xml:space="preserve">test_crew_minimo.py</w:t>
            </w:r>
          </w:p>
        </w:tc>
        <w:tc>
          <w:tcPr>
            <w:tcW w:type="dxa" w:w="4500"/>
          </w:tcPr>
          <w:p>
            <w:pPr>
              <w:spacing w:after="0"/>
            </w:pPr>
            <w:r>
              <w:rPr>
                <w:rFonts w:ascii="Arial" w:cs="Arial" w:eastAsia="Arial" w:hAnsi="Arial"/>
                <w:b w:val="false"/>
                <w:bCs w:val="false"/>
                <w:sz w:val="20"/>
                <w:szCs w:val="20"/>
              </w:rPr>
              <w:t xml:space="preserve">Un agente y una herramienta, para acotar fallos de integración</w:t>
            </w:r>
          </w:p>
        </w:tc>
      </w:tr>
      <w:tr>
        <w:tc>
          <w:tcPr>
            <w:tcW w:type="dxa" w:w="4500"/>
          </w:tcPr>
          <w:p>
            <w:pPr>
              <w:spacing w:after="0"/>
            </w:pPr>
            <w:r>
              <w:rPr>
                <w:rFonts w:ascii="Arial" w:cs="Arial" w:eastAsia="Arial" w:hAnsi="Arial"/>
                <w:b w:val="false"/>
                <w:bCs w:val="false"/>
                <w:sz w:val="20"/>
                <w:szCs w:val="20"/>
              </w:rPr>
              <w:t xml:space="preserve">reauditar.py</w:t>
            </w:r>
          </w:p>
        </w:tc>
        <w:tc>
          <w:tcPr>
            <w:tcW w:type="dxa" w:w="4500"/>
          </w:tcPr>
          <w:p>
            <w:pPr>
              <w:spacing w:after="0"/>
            </w:pPr>
            <w:r>
              <w:rPr>
                <w:rFonts w:ascii="Arial" w:cs="Arial" w:eastAsia="Arial" w:hAnsi="Arial"/>
                <w:b w:val="false"/>
                <w:bCs w:val="false"/>
                <w:sz w:val="20"/>
                <w:szCs w:val="20"/>
              </w:rPr>
              <w:t xml:space="preserve">Reaplica el auditor actual a informes antiguos</w:t>
            </w:r>
          </w:p>
        </w:tc>
      </w:tr>
    </w:tbl>
    <w:p>
      <w:pPr>
        <w:spacing w:after="160"/>
      </w:pPr>
    </w:p>
    <w:p>
      <w:pPr>
        <w:spacing w:after="160" w:line="360" w:lineRule="auto"/>
        <w:ind w:firstLine="425"/>
        <w:jc w:val="both"/>
      </w:pPr>
      <w:r>
        <w:rPr>
          <w:rFonts w:ascii="Arial" w:cs="Arial" w:eastAsia="Arial" w:hAnsi="Arial"/>
          <w:sz w:val="22"/>
          <w:szCs w:val="22"/>
        </w:rPr>
        <w:t xml:space="preserve">Que cuatro de los dieciséis guiones sean pruebas que no invocan al modelo de lenguaje no es casual. La taxonomía de modos de fallo recogida en 6.2.5 muestra que los errores de este tipo de sistema no se manifiestan como excepciones, de modo que la única defensa es comprobar de forma programática lo que el modelo devuelve.</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ind w:firstLine="425"/>
        <w:jc w:val="both"/>
      </w:pPr>
      <w:r>
        <w:rPr>
          <w:rFonts w:ascii="Arial" w:cs="Arial" w:eastAsia="Arial" w:hAnsi="Arial"/>
          <w:b/>
          <w:bCs/>
          <w:sz w:val="22"/>
          <w:szCs w:val="22"/>
        </w:rPr>
        <w:t xml:space="preserve">AUC-PR.</w:t>
      </w:r>
      <w:r>
        <w:rPr>
          <w:rFonts w:ascii="Arial" w:cs="Arial" w:eastAsia="Arial" w:hAnsi="Arial"/>
          <w:sz w:val="22"/>
          <w:szCs w:val="22"/>
        </w:rPr>
        <w:t xml:space="preserve"> Área bajo la curva de precisión y exhaustividad. Con clases muy desbalanceadas resulta preferible al área bajo la curva ROC, porque solo atiende a la cabeza de la ordenación, que es la parte que un analista revisa.</w:t>
      </w:r>
    </w:p>
    <w:p>
      <w:pPr>
        <w:spacing w:after="160" w:line="360" w:lineRule="auto"/>
        <w:ind w:firstLine="425"/>
        <w:jc w:val="both"/>
      </w:pPr>
      <w:r>
        <w:rPr>
          <w:rFonts w:ascii="Arial" w:cs="Arial" w:eastAsia="Arial" w:hAnsi="Arial"/>
          <w:b/>
          <w:bCs/>
          <w:sz w:val="22"/>
          <w:szCs w:val="22"/>
        </w:rPr>
        <w:t xml:space="preserve">Descomposición por capas.</w:t>
      </w:r>
      <w:r>
        <w:rPr>
          <w:rFonts w:ascii="Arial" w:cs="Arial" w:eastAsia="Arial" w:hAnsi="Arial"/>
          <w:sz w:val="22"/>
          <w:szCs w:val="22"/>
        </w:rPr>
        <w:t xml:space="preserve"> Técnica que mantiene en memoria de vídeo una sola capa del modelo cada vez, leyendo las restantes desde disco. Permite ejecutar modelos que no cabrían en la memoria disponible, a costa de la velocidad.</w:t>
      </w:r>
    </w:p>
    <w:p>
      <w:pPr>
        <w:spacing w:after="160" w:line="360" w:lineRule="auto"/>
        <w:ind w:firstLine="425"/>
        <w:jc w:val="both"/>
      </w:pPr>
      <w:r>
        <w:rPr>
          <w:rFonts w:ascii="Arial" w:cs="Arial" w:eastAsia="Arial" w:hAnsi="Arial"/>
          <w:b/>
          <w:bCs/>
          <w:sz w:val="22"/>
          <w:szCs w:val="22"/>
        </w:rPr>
        <w:t xml:space="preserve">Expediente.</w:t>
      </w:r>
      <w:r>
        <w:rPr>
          <w:rFonts w:ascii="Arial" w:cs="Arial" w:eastAsia="Arial" w:hAnsi="Arial"/>
          <w:sz w:val="22"/>
          <w:szCs w:val="22"/>
        </w:rPr>
        <w:t xml:space="preserve"> Conjunto de casos que el detector eleva a revisión en un turno, junto a la información que acompaña a cada uno.</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Grado en que una explicación representa el proceso de decisión que el modelo siguió realmente. Distinta de la plausibilidad.</w:t>
      </w:r>
    </w:p>
    <w:p>
      <w:pPr>
        <w:spacing w:after="160" w:line="360" w:lineRule="auto"/>
        <w:ind w:firstLine="425"/>
        <w:jc w:val="both"/>
      </w:pPr>
      <w:r>
        <w:rPr>
          <w:rFonts w:ascii="Arial" w:cs="Arial" w:eastAsia="Arial" w:hAnsi="Arial"/>
          <w:b/>
          <w:bCs/>
          <w:sz w:val="22"/>
          <w:szCs w:val="22"/>
        </w:rPr>
        <w:t xml:space="preserve">Fuga de información.</w:t>
      </w:r>
      <w:r>
        <w:rPr>
          <w:rFonts w:ascii="Arial" w:cs="Arial" w:eastAsia="Arial" w:hAnsi="Arial"/>
          <w:sz w:val="22"/>
          <w:szCs w:val="22"/>
        </w:rPr>
        <w:t xml:space="preserve"> Contaminación del conjunto de prueba con información del entrenamiento, o a la inversa. Produce métricas infladas que no se sostienen fuera de la evaluación.</w:t>
      </w:r>
    </w:p>
    <w:p>
      <w:pPr>
        <w:spacing w:after="160" w:line="360" w:lineRule="auto"/>
        <w:ind w:firstLine="425"/>
        <w:jc w:val="both"/>
      </w:pPr>
      <w:r>
        <w:rPr>
          <w:rFonts w:ascii="Arial" w:cs="Arial" w:eastAsia="Arial" w:hAnsi="Arial"/>
          <w:b/>
          <w:bCs/>
          <w:sz w:val="22"/>
          <w:szCs w:val="22"/>
        </w:rPr>
        <w:t xml:space="preserve">Modo interpreta y modo revisa.</w:t>
      </w:r>
      <w:r>
        <w:rPr>
          <w:rFonts w:ascii="Arial" w:cs="Arial" w:eastAsia="Arial" w:hAnsi="Arial"/>
          <w:sz w:val="22"/>
          <w:szCs w:val="22"/>
        </w:rPr>
        <w:t xml:space="preserve"> Los dos regímenes de la capa 2. En el primero explica sin decidir; en el segundo se le concede autoridad para descartar casos elevados por el detector.</w:t>
      </w:r>
    </w:p>
    <w:p>
      <w:pPr>
        <w:spacing w:after="160" w:line="360" w:lineRule="auto"/>
        <w:ind w:firstLine="425"/>
        <w:jc w:val="both"/>
      </w:pPr>
      <w:r>
        <w:rPr>
          <w:rFonts w:ascii="Arial" w:cs="Arial" w:eastAsia="Arial" w:hAnsi="Arial"/>
          <w:b/>
          <w:bCs/>
          <w:sz w:val="22"/>
          <w:szCs w:val="22"/>
        </w:rPr>
        <w:t xml:space="preserve">Partición temporal.</w:t>
      </w:r>
      <w:r>
        <w:rPr>
          <w:rFonts w:ascii="Arial" w:cs="Arial" w:eastAsia="Arial" w:hAnsi="Arial"/>
          <w:sz w:val="22"/>
          <w:szCs w:val="22"/>
        </w:rPr>
        <w:t xml:space="preserve"> División entre entrenamiento y prueba según el orden cronológico, entrenando con el pasado y evaluando sobre el futuro. Más exigente y más realista que la aleatoria.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Coherencia lógica de una explicación y su consistencia con el conocimiento del dominio. Una explicación puede ser plausible sin ser fiel.</w:t>
      </w:r>
    </w:p>
    <w:p>
      <w:pPr>
        <w:spacing w:after="160" w:line="360" w:lineRule="auto"/>
        <w:ind w:firstLine="425"/>
        <w:jc w:val="both"/>
      </w:pPr>
      <w:r>
        <w:rPr>
          <w:rFonts w:ascii="Arial" w:cs="Arial" w:eastAsia="Arial" w:hAnsi="Arial"/>
          <w:b/>
          <w:bCs/>
          <w:sz w:val="22"/>
          <w:szCs w:val="22"/>
        </w:rPr>
        <w:t xml:space="preserve">Precision@N.</w:t>
      </w:r>
      <w:r>
        <w:rPr>
          <w:rFonts w:ascii="Arial" w:cs="Arial" w:eastAsia="Arial" w:hAnsi="Arial"/>
          <w:sz w:val="22"/>
          <w:szCs w:val="22"/>
        </w:rPr>
        <w:t xml:space="preserve"> Proporción de aciertos entre los N casos de mayor puntuación. Métrica operativa: N es la capacidad de revisión del equipo.</w:t>
      </w:r>
    </w:p>
    <w:p>
      <w:pPr>
        <w:spacing w:after="160" w:line="360" w:lineRule="auto"/>
        <w:ind w:firstLine="425"/>
        <w:jc w:val="both"/>
      </w:pPr>
      <w:r>
        <w:rPr>
          <w:rFonts w:ascii="Arial" w:cs="Arial" w:eastAsia="Arial" w:hAnsi="Arial"/>
          <w:b/>
          <w:bCs/>
          <w:sz w:val="22"/>
          <w:szCs w:val="22"/>
        </w:rPr>
        <w:t xml:space="preserve">Prueba de importe mínimo.</w:t>
      </w:r>
      <w:r>
        <w:rPr>
          <w:rFonts w:ascii="Arial" w:cs="Arial" w:eastAsia="Arial" w:hAnsi="Arial"/>
          <w:sz w:val="22"/>
          <w:szCs w:val="22"/>
        </w:rPr>
        <w:t xml:space="preserve"> Patrón de fraude con tarjeta consistente en un cargo pequeño para comprobar que la tarjeta funciona, previo a un cargo mayor.</w:t>
      </w:r>
    </w:p>
    <w:p>
      <w:pPr>
        <w:spacing w:after="160" w:line="360" w:lineRule="auto"/>
        <w:ind w:firstLine="425"/>
        <w:jc w:val="both"/>
      </w:pPr>
      <w:r>
        <w:rPr>
          <w:rFonts w:ascii="Arial" w:cs="Arial" w:eastAsia="Arial" w:hAnsi="Arial"/>
          <w:b/>
          <w:bCs/>
          <w:sz w:val="22"/>
          <w:szCs w:val="22"/>
        </w:rPr>
        <w:t xml:space="preserve">scale_pos_weight.</w:t>
      </w:r>
      <w:r>
        <w:rPr>
          <w:rFonts w:ascii="Arial" w:cs="Arial" w:eastAsia="Arial" w:hAnsi="Arial"/>
          <w:sz w:val="22"/>
          <w:szCs w:val="22"/>
        </w:rPr>
        <w:t xml:space="preserve"> Parámetro que pondera el gradiente de la clase minoritaria durante el entrenamiento. Alternativa al remuestreo que, por construcción, no puede filtrar información entre particiones.</w:t>
      </w:r>
    </w:p>
    <w:p>
      <w:pPr>
        <w:spacing w:after="160" w:line="360" w:lineRule="auto"/>
        <w:ind w:firstLine="425"/>
        <w:jc w:val="both"/>
      </w:pPr>
      <w:r>
        <w:rPr>
          <w:rFonts w:ascii="Arial" w:cs="Arial" w:eastAsia="Arial" w:hAnsi="Arial"/>
          <w:b/>
          <w:bCs/>
          <w:sz w:val="22"/>
          <w:szCs w:val="22"/>
        </w:rPr>
        <w:t xml:space="preserve">SHAP.</w:t>
      </w:r>
      <w:r>
        <w:rPr>
          <w:rFonts w:ascii="Arial" w:cs="Arial" w:eastAsia="Arial" w:hAnsi="Arial"/>
          <w:sz w:val="22"/>
          <w:szCs w:val="22"/>
        </w:rPr>
        <w:t xml:space="preserve"> Método de atribución que reparte la predicción entre las variables de entrada. Aquí se calcula de forma exacta sobre los árboles del modelo.</w:t>
      </w:r>
    </w:p>
    <w:p>
      <w:pPr>
        <w:spacing w:after="160" w:line="360" w:lineRule="auto"/>
        <w:ind w:firstLine="425"/>
        <w:jc w:val="both"/>
      </w:pPr>
      <w:r>
        <w:rPr>
          <w:rFonts w:ascii="Arial" w:cs="Arial" w:eastAsia="Arial" w:hAnsi="Arial"/>
          <w:b/>
          <w:bCs/>
          <w:sz w:val="22"/>
          <w:szCs w:val="22"/>
        </w:rPr>
        <w:t xml:space="preserve">SMOTE.</w:t>
      </w:r>
      <w:r>
        <w:rPr>
          <w:rFonts w:ascii="Arial" w:cs="Arial" w:eastAsia="Arial" w:hAnsi="Arial"/>
          <w:sz w:val="22"/>
          <w:szCs w:val="22"/>
        </w:rPr>
        <w:t xml:space="preserve"> Técnica de sobremuestreo que genera ejemplos sintéticos de la clase minoritaria por interpolación. Aplicada antes de dividir el conjunto, produce fuga de información.</w:t>
      </w:r>
    </w:p>
    <w:p>
      <w:pPr>
        <w:spacing w:after="160" w:line="360" w:lineRule="auto"/>
        <w:ind w:firstLine="425"/>
        <w:jc w:val="both"/>
      </w:pPr>
      <w:r>
        <w:rPr>
          <w:rFonts w:ascii="Arial" w:cs="Arial" w:eastAsia="Arial" w:hAnsi="Arial"/>
          <w:b/>
          <w:bCs/>
          <w:sz w:val="22"/>
          <w:szCs w:val="22"/>
        </w:rPr>
        <w:t xml:space="preserve">Turno.</w:t>
      </w:r>
      <w:r>
        <w:rPr>
          <w:rFonts w:ascii="Arial" w:cs="Arial" w:eastAsia="Arial" w:hAnsi="Arial"/>
          <w:sz w:val="22"/>
          <w:szCs w:val="22"/>
        </w:rPr>
        <w:t xml:space="preserve"> Ventana temporal de transacciones que el sistema procesa como unidad, cuatro horas salvo indicación contraria.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43ce0513705a1a875e21816bffbf8a742fe66a.undefined"/><Relationship Id="rId10" Type="http://schemas.openxmlformats.org/officeDocument/2006/relationships/image" Target="media/2be6a6ffb4dccdb361e690e14d1923b3966c5d35.undefined"/><Relationship Id="rId11" Type="http://schemas.openxmlformats.org/officeDocument/2006/relationships/image" Target="media/a6b6d20894f1cab8dc1529ece5855991ac15d6bb.undefined"/><Relationship Id="rId12" Type="http://schemas.openxmlformats.org/officeDocument/2006/relationships/image" Target="media/d37a123c935edd168749901f4d906c02844ea0ed.undefined"/><Relationship Id="rId13" Type="http://schemas.openxmlformats.org/officeDocument/2006/relationships/image" Target="media/42beb2628c02c6b8adc537789f9a586158e08491.undefined"/><Relationship Id="rId14" Type="http://schemas.openxmlformats.org/officeDocument/2006/relationships/image" Target="media/2713710ee29419713561b184a3002afd976b2207.undefined"/><Relationship Id="rId15" Type="http://schemas.openxmlformats.org/officeDocument/2006/relationships/image" Target="media/44645f6f8714ba53cc9389784c5c7c515192d70b.undefined"/><Relationship Id="rId16" Type="http://schemas.openxmlformats.org/officeDocument/2006/relationships/image" Target="media/a74094da72a41ef8e2c3d86c1192a359067c3f1d.undefined"/><Relationship Id="rId17" Type="http://schemas.openxmlformats.org/officeDocument/2006/relationships/image" Target="media/0b390121a6aaed94d77ea8e9cefc970c0b49d4cd.undefined"/><Relationship Id="rId18" Type="http://schemas.openxmlformats.org/officeDocument/2006/relationships/image" Target="media/05990224bd2725101f6ceff62e5c78ee113146e2.undefined"/><Relationship Id="rId19" Type="http://schemas.openxmlformats.org/officeDocument/2006/relationships/image" Target="media/9c91d20d4cae95ff6d7eda2c91e5e685b0f68972.undefined"/><Relationship Id="rId20" Type="http://schemas.openxmlformats.org/officeDocument/2006/relationships/image" Target="media/38c5ec19b99ee9190b70907c0a80c42d6c63245b.undefined"/><Relationship Id="rId21" Type="http://schemas.openxmlformats.org/officeDocument/2006/relationships/image" Target="media/05c0b7d501886dcf150e5436f3bd51051f8655d2.undefined"/><Relationship Id="rId22" Type="http://schemas.openxmlformats.org/officeDocument/2006/relationships/image" Target="media/743fde3fa19a4d9af3a0d552d0885bc41cd1782d.undefined"/><Relationship Id="rId23" Type="http://schemas.openxmlformats.org/officeDocument/2006/relationships/image" Target="media/5675489fa005bb45a4ede8333934108712bc1ca5.undefined"/><Relationship Id="rId24" Type="http://schemas.openxmlformats.org/officeDocument/2006/relationships/image" Target="media/98202948ec9eb0cbae25c5a891cfd359798b6f8b.undefined"/><Relationship Id="rId25" Type="http://schemas.openxmlformats.org/officeDocument/2006/relationships/image" Target="media/fa87e9b94964b7ac6b39b193cfe90066807f23f2.undefined"/><Relationship Id="rId26" Type="http://schemas.openxmlformats.org/officeDocument/2006/relationships/image" Target="media/e9eb82f9d619f54b8a5e5c786275a7d71471689f.undefined"/><Relationship Id="rId27" Type="http://schemas.openxmlformats.org/officeDocument/2006/relationships/image" Target="media/44cc1f6ac5a890f53af0bded2769c3f38cb39993.undefined"/><Relationship Id="rId28" Type="http://schemas.openxmlformats.org/officeDocument/2006/relationships/image" Target="media/de208c8bdfc1b72fb7cc009bd6233f427ec124fb.undefined"/><Relationship Id="rId29" Type="http://schemas.openxmlformats.org/officeDocument/2006/relationships/image" Target="media/9650882ce3bff5ab96b2293773da8a83bdd3e419.undefined"/><Relationship Id="rId30" Type="http://schemas.openxmlformats.org/officeDocument/2006/relationships/image" Target="media/a80073e287482b324a824f92247d68a6a964b84d.undefined"/><Relationship Id="rId31" Type="http://schemas.openxmlformats.org/officeDocument/2006/relationships/image" Target="media/d682c3a07272ade658918fe78be6cc337a30c1a1.undefined"/><Relationship Id="rId32" Type="http://schemas.openxmlformats.org/officeDocument/2006/relationships/image" Target="media/9b5b41875f85b8320587bd4ae0a413dd1043647a.undefined"/><Relationship Id="rId33" Type="http://schemas.openxmlformats.org/officeDocument/2006/relationships/image" Target="media/41df8aee3fdd86aeed79be20e5e3a348d5de5cba.undefined"/><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2026-08-30T12:11:11.467Z</dcterms:created>
  <dcterms:modified xsi:type="dcterms:W3CDTF">2026-08-30T12:11:11.467Z</dcterms:modified>
</cp:coreProperties>
</file>

<file path=docProps/custom.xml><?xml version="1.0" encoding="utf-8"?>
<Properties xmlns="http://schemas.openxmlformats.org/officeDocument/2006/custom-properties" xmlns:vt="http://schemas.openxmlformats.org/officeDocument/2006/docPropsVTypes"/>
</file>