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p>
      <w:pPr>
        <w:spacing w:after="80" w:before="240"/>
        <w:jc w:val="center"/>
      </w:pPr>
      <w:r>
        <w:drawing>
          <wp:inline distT="0" distB="0" distL="0" distR="0">
            <wp:extent cx="5400675"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5276850"/>
                    </a:xfrm>
                    <a:prstGeom prst="rect">
                      <a:avLst/>
                    </a:prstGeom>
                  </pic:spPr>
                </pic:pic>
              </a:graphicData>
            </a:graphic>
          </wp:inline>
        </w:drawing>
      </w:r>
    </w:p>
    <w:p>
      <w:pPr>
        <w:spacing w:after="240"/>
        <w:jc w:val="center"/>
      </w:pPr>
      <w:r>
        <w:rPr>
          <w:i/>
          <w:iCs/>
          <w:sz w:val="20"/>
          <w:szCs w:val="20"/>
        </w:rPr>
        <w:t xml:space="preserve">Figura 1. Verificación del entorno: versión de Python, GPU, servidor de modelos y conjunto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ind w:firstLine="425"/>
        <w:jc w:val="both"/>
      </w:pPr>
      <w:r>
        <w:rPr>
          <w:rFonts w:ascii="Arial" w:cs="Arial" w:eastAsia="Arial" w:hAnsi="Arial"/>
          <w:sz w:val="22"/>
          <w:szCs w:val="22"/>
        </w:rPr>
        <w:t xml:space="preserve">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ind w:firstLine="425"/>
        <w:jc w:val="both"/>
      </w:pPr>
      <w:r>
        <w:rPr>
          <w:rFonts w:ascii="Arial" w:cs="Arial" w:eastAsia="Arial" w:hAnsi="Arial"/>
          <w:sz w:val="22"/>
          <w:szCs w:val="22"/>
        </w:rPr>
        <w:t xml:space="preserve">De esa diferencia de planteamiento se sigue la línea de trabajo futuro propuesta en 6.4, hacia dominios con contenido semántico como las transferencias o la prevención de blanqueo de capitales. Conviene declarar que </w:t>
      </w:r>
      <w:r>
        <w:rPr>
          <w:rFonts w:ascii="Arial" w:cs="Arial" w:eastAsia="Arial" w:hAnsi="Arial"/>
          <w:b/>
          <w:bCs/>
          <w:sz w:val="22"/>
          <w:szCs w:val="22"/>
        </w:rPr>
        <w:t xml:space="preserve">esa propuesta se apoya en el razonamiento desarrollado en esta memoria y no en una referencia que lo establezca</w:t>
      </w:r>
      <w:r>
        <w:rPr>
          <w:rFonts w:ascii="Arial" w:cs="Arial" w:eastAsia="Arial" w:hAnsi="Arial"/>
          <w:sz w:val="22"/>
          <w:szCs w:val="22"/>
        </w:rPr>
        <w:t xml:space="preserve">. El argumento es que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ind w:firstLine="425"/>
        <w:jc w:val="both"/>
      </w:pPr>
      <w:r>
        <w:rPr>
          <w:rFonts w:ascii="Arial" w:cs="Arial" w:eastAsia="Arial" w:hAnsi="Arial"/>
          <w:sz w:val="22"/>
          <w:szCs w:val="22"/>
        </w:rPr>
        <w:t xml:space="preserve">De ambos trabajos se recogen aquí sus conclusiones declaradas, y no los detalles de su montaje experimental. En particular, </w:t>
      </w:r>
      <w:r>
        <w:rPr>
          <w:rFonts w:ascii="Arial" w:cs="Arial" w:eastAsia="Arial" w:hAnsi="Arial"/>
          <w:b/>
          <w:bCs/>
          <w:sz w:val="22"/>
          <w:szCs w:val="22"/>
        </w:rPr>
        <w:t xml:space="preserve">no se afirma nada sobre los tamaños de los modelos evaluados en ellos</w:t>
      </w:r>
      <w:r>
        <w:rPr>
          <w:rFonts w:ascii="Arial" w:cs="Arial" w:eastAsia="Arial" w:hAnsi="Arial"/>
          <w:sz w:val="22"/>
          <w:szCs w:val="22"/>
        </w:rPr>
        <w:t xml:space="preserve">,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ind w:firstLine="425"/>
        <w:jc w:val="both"/>
      </w:pPr>
      <w:r>
        <w:rPr>
          <w:rFonts w:ascii="Arial" w:cs="Arial" w:eastAsia="Arial" w:hAnsi="Arial"/>
          <w:sz w:val="22"/>
          <w:szCs w:val="22"/>
        </w:rPr>
        <w:t xml:space="preserve">Se hace constar, por último, que esta memoria </w:t>
      </w:r>
      <w:r>
        <w:rPr>
          <w:rFonts w:ascii="Arial" w:cs="Arial" w:eastAsia="Arial" w:hAnsi="Arial"/>
          <w:b/>
          <w:bCs/>
          <w:sz w:val="22"/>
          <w:szCs w:val="22"/>
        </w:rPr>
        <w:t xml:space="preserve">no recoge la afirmación, frecuente en la divulgación técnica, de que exista un umbral en torno a los siete mil millones de parámetros</w:t>
      </w:r>
      <w:r>
        <w:rPr>
          <w:rFonts w:ascii="Arial" w:cs="Arial" w:eastAsia="Arial" w:hAnsi="Arial"/>
          <w:sz w:val="22"/>
          <w:szCs w:val="22"/>
        </w:rP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Registro de la adjudicacion original en la plataforma de la Escuela, con el titulo 'Sistema de validacion SAP con IA'. Es la evidencia documental del alcance de partida, y sin ella el cambio descrito en 3.5 queda sin respaldo.</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2.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El error del entorno SAP en el momento del bloqueo, o el correo de aviso si lo conservas. Es la evidencia del riesgo que se materializo. Si no tienes captura del momento, sirve una posterior que muestre el servicio inaccesible.</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p>
      <w:pPr>
        <w:spacing w:after="160" w:line="360" w:lineRule="auto"/>
        <w:ind w:firstLine="425"/>
        <w:jc w:val="both"/>
      </w:pPr>
      <w:r>
        <w:rPr>
          <w:rFonts w:ascii="Arial" w:cs="Arial" w:eastAsia="Arial" w:hAnsi="Arial"/>
          <w:sz w:val="22"/>
          <w:szCs w:val="22"/>
        </w:rPr>
        <w:t xml:space="preserve">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Evidencia</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Reunión de definición y adjudicación registrada</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trabajo</w:t>
            </w:r>
          </w:p>
        </w:tc>
      </w:tr>
      <w:tr>
        <w:tc>
          <w:tcPr>
            <w:tcW w:type="dxa" w:w="1800"/>
          </w:tcPr>
          <w:p>
            <w:pPr>
              <w:spacing w:after="0"/>
            </w:pPr>
            <w:r>
              <w:rPr>
                <w:rFonts w:ascii="Arial" w:cs="Arial" w:eastAsia="Arial" w:hAnsi="Arial"/>
                <w:b w:val="false"/>
                <w:bCs w:val="false"/>
                <w:sz w:val="20"/>
                <w:szCs w:val="20"/>
              </w:rPr>
              <w:t xml:space="preserve">7 jul – 26 jul</w:t>
            </w:r>
          </w:p>
        </w:tc>
        <w:tc>
          <w:tcPr>
            <w:tcW w:type="dxa" w:w="1800"/>
          </w:tcPr>
          <w:p>
            <w:pPr>
              <w:spacing w:after="0"/>
            </w:pPr>
            <w:r>
              <w:rPr>
                <w:rFonts w:ascii="Arial" w:cs="Arial" w:eastAsia="Arial" w:hAnsi="Arial"/>
                <w:b w:val="false"/>
                <w:bCs w:val="false"/>
                <w:sz w:val="20"/>
                <w:szCs w:val="20"/>
              </w:rPr>
              <w:t xml:space="preserve">20</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70 h</w:t>
            </w:r>
          </w:p>
        </w:tc>
        <w:tc>
          <w:tcPr>
            <w:tcW w:type="dxa" w:w="1800"/>
          </w:tcPr>
          <w:p>
            <w:pPr>
              <w:spacing w:after="0"/>
            </w:pPr>
            <w:r>
              <w:rPr>
                <w:rFonts w:ascii="Arial" w:cs="Arial" w:eastAsia="Arial" w:hAnsi="Arial"/>
                <w:b w:val="false"/>
                <w:bCs w:val="false"/>
                <w:sz w:val="20"/>
                <w:szCs w:val="20"/>
              </w:rPr>
              <w:t xml:space="preserve">Instalación del entorno, bloqueo y reorientación</w:t>
            </w:r>
          </w:p>
        </w:tc>
      </w:tr>
      <w:tr>
        <w:tc>
          <w:tcPr>
            <w:tcW w:type="dxa" w:w="1800"/>
          </w:tcPr>
          <w:p>
            <w:pPr>
              <w:spacing w:after="0"/>
            </w:pPr>
            <w:r>
              <w:rPr>
                <w:rFonts w:ascii="Arial" w:cs="Arial" w:eastAsia="Arial" w:hAnsi="Arial"/>
                <w:b w:val="false"/>
                <w:bCs w:val="false"/>
                <w:sz w:val="20"/>
                <w:szCs w:val="20"/>
              </w:rPr>
              <w:t xml:space="preserve">27 jul – 31 jul</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8 entregas y 44 ficheros de resultados</w:t>
            </w:r>
          </w:p>
        </w:tc>
      </w:tr>
      <w:tr>
        <w:tc>
          <w:tcPr>
            <w:tcW w:type="dxa" w:w="1800"/>
          </w:tcPr>
          <w:p>
            <w:pPr>
              <w:spacing w:after="0"/>
            </w:pPr>
            <w:r>
              <w:rPr>
                <w:rFonts w:ascii="Arial" w:cs="Arial" w:eastAsia="Arial" w:hAnsi="Arial"/>
                <w:b w:val="false"/>
                <w:bCs w:val="false"/>
                <w:sz w:val="20"/>
                <w:szCs w:val="20"/>
              </w:rPr>
              <w:t xml:space="preserve">1 ago – 14 ago</w:t>
            </w:r>
          </w:p>
        </w:tc>
        <w:tc>
          <w:tcPr>
            <w:tcW w:type="dxa" w:w="1800"/>
          </w:tcPr>
          <w:p>
            <w:pPr>
              <w:spacing w:after="0"/>
            </w:pPr>
            <w:r>
              <w:rPr>
                <w:rFonts w:ascii="Arial" w:cs="Arial" w:eastAsia="Arial" w:hAnsi="Arial"/>
                <w:b w:val="false"/>
                <w:bCs w:val="false"/>
                <w:sz w:val="20"/>
                <w:szCs w:val="20"/>
              </w:rPr>
              <w:t xml:space="preserve">14</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56 h</w:t>
            </w:r>
          </w:p>
        </w:tc>
        <w:tc>
          <w:tcPr>
            <w:tcW w:type="dxa" w:w="1800"/>
          </w:tcPr>
          <w:p>
            <w:pPr>
              <w:spacing w:after="0"/>
            </w:pPr>
            <w:r>
              <w:rPr>
                <w:rFonts w:ascii="Arial" w:cs="Arial" w:eastAsia="Arial" w:hAnsi="Arial"/>
                <w:b w:val="false"/>
                <w:bCs w:val="false"/>
                <w:sz w:val="20"/>
                <w:szCs w:val="20"/>
              </w:rPr>
              <w:t xml:space="preserve">14 entregas, 64 ficheros de resultados, 13.831 líneas</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**109**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**151 h**</w:t>
            </w:r>
          </w:p>
        </w:tc>
        <w:tc>
          <w:tcPr>
            <w:tcW w:type="dxa" w:w="1800"/>
          </w:tcPr>
          <w:p>
            <w:pPr>
              <w:spacing w:after="0"/>
            </w:pPr>
            <w:r>
              <w:rPr>
                <w:rFonts w:ascii="Arial" w:cs="Arial" w:eastAsia="Arial" w:hAnsi="Arial"/>
                <w:b w:val="false"/>
                <w:bCs w:val="false"/>
                <w:sz w:val="20"/>
                <w:szCs w:val="20"/>
              </w:rPr>
              <w:t xml:space="preserve">**50 %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Las franjas horarias que registran los ficheros de resultados delimitan las jornadas del último tramo: entre el 2 y el 6 de agosto hay actividad desde las 00:57 hasta las 21:31 según el día. En ese periodo se cerró el objetivo específico 4 —incluida una ejecución desatendida de siete horas y cuarenta minutos—, se construyeron dos guiones de experimentación completos, se leyeron cinco trabajos de la literatura y se redactó la memoria.</w:t>
      </w:r>
    </w:p>
    <w:p>
      <w:pPr>
        <w:pStyle w:val="Heading3"/>
        <w:spacing w:after="200" w:before="360"/>
      </w:pPr>
      <w:r>
        <w:rPr>
          <w:rFonts w:ascii="Arial" w:cs="Arial" w:eastAsia="Arial" w:hAnsi="Arial"/>
          <w:b/>
          <w:bCs/>
          <w:color w:val="000000"/>
          <w:sz w:val="24"/>
          <w:szCs w:val="24"/>
        </w:rPr>
        <w:t xml:space="preserve">Sobre la desviación</w:t>
      </w:r>
    </w:p>
    <w:p>
      <w:pPr>
        <w:spacing w:after="160" w:line="360" w:lineRule="auto"/>
        <w:ind w:firstLine="425"/>
        <w:jc w:val="both"/>
      </w:pPr>
      <w:r>
        <w:rPr>
          <w:rFonts w:ascii="Arial" w:cs="Arial" w:eastAsia="Arial" w:hAnsi="Arial"/>
          <w:sz w:val="22"/>
          <w:szCs w:val="22"/>
        </w:rPr>
        <w:t xml:space="preserve">El proyecto se sitúa a mitad de la dedicación nominal con la fase experimental cerrada. La explicación está en el capítulo 4: al desaparecer la dependencia del entorno externo, el desarrollo técnico que la planificación inicial situaba en cuatro meses se resolvió en poco más de dos semanas. La reorientación, que fue el mayor contratiempo del proyecto, redujo a la vez su coste de ejecución.</w:t>
      </w:r>
    </w:p>
    <w:p>
      <w:pPr>
        <w:spacing w:after="160" w:line="360" w:lineRule="auto"/>
        <w:ind w:firstLine="425"/>
        <w:jc w:val="both"/>
      </w:pPr>
      <w:r>
        <w:rPr>
          <w:rFonts w:ascii="Arial" w:cs="Arial" w:eastAsia="Arial" w:hAnsi="Arial"/>
          <w:sz w:val="22"/>
          <w:szCs w:val="22"/>
        </w:rPr>
        <w:t xml:space="preserve">El esfuerzo restante se destina a la extensión descrita en 3.7 y a la redacción, revisión y preparación de la defensa.</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3.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80" w:before="240"/>
        <w:jc w:val="center"/>
      </w:pPr>
      <w:r>
        <w:drawing>
          <wp:inline distT="0" distB="0" distL="0" distR="0">
            <wp:extent cx="5400675" cy="1233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2334875"/>
                    </a:xfrm>
                    <a:prstGeom prst="rect">
                      <a:avLst/>
                    </a:prstGeom>
                  </pic:spPr>
                </pic:pic>
              </a:graphicData>
            </a:graphic>
          </wp:inline>
        </w:drawing>
      </w:r>
    </w:p>
    <w:p>
      <w:pPr>
        <w:spacing w:after="240"/>
        <w:jc w:val="center"/>
      </w:pPr>
      <w:r>
        <w:rPr>
          <w:i/>
          <w:iCs/>
          <w:sz w:val="20"/>
          <w:szCs w:val="20"/>
        </w:rPr>
        <w:t xml:space="preserve">Figura 4. Arquitectura del sistema y recorrido completo de un turno. En azul los componentes deterministas, en rojo los estocásticos y en verde la comprobación automática.</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80" w:before="240"/>
        <w:jc w:val="center"/>
      </w:pPr>
      <w:r>
        <w:drawing>
          <wp:inline distT="0" distB="0" distL="0" distR="0">
            <wp:extent cx="5400675"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181850"/>
                    </a:xfrm>
                    <a:prstGeom prst="rect">
                      <a:avLst/>
                    </a:prstGeom>
                  </pic:spPr>
                </pic:pic>
              </a:graphicData>
            </a:graphic>
          </wp:inline>
        </w:drawing>
      </w:r>
    </w:p>
    <w:p>
      <w:pPr>
        <w:spacing w:after="240"/>
        <w:jc w:val="center"/>
      </w:pPr>
      <w:r>
        <w:rPr>
          <w:i/>
          <w:iCs/>
          <w:sz w:val="20"/>
          <w:szCs w:val="20"/>
        </w:rPr>
        <w:t xml:space="preserve">Figura 5. Recorrido de un caso individual. El Investigador produce dos salidas, el párrafo explicativo y el veredicto, que alimentan destinos distintos: la sección 5.12 muestra que no se corresponden entre sí.</w:t>
      </w:r>
    </w:p>
    <w:p>
      <w:pPr>
        <w:spacing w:after="80" w:before="240"/>
        <w:jc w:val="center"/>
      </w:pPr>
      <w:r>
        <w:drawing>
          <wp:inline distT="0" distB="0" distL="0" distR="0">
            <wp:extent cx="54006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419600"/>
                    </a:xfrm>
                    <a:prstGeom prst="rect">
                      <a:avLst/>
                    </a:prstGeom>
                  </pic:spPr>
                </pic:pic>
              </a:graphicData>
            </a:graphic>
          </wp:inline>
        </w:drawing>
      </w:r>
    </w:p>
    <w:p>
      <w:pPr>
        <w:spacing w:after="240"/>
        <w:jc w:val="center"/>
      </w:pPr>
      <w:r>
        <w:rPr>
          <w:i/>
          <w:iCs/>
          <w:sz w:val="20"/>
          <w:szCs w:val="20"/>
        </w:rPr>
        <w:t xml:space="preserve">Figura 6. El caso 55 en el demostrador: a la izquierda, lo que calcula el detector; a la derecha, el dossier literal que recibe el modelo. Probabilidad 0,067, importe 2,22 EUR, y es fraude real.</w:t>
      </w: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7. Distribución de importes por clase sobre el conjunto completo. El escalón vertical del panel izquierdo corresponde a las transacciones de exactamente un euro: un tercio de los fraudes lo son.</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spacing w:after="80" w:before="240"/>
        <w:jc w:val="center"/>
      </w:pPr>
      <w:r>
        <w:drawing>
          <wp:inline distT="0" distB="0" distL="0" distR="0">
            <wp:extent cx="54006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914525"/>
                    </a:xfrm>
                    <a:prstGeom prst="rect">
                      <a:avLst/>
                    </a:prstGeom>
                  </pic:spPr>
                </pic:pic>
              </a:graphicData>
            </a:graphic>
          </wp:inline>
        </w:drawing>
      </w:r>
    </w:p>
    <w:p>
      <w:pPr>
        <w:spacing w:after="240"/>
        <w:jc w:val="center"/>
      </w:pPr>
      <w:r>
        <w:rPr>
          <w:i/>
          <w:iCs/>
          <w:sz w:val="20"/>
          <w:szCs w:val="20"/>
        </w:rPr>
        <w:t xml:space="preserve">Figura 8. Métricas de los tres detectores en ambas particiones, reimpresas desde el fichero de resultados del entrenamiento.</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spacing w:after="160" w:line="360" w:lineRule="auto"/>
        <w:ind w:firstLine="425"/>
        <w:jc w:val="both"/>
      </w:pPr>
      <w:r>
        <w:rPr>
          <w:rFonts w:ascii="Arial" w:cs="Arial" w:eastAsia="Arial" w:hAnsi="Arial"/>
          <w:b/>
          <w:bCs/>
          <w:sz w:val="22"/>
          <w:szCs w:val="22"/>
        </w:rPr>
        <w:t xml:space="preserve">Conviene precisar qué modelo opera realmente el sistema, porque los tres se entrenan y ninguna sección lo dice de forma explícita hasta ahora: XGBoost, y solo XGBoost.</w:t>
      </w:r>
      <w:r>
        <w:rPr>
          <w:rFonts w:ascii="Arial" w:cs="Arial" w:eastAsia="Arial" w:hAnsi="Arial"/>
          <w:sz w:val="22"/>
          <w:szCs w:val="22"/>
        </w:rPr>
        <w:t xml:space="preserve"> Es el que puntúa cada transacción y el que calcula, mediante Shapley, las contribuciones por variable que se inyectan en el expediente de los agentes. El Isolation Forest se calcula en cada puntuación pero su resultado no llega a la capa 2. Random Forest no se carga en ningún momento del flujo operativo: existe únicamente como término de comparación, aquí y en 5.1, para justificar o matizar con datos la elección de XGBoost, no como una alternativa desplegada.</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spacing w:after="80" w:before="240"/>
        <w:jc w:val="center"/>
      </w:pPr>
      <w:r>
        <w:drawing>
          <wp:inline distT="0" distB="0" distL="0" distR="0">
            <wp:extent cx="54006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695575"/>
                    </a:xfrm>
                    <a:prstGeom prst="rect">
                      <a:avLst/>
                    </a:prstGeom>
                  </pic:spPr>
                </pic:pic>
              </a:graphicData>
            </a:graphic>
          </wp:inline>
        </w:drawing>
      </w:r>
    </w:p>
    <w:p>
      <w:pPr>
        <w:spacing w:after="240"/>
        <w:jc w:val="center"/>
      </w:pPr>
      <w:r>
        <w:rPr>
          <w:i/>
          <w:iCs/>
          <w:sz w:val="20"/>
          <w:szCs w:val="20"/>
        </w:rPr>
        <w:t xml:space="preserve">Figura 9. Traza de CrewAI durante una ejecución: el Coordinador entrega su resumen del lote y el Analista de datos toma el turno.</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80" w:before="24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781550"/>
                    </a:xfrm>
                    <a:prstGeom prst="rect">
                      <a:avLst/>
                    </a:prstGeom>
                  </pic:spPr>
                </pic:pic>
              </a:graphicData>
            </a:graphic>
          </wp:inline>
        </w:drawing>
      </w:r>
    </w:p>
    <w:p>
      <w:pPr>
        <w:spacing w:after="240"/>
        <w:jc w:val="center"/>
      </w:pPr>
      <w:r>
        <w:rPr>
          <w:i/>
          <w:iCs/>
          <w:sz w:val="20"/>
          <w:szCs w:val="20"/>
        </w:rPr>
        <w:t xml:space="preserve">Figura 10. Construcción y puntuación del turno de evaluación: 32.791 transacciones y 54 fraudes, de los que el detector eleva 55 casos con 44 fraudes en 268 ms.</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p>
      <w:pPr>
        <w:spacing w:after="160" w:line="360" w:lineRule="auto"/>
        <w:ind w:firstLine="425"/>
        <w:jc w:val="both"/>
      </w:pPr>
      <w:r>
        <w:rPr>
          <w:rFonts w:ascii="Arial" w:cs="Arial" w:eastAsia="Arial" w:hAnsi="Arial"/>
          <w:sz w:val="22"/>
          <w:szCs w:val="22"/>
        </w:rPr>
        <w:t xml:space="preserve">Cada turno se identifica por su </w:t>
      </w:r>
      <w:r>
        <w:rPr>
          <w:rFonts w:ascii="Arial" w:cs="Arial" w:eastAsia="Arial" w:hAnsi="Arial"/>
          <w:b/>
          <w:bCs/>
          <w:sz w:val="22"/>
          <w:szCs w:val="22"/>
        </w:rPr>
        <w:t xml:space="preserve">desplazamiento</w:t>
      </w:r>
      <w:r>
        <w:rPr>
          <w:rFonts w:ascii="Arial" w:cs="Arial" w:eastAsia="Arial" w:hAnsi="Arial"/>
          <w:sz w:val="22"/>
          <w:szCs w:val="22"/>
        </w:rPr>
        <w:t xml:space="preserve"> respecto al inicio del periodo de prueba, no por una hora del día: el turno de 0 h cubre las cuatro primeras horas del periodo, el de 1 h va de la hora 1 a la 5, el de 2 h de la 2 a la 6, y así sucesivamente. Como el periodo de prueba dura menos de ocho horas en total, turnos consecutivos comparten aproximadamente la mitad de sus transacciones.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Desplazamiento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Al solaparse, los cuatro turnos no constituyen muestras independientes entre sí. Es una limitación declarada en el capítulo 6, junto a la relacionada con las repeticiones dentro de cada turno: con temperatura 0,1 son casi idénticas entre sí, de modo que el número de observaciones verdaderamente independientes en las comparativas del capítulo 5 es más cercano a cuatro que al total de ejecuciones.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80" w:before="24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314950"/>
                    </a:xfrm>
                    <a:prstGeom prst="rect">
                      <a:avLst/>
                    </a:prstGeom>
                  </pic:spPr>
                </pic:pic>
              </a:graphicData>
            </a:graphic>
          </wp:inline>
        </w:drawing>
      </w:r>
    </w:p>
    <w:p>
      <w:pPr>
        <w:spacing w:after="240"/>
        <w:jc w:val="center"/>
      </w:pPr>
      <w:r>
        <w:rPr>
          <w:i/>
          <w:iCs/>
          <w:sz w:val="20"/>
          <w:szCs w:val="20"/>
        </w:rPr>
        <w:t xml:space="preserve">Figura 11. Auditoría de un informe en modo revisa: cobertura del 98 % y aviso de que 21 casos quedaron sin veredicto y conservan la decisión del detector.</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4.8 Demostrador web</w:t>
      </w:r>
    </w:p>
    <w:p>
      <w:pPr>
        <w:spacing w:after="160" w:line="360" w:lineRule="auto"/>
        <w:ind w:firstLine="425"/>
        <w:jc w:val="both"/>
      </w:pPr>
      <w:r>
        <w:rPr>
          <w:rFonts w:ascii="Arial" w:cs="Arial" w:eastAsia="Arial" w:hAnsi="Arial"/>
          <w:sz w:val="22"/>
          <w:szCs w:val="22"/>
        </w:rPr>
        <w:t xml:space="preserve">El sistema se acompaña de una aplicación web local, construida sobre FastAPI, que hace visible lo que los capítulos 5 y 6 miden. No reimplementa nada: invoca las mismas funciones que los guiones de experimentación, de modo que lo que se muestra en pantalla es el sistema y no una maqueta que pudiera divergir de él.</w:t>
      </w:r>
    </w:p>
    <w:p>
      <w:pPr>
        <w:spacing w:after="160" w:line="360" w:lineRule="auto"/>
        <w:ind w:firstLine="425"/>
        <w:jc w:val="both"/>
      </w:pPr>
      <w:r>
        <w:rPr>
          <w:rFonts w:ascii="Arial" w:cs="Arial" w:eastAsia="Arial" w:hAnsi="Arial"/>
          <w:sz w:val="22"/>
          <w:szCs w:val="22"/>
        </w:rPr>
        <w:t xml:space="preserve">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pPr>
        <w:spacing w:after="80" w:before="240"/>
        <w:jc w:val="center"/>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114550"/>
                    </a:xfrm>
                    <a:prstGeom prst="rect">
                      <a:avLst/>
                    </a:prstGeom>
                  </pic:spPr>
                </pic:pic>
              </a:graphicData>
            </a:graphic>
          </wp:inline>
        </w:drawing>
      </w:r>
    </w:p>
    <w:p>
      <w:pPr>
        <w:spacing w:after="240"/>
        <w:jc w:val="center"/>
      </w:pPr>
      <w:r>
        <w:rPr>
          <w:i/>
          <w:iCs/>
          <w:sz w:val="20"/>
          <w:szCs w:val="20"/>
        </w:rPr>
        <w:t xml:space="preserve">Figura 12. Pantalla inicial del demostrador, con los indicadores de entorno y las cuatro etapas del recorrido.</w:t>
      </w:r>
    </w:p>
    <w:p>
      <w:pPr>
        <w:pStyle w:val="Heading3"/>
        <w:spacing w:after="200" w:before="360"/>
      </w:pPr>
      <w:r>
        <w:rPr>
          <w:rFonts w:ascii="Arial" w:cs="Arial" w:eastAsia="Arial" w:hAnsi="Arial"/>
          <w:b/>
          <w:bCs/>
          <w:color w:val="000000"/>
          <w:sz w:val="24"/>
          <w:szCs w:val="24"/>
        </w:rPr>
        <w:t xml:space="preserve">Lo que su construcción enseñó</w:t>
      </w:r>
    </w:p>
    <w:p>
      <w:pPr>
        <w:spacing w:after="160" w:line="360" w:lineRule="auto"/>
        <w:ind w:firstLine="425"/>
        <w:jc w:val="both"/>
      </w:pPr>
      <w:r>
        <w:rPr>
          <w:rFonts w:ascii="Arial" w:cs="Arial" w:eastAsia="Arial" w:hAnsi="Arial"/>
          <w:sz w:val="22"/>
          <w:szCs w:val="22"/>
        </w:rPr>
        <w:t xml:space="preserve">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pPr>
        <w:spacing w:after="160" w:line="360" w:lineRule="auto"/>
        <w:ind w:firstLine="425"/>
        <w:jc w:val="both"/>
      </w:pPr>
      <w:r>
        <w:rPr>
          <w:rFonts w:ascii="Arial" w:cs="Arial" w:eastAsia="Arial" w:hAnsi="Arial"/>
          <w:sz w:val="22"/>
          <w:szCs w:val="22"/>
        </w:rPr>
        <w:t xml:space="preserve">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pPr>
        <w:spacing w:after="160" w:line="360" w:lineRule="auto"/>
        <w:ind w:firstLine="425"/>
        <w:jc w:val="both"/>
      </w:pPr>
      <w:r>
        <w:rPr>
          <w:rFonts w:ascii="Arial" w:cs="Arial" w:eastAsia="Arial" w:hAnsi="Arial"/>
          <w:sz w:val="22"/>
          <w:szCs w:val="22"/>
        </w:rPr>
        <w:t xml:space="preserve">El auditor de informes recibía identificadores reales de transacción cuando el informe cita números de caso, y un informe perfectamente válido aparecía con cobertura nula y cincuenta y cinco citas marcadas como inexistentes.</w:t>
      </w:r>
    </w:p>
    <w:p>
      <w:pPr>
        <w:spacing w:after="160" w:line="360" w:lineRule="auto"/>
        <w:ind w:firstLine="425"/>
        <w:jc w:val="both"/>
      </w:pPr>
      <w:r>
        <w:rPr>
          <w:rFonts w:ascii="Arial" w:cs="Arial" w:eastAsia="Arial" w:hAnsi="Arial"/>
          <w:sz w:val="22"/>
          <w:szCs w:val="22"/>
        </w:rPr>
        <w:t xml:space="preserve">Y una respuesta truncada por el límite de tokens resultaba indistinguible de una respuesta en la que el modelo hubiera omitido el veredicto, hasta que se incorporó la lectura del motivo de parada que el servidor de modelos declara.</w:t>
      </w:r>
    </w:p>
    <w:p>
      <w:pPr>
        <w:spacing w:after="160" w:line="360" w:lineRule="auto"/>
        <w:ind w:firstLine="425"/>
        <w:jc w:val="both"/>
      </w:pPr>
      <w:r>
        <w:rPr>
          <w:rFonts w:ascii="Arial" w:cs="Arial" w:eastAsia="Arial" w:hAnsi="Arial"/>
          <w:sz w:val="22"/>
          <w:szCs w:val="22"/>
        </w:rPr>
        <w:t xml:space="preserve">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pPr>
        <w:pStyle w:val="Heading2"/>
        <w:spacing w:after="200" w:before="360"/>
      </w:pPr>
      <w:r>
        <w:rPr>
          <w:rFonts w:ascii="Arial" w:cs="Arial" w:eastAsia="Arial" w:hAnsi="Arial"/>
          <w:b/>
          <w:bCs/>
          <w:color w:val="000000"/>
          <w:sz w:val="26"/>
          <w:szCs w:val="26"/>
        </w:rPr>
        <w:t xml:space="preserve">4.7 Seguimiento del desarrollo</w:t>
      </w:r>
    </w:p>
    <w:p>
      <w:pPr>
        <w:spacing w:after="80" w:before="240"/>
        <w:jc w:val="center"/>
      </w:pPr>
      <w:r>
        <w:drawing>
          <wp:inline distT="0" distB="0" distL="0" distR="0">
            <wp:extent cx="54006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762250"/>
                    </a:xfrm>
                    <a:prstGeom prst="rect">
                      <a:avLst/>
                    </a:prstGeom>
                  </pic:spPr>
                </pic:pic>
              </a:graphicData>
            </a:graphic>
          </wp:inline>
        </w:drawing>
      </w:r>
    </w:p>
    <w:p>
      <w:pPr>
        <w:spacing w:after="240"/>
        <w:jc w:val="center"/>
      </w:pPr>
      <w:r>
        <w:rPr>
          <w:i/>
          <w:iCs/>
          <w:sz w:val="20"/>
          <w:szCs w:val="20"/>
        </w:rPr>
        <w:t xml:space="preserve">Figura 13. Historial del repositorio: cada fase del desarrollo corresponde a una entrega trazable.</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spacing w:after="160" w:line="360" w:lineRule="auto"/>
        <w:ind w:firstLine="425"/>
        <w:jc w:val="both"/>
      </w:pPr>
      <w:r>
        <w:rPr>
          <w:rFonts w:ascii="Arial" w:cs="Arial" w:eastAsia="Arial" w:hAnsi="Arial"/>
          <w:sz w:val="22"/>
          <w:szCs w:val="22"/>
        </w:rPr>
        <w:t xml:space="preserve">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pPr>
        <w:spacing w:after="80" w:before="24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257425"/>
                    </a:xfrm>
                    <a:prstGeom prst="rect">
                      <a:avLst/>
                    </a:prstGeom>
                  </pic:spPr>
                </pic:pic>
              </a:graphicData>
            </a:graphic>
          </wp:inline>
        </w:drawing>
      </w:r>
    </w:p>
    <w:p>
      <w:pPr>
        <w:spacing w:after="240"/>
        <w:jc w:val="center"/>
      </w:pPr>
      <w:r>
        <w:rPr>
          <w:i/>
          <w:iCs/>
          <w:sz w:val="20"/>
          <w:szCs w:val="20"/>
        </w:rPr>
        <w:t xml:space="preserve">Figura 14. Mapa del diseño experimental. La línea base de los experimentos sobre la capa 2 es el detector operando sin ella.</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spacing w:after="80" w:before="240"/>
        <w:jc w:val="center"/>
      </w:pPr>
      <w:r>
        <w:drawing>
          <wp:inline distT="0" distB="0" distL="0" distR="0">
            <wp:extent cx="540067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819525"/>
                    </a:xfrm>
                    <a:prstGeom prst="rect">
                      <a:avLst/>
                    </a:prstGeom>
                  </pic:spPr>
                </pic:pic>
              </a:graphicData>
            </a:graphic>
          </wp:inline>
        </w:drawing>
      </w:r>
    </w:p>
    <w:p>
      <w:pPr>
        <w:spacing w:after="240"/>
        <w:jc w:val="center"/>
      </w:pPr>
      <w:r>
        <w:rPr>
          <w:i/>
          <w:iCs/>
          <w:sz w:val="20"/>
          <w:szCs w:val="20"/>
        </w:rPr>
        <w:t xml:space="preserve">Figura 15. Curvas de precisión frente a exhaustividad de los tres detectores sobre la partición aleatoria, con la línea base marcada en la prevalencia.</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p>
      <w:pPr>
        <w:spacing w:after="80" w:before="24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2409825"/>
                    </a:xfrm>
                    <a:prstGeom prst="rect">
                      <a:avLst/>
                    </a:prstGeom>
                  </pic:spPr>
                </pic:pic>
              </a:graphicData>
            </a:graphic>
          </wp:inline>
        </w:drawing>
      </w:r>
    </w:p>
    <w:p>
      <w:pPr>
        <w:spacing w:after="240"/>
        <w:jc w:val="center"/>
      </w:pPr>
      <w:r>
        <w:rPr>
          <w:i/>
          <w:iCs/>
          <w:sz w:val="20"/>
          <w:szCs w:val="20"/>
        </w:rPr>
        <w:t xml:space="preserve">Figura 16. Precisión en los N primeros casos y fraude capturado frente al esfuerzo de revisión, con la capacidad del equipo marcada.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17. Fraude destruido por modelo en dieciséis ejecuciones. La dispersión del panel derecho muestra el solapamiento que impide declarar significativa la ordenación.</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spacing w:after="160" w:line="360" w:lineRule="auto"/>
        <w:ind w:firstLine="425"/>
        <w:jc w:val="both"/>
      </w:pPr>
      <w:r>
        <w:rPr>
          <w:rFonts w:ascii="Arial" w:cs="Arial" w:eastAsia="Arial" w:hAnsi="Arial"/>
          <w:sz w:val="22"/>
          <w:szCs w:val="22"/>
        </w:rPr>
        <w:t xml:space="preserve">Conviene adelantar, no obstante, que esa reproducibilidad perfecta </w:t>
      </w:r>
      <w:r>
        <w:rPr>
          <w:rFonts w:ascii="Arial" w:cs="Arial" w:eastAsia="Arial" w:hAnsi="Arial"/>
          <w:b/>
          <w:bCs/>
          <w:sz w:val="22"/>
          <w:szCs w:val="22"/>
        </w:rPr>
        <w:t xml:space="preserve">no resultó ser una propiedad del modelo</w:t>
      </w:r>
      <w:r>
        <w:rPr>
          <w:rFonts w:ascii="Arial" w:cs="Arial" w:eastAsia="Arial" w:hAnsi="Arial"/>
          <w:sz w:val="22"/>
          <w:szCs w:val="22"/>
        </w:rPr>
        <w:t xml:space="preserve">. La ablación del expediente descrita en 5.8 muestra que depende de la información que se le entrega, y desaparece al retirarle la puntuación del detector. La conclusión de esta sección debe leerse, por tanto, junto a aquella.</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80" w:before="240"/>
        <w:jc w:val="center"/>
      </w:pPr>
      <w:r>
        <w:drawing>
          <wp:inline distT="0" distB="0" distL="0" distR="0">
            <wp:extent cx="54006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2305050"/>
                    </a:xfrm>
                    <a:prstGeom prst="rect">
                      <a:avLst/>
                    </a:prstGeom>
                  </pic:spPr>
                </pic:pic>
              </a:graphicData>
            </a:graphic>
          </wp:inline>
        </w:drawing>
      </w:r>
    </w:p>
    <w:p>
      <w:pPr>
        <w:spacing w:after="240"/>
        <w:jc w:val="center"/>
      </w:pPr>
      <w:r>
        <w:rPr>
          <w:i/>
          <w:iCs/>
          <w:sz w:val="20"/>
          <w:szCs w:val="20"/>
        </w:rPr>
        <w:t xml:space="preserve">Figura 18. Efecto del nivel de información del expediente sobre el volumen de descartes, su acierto y la reproducibilidad entre ejecuciones.</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80" w:before="24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428875"/>
                    </a:xfrm>
                    <a:prstGeom prst="rect">
                      <a:avLst/>
                    </a:prstGeom>
                  </pic:spPr>
                </pic:pic>
              </a:graphicData>
            </a:graphic>
          </wp:inline>
        </w:drawing>
      </w:r>
    </w:p>
    <w:p>
      <w:pPr>
        <w:spacing w:after="240"/>
        <w:jc w:val="center"/>
      </w:pPr>
      <w:r>
        <w:rPr>
          <w:i/>
          <w:iCs/>
          <w:sz w:val="20"/>
          <w:szCs w:val="20"/>
        </w:rPr>
        <w:t xml:space="preserve">Figura 19. Latencia media hasta aparecer en un informe frente al tamaño de ventana, y ocupación de cómputo medida en las ejecuciones registradas.</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80" w:before="240"/>
        <w:jc w:val="center"/>
      </w:pPr>
      <w:r>
        <w:drawing>
          <wp:inline distT="0" distB="0" distL="0" distR="0">
            <wp:extent cx="540067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3267075"/>
                    </a:xfrm>
                    <a:prstGeom prst="rect">
                      <a:avLst/>
                    </a:prstGeom>
                  </pic:spPr>
                </pic:pic>
              </a:graphicData>
            </a:graphic>
          </wp:inline>
        </w:drawing>
      </w:r>
    </w:p>
    <w:p>
      <w:pPr>
        <w:spacing w:after="240"/>
        <w:jc w:val="center"/>
      </w:pPr>
      <w:r>
        <w:rPr>
          <w:i/>
          <w:iCs/>
          <w:sz w:val="20"/>
          <w:szCs w:val="20"/>
        </w:rPr>
        <w:t xml:space="preserve">Figura 20. Un fallo silencioso reproducido a voluntad: el modelo de razonamiento agota los 220 tokens pensando y devuelve una respuesta vacía. Sin el aviso, el veredicto ausente sería indistinguible de un dato.</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Consola durante la ejecucion con AirLLM, donde se vea el tiempo por caso de unos 6.600 segundos junto al del modelo local de 3,7. Y si puedes, nvidia-smi al lado mostrando la utilizacion de GPU entre el 9 y el 25 %, que es la evidencia de que el cuello de botella es el disco.</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80" w:before="240"/>
        <w:jc w:val="center"/>
      </w:pPr>
      <w:r>
        <w:drawing>
          <wp:inline distT="0" distB="0" distL="0" distR="0">
            <wp:extent cx="54006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3390900"/>
                    </a:xfrm>
                    <a:prstGeom prst="rect">
                      <a:avLst/>
                    </a:prstGeom>
                  </pic:spPr>
                </pic:pic>
              </a:graphicData>
            </a:graphic>
          </wp:inline>
        </w:drawing>
      </w:r>
    </w:p>
    <w:p>
      <w:pPr>
        <w:spacing w:after="240"/>
        <w:jc w:val="center"/>
      </w:pPr>
      <w:r>
        <w:rPr>
          <w:i/>
          <w:iCs/>
          <w:sz w:val="20"/>
          <w:szCs w:val="20"/>
        </w:rPr>
        <w:t xml:space="preserve">Figura 21. Sin la corrección de dominio: el modelo usa el importe bajo como argumento y descarta el fraude 1885.</w:t>
      </w:r>
    </w:p>
    <w:p>
      <w:pPr>
        <w:spacing w:after="80" w:before="240"/>
        <w:jc w:val="center"/>
      </w:pPr>
      <w:r>
        <w:drawing>
          <wp:inline distT="0" distB="0" distL="0" distR="0">
            <wp:extent cx="54006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438525"/>
                    </a:xfrm>
                    <a:prstGeom prst="rect">
                      <a:avLst/>
                    </a:prstGeom>
                  </pic:spPr>
                </pic:pic>
              </a:graphicData>
            </a:graphic>
          </wp:inline>
        </w:drawing>
      </w:r>
    </w:p>
    <w:p>
      <w:pPr>
        <w:spacing w:after="240"/>
        <w:jc w:val="center"/>
      </w:pPr>
      <w:r>
        <w:rPr>
          <w:i/>
          <w:iCs/>
          <w:sz w:val="20"/>
          <w:szCs w:val="20"/>
        </w:rPr>
        <w:t xml:space="preserve">Figura 22. El resultado central, en vivo: con la corrección de dominio, el párrafo escribe que la transacción «podría ser una prueba inicial antes de realizar cargos más grandes» y el veredicto la descarta. El caso era el fraude 1885.</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2"/>
        <w:spacing w:after="200" w:before="360"/>
      </w:pPr>
      <w:r>
        <w:rPr>
          <w:rFonts w:ascii="Arial" w:cs="Arial" w:eastAsia="Arial" w:hAnsi="Arial"/>
          <w:b/>
          <w:bCs/>
          <w:color w:val="000000"/>
          <w:sz w:val="26"/>
          <w:szCs w:val="26"/>
        </w:rPr>
        <w:t xml:space="preserve">5.13 Extensión exploratoria: un dataset con variables de negocio</w:t>
      </w:r>
    </w:p>
    <w:p>
      <w:pPr>
        <w:spacing w:after="160" w:line="360" w:lineRule="auto"/>
        <w:ind w:firstLine="425"/>
        <w:jc w:val="both"/>
      </w:pPr>
      <w:r>
        <w:rPr>
          <w:rFonts w:ascii="Arial" w:cs="Arial" w:eastAsia="Arial" w:hAnsi="Arial"/>
          <w:sz w:val="22"/>
          <w:szCs w:val="22"/>
        </w:rPr>
        <w:t xml:space="preserve">La sección 5.1 midió el coste de la anonimización del conjunto ULB: retirar las dos únicas variables interpretables, importe y hora, apenas cambia el AUC-PR, de modo que lo único que la capa 2 puede explicar en términos que un humano reconozca es casi irrelevante para la decisión. Esta sección comprueba qué ocurre con un dataset donde eso no es cierto. No sustituye a los experimentos anteriores ni sigue su misma exigencia metodológica: es una exploración con un único modelo, sin búsqueda de hiperparámetros y sin réplicas, pensada para responder una pregunta concreta y no para sustituir las conclusiones del capítulo.</w:t>
      </w:r>
    </w:p>
    <w:p>
      <w:pPr>
        <w:pStyle w:val="Heading3"/>
        <w:spacing w:after="200" w:before="360"/>
      </w:pPr>
      <w:r>
        <w:rPr>
          <w:rFonts w:ascii="Arial" w:cs="Arial" w:eastAsia="Arial" w:hAnsi="Arial"/>
          <w:b/>
          <w:bCs/>
          <w:color w:val="000000"/>
          <w:sz w:val="24"/>
          <w:szCs w:val="24"/>
        </w:rPr>
        <w:t xml:space="preserve">El dataset</w:t>
      </w:r>
    </w:p>
    <w:p>
      <w:pPr>
        <w:spacing w:after="160" w:line="360" w:lineRule="auto"/>
        <w:ind w:firstLine="425"/>
        <w:jc w:val="both"/>
      </w:pPr>
      <w:r>
        <w:rPr>
          <w:rFonts w:ascii="Arial" w:cs="Arial" w:eastAsia="Arial" w:hAnsi="Arial"/>
          <w:sz w:val="22"/>
          <w:szCs w:val="22"/>
        </w:rPr>
        <w:t xml:space="preserve">Se generó con Sparkov, el mismo generador que produjo el conjunto "Credit Card Transactions Fraud Detection Dataset" de Kaggle. Se generó en lugar de descargarlo porque el generador no exige credenciales y permite fijar exactamente el periodo y el número de clientes, cosa que la versión de Kaggle no permite: 1.000 clientes simulados, un año completo (2024), semilla fija para que sea reproducible.</w:t>
      </w:r>
    </w:p>
    <w:p>
      <w:pPr>
        <w:spacing w:after="160" w:line="360" w:lineRule="auto"/>
        <w:ind w:firstLine="425"/>
        <w:jc w:val="both"/>
      </w:pPr>
      <w:r>
        <w:rPr>
          <w:rFonts w:ascii="Arial" w:cs="Arial" w:eastAsia="Arial" w:hAnsi="Arial"/>
          <w:b/>
          <w:bCs/>
          <w:sz w:val="22"/>
          <w:szCs w:val="22"/>
        </w:rPr>
        <w:t xml:space="preserve">Es un dataset simulado, no transacciones reales.</w:t>
      </w:r>
      <w:r>
        <w:rPr>
          <w:rFonts w:ascii="Arial" w:cs="Arial" w:eastAsia="Arial" w:hAnsi="Arial"/>
          <w:sz w:val="22"/>
          <w:szCs w:val="22"/>
        </w:rPr>
        <w:t xml:space="preserve"> Es la limitación que hay que declarar frente al conjunto principal del trabajo, que sí lo es, y el motivo por el que esta sección se trata como exploratoria y no como una réplica del experimento principal sobre otro dominio.</w:t>
      </w:r>
    </w:p>
    <w:p>
      <w:pPr>
        <w:spacing w:after="160" w:line="360" w:lineRule="auto"/>
        <w:ind w:firstLine="425"/>
        <w:jc w:val="both"/>
      </w:pPr>
      <w:r>
        <w:rPr>
          <w:rFonts w:ascii="Arial" w:cs="Arial" w:eastAsia="Arial" w:hAnsi="Arial"/>
          <w:sz w:val="22"/>
          <w:szCs w:val="22"/>
        </w:rPr>
        <w:t xml:space="preserve">A cambio, cada transacción trae comercio, categoría de comercio, coordenadas del domicilio y del comercio, población de la ciudad, profesión y fecha de nacimiento del titular. Se derivaron seis variables de negocio a partir de esos campos: importe, hora del día, día de la semana, edad del titular, distancia en kilómetros entre domicilio y comercio, y población de la ciudad, más la categoría de comercio codificada en catorce indicadores binarios.</w:t>
      </w:r>
    </w:p>
    <w:p>
      <w:pPr>
        <w:spacing w:after="160" w:line="360" w:lineRule="auto"/>
        <w:ind w:firstLine="425"/>
        <w:jc w:val="both"/>
      </w:pPr>
      <w:r>
        <w:rPr>
          <w:rFonts w:ascii="Arial" w:cs="Arial" w:eastAsia="Arial" w:hAnsi="Arial"/>
          <w:sz w:val="22"/>
          <w:szCs w:val="22"/>
        </w:rPr>
        <w:t xml:space="preserve">El periodo de un año, frente a las cuarenta y ocho horas del conjunto ULB, permite además una partición temporal con volumen real: entrenamiento con los primeros diez meses y prueba con los últimos dos, en lugar de las últimas horas de un periodo de dos días.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
            </w:r>
          </w:p>
        </w:tc>
        <w:tc>
          <w:tcPr>
            <w:tcW w:type="dxa" w:w="2250"/>
            <w:shd w:fill="D9D9D9" w:val="clear"/>
          </w:tcPr>
          <w:p>
            <w:pPr>
              <w:spacing w:after="0"/>
            </w:pPr>
            <w:r>
              <w:rPr>
                <w:rFonts w:ascii="Arial" w:cs="Arial" w:eastAsia="Arial" w:hAnsi="Arial"/>
                <w:b/>
                <w:bCs/>
                <w:sz w:val="20"/>
                <w:szCs w:val="20"/>
              </w:rPr>
              <w:t xml:space="preserve">Filas</w:t>
            </w:r>
          </w:p>
        </w:tc>
        <w:tc>
          <w:tcPr>
            <w:tcW w:type="dxa" w:w="2250"/>
            <w:shd w:fill="D9D9D9" w:val="clear"/>
          </w:tcPr>
          <w:p>
            <w:pPr>
              <w:spacing w:after="0"/>
            </w:pPr>
            <w:r>
              <w:rPr>
                <w:rFonts w:ascii="Arial" w:cs="Arial" w:eastAsia="Arial" w:hAnsi="Arial"/>
                <w:b/>
                <w:bCs/>
                <w:sz w:val="20"/>
                <w:szCs w:val="20"/>
              </w:rPr>
              <w:t xml:space="preserve">Fraude</w:t>
            </w:r>
          </w:p>
        </w:tc>
        <w:tc>
          <w:tcPr>
            <w:tcW w:type="dxa" w:w="2250"/>
            <w:shd w:fill="D9D9D9" w:val="clear"/>
          </w:tcPr>
          <w:p>
            <w:pPr>
              <w:spacing w:after="0"/>
            </w:pPr>
            <w:r>
              <w:rPr>
                <w:rFonts w:ascii="Arial" w:cs="Arial" w:eastAsia="Arial" w:hAnsi="Arial"/>
                <w:b/>
                <w:bCs/>
                <w:sz w:val="20"/>
                <w:szCs w:val="20"/>
              </w:rPr>
              <w:t xml:space="preserve">Prevalencia</w:t>
            </w:r>
          </w:p>
        </w:tc>
      </w:tr>
      <w:tr>
        <w:tc>
          <w:tcPr>
            <w:tcW w:type="dxa" w:w="2250"/>
          </w:tcPr>
          <w:p>
            <w:pPr>
              <w:spacing w:after="0"/>
            </w:pPr>
            <w:r>
              <w:rPr>
                <w:rFonts w:ascii="Arial" w:cs="Arial" w:eastAsia="Arial" w:hAnsi="Arial"/>
                <w:b w:val="false"/>
                <w:bCs w:val="false"/>
                <w:sz w:val="20"/>
                <w:szCs w:val="20"/>
              </w:rPr>
              <w:t xml:space="preserve">Entrenamiento</w:t>
            </w:r>
          </w:p>
        </w:tc>
        <w:tc>
          <w:tcPr>
            <w:tcW w:type="dxa" w:w="2250"/>
          </w:tcPr>
          <w:p>
            <w:pPr>
              <w:spacing w:after="0"/>
            </w:pPr>
            <w:r>
              <w:rPr>
                <w:rFonts w:ascii="Arial" w:cs="Arial" w:eastAsia="Arial" w:hAnsi="Arial"/>
                <w:b w:val="false"/>
                <w:bCs w:val="false"/>
                <w:sz w:val="20"/>
                <w:szCs w:val="20"/>
              </w:rPr>
              <w:t xml:space="preserve">653.869</w:t>
            </w:r>
          </w:p>
        </w:tc>
        <w:tc>
          <w:tcPr>
            <w:tcW w:type="dxa" w:w="2250"/>
          </w:tcPr>
          <w:p>
            <w:pPr>
              <w:spacing w:after="0"/>
            </w:pPr>
            <w:r>
              <w:rPr>
                <w:rFonts w:ascii="Arial" w:cs="Arial" w:eastAsia="Arial" w:hAnsi="Arial"/>
                <w:b w:val="false"/>
                <w:bCs w:val="false"/>
                <w:sz w:val="20"/>
                <w:szCs w:val="20"/>
              </w:rPr>
              <w:t xml:space="preserve">8.161</w:t>
            </w:r>
          </w:p>
        </w:tc>
        <w:tc>
          <w:tcPr>
            <w:tcW w:type="dxa" w:w="2250"/>
          </w:tcPr>
          <w:p>
            <w:pPr>
              <w:spacing w:after="0"/>
            </w:pPr>
            <w:r>
              <w:rPr>
                <w:rFonts w:ascii="Arial" w:cs="Arial" w:eastAsia="Arial" w:hAnsi="Arial"/>
                <w:b w:val="false"/>
                <w:bCs w:val="false"/>
                <w:sz w:val="20"/>
                <w:szCs w:val="20"/>
              </w:rPr>
              <w:t xml:space="preserve">1,248 %</w:t>
            </w:r>
          </w:p>
        </w:tc>
      </w:tr>
      <w:tr>
        <w:tc>
          <w:tcPr>
            <w:tcW w:type="dxa" w:w="2250"/>
          </w:tcPr>
          <w:p>
            <w:pPr>
              <w:spacing w:after="0"/>
            </w:pPr>
            <w:r>
              <w:rPr>
                <w:rFonts w:ascii="Arial" w:cs="Arial" w:eastAsia="Arial" w:hAnsi="Arial"/>
                <w:b w:val="false"/>
                <w:bCs w:val="false"/>
                <w:sz w:val="20"/>
                <w:szCs w:val="20"/>
              </w:rPr>
              <w:t xml:space="preserve">Prueba</w:t>
            </w:r>
          </w:p>
        </w:tc>
        <w:tc>
          <w:tcPr>
            <w:tcW w:type="dxa" w:w="2250"/>
          </w:tcPr>
          <w:p>
            <w:pPr>
              <w:spacing w:after="0"/>
            </w:pPr>
            <w:r>
              <w:rPr>
                <w:rFonts w:ascii="Arial" w:cs="Arial" w:eastAsia="Arial" w:hAnsi="Arial"/>
                <w:b w:val="false"/>
                <w:bCs w:val="false"/>
                <w:sz w:val="20"/>
                <w:szCs w:val="20"/>
              </w:rPr>
              <w:t xml:space="preserve">192.881</w:t>
            </w:r>
          </w:p>
        </w:tc>
        <w:tc>
          <w:tcPr>
            <w:tcW w:type="dxa" w:w="2250"/>
          </w:tcPr>
          <w:p>
            <w:pPr>
              <w:spacing w:after="0"/>
            </w:pPr>
            <w:r>
              <w:rPr>
                <w:rFonts w:ascii="Arial" w:cs="Arial" w:eastAsia="Arial" w:hAnsi="Arial"/>
                <w:b w:val="false"/>
                <w:bCs w:val="false"/>
                <w:sz w:val="20"/>
                <w:szCs w:val="20"/>
              </w:rPr>
              <w:t xml:space="preserve">1.321</w:t>
            </w:r>
          </w:p>
        </w:tc>
        <w:tc>
          <w:tcPr>
            <w:tcW w:type="dxa" w:w="2250"/>
          </w:tcPr>
          <w:p>
            <w:pPr>
              <w:spacing w:after="0"/>
            </w:pPr>
            <w:r>
              <w:rPr>
                <w:rFonts w:ascii="Arial" w:cs="Arial" w:eastAsia="Arial" w:hAnsi="Arial"/>
                <w:b w:val="false"/>
                <w:bCs w:val="false"/>
                <w:sz w:val="20"/>
                <w:szCs w:val="20"/>
              </w:rPr>
              <w:t xml:space="preserve">0,685 %</w:t>
            </w:r>
          </w:p>
        </w:tc>
      </w:tr>
    </w:tbl>
    <w:p>
      <w:pPr>
        <w:spacing w:after="160"/>
      </w:pPr>
    </w:p>
    <w:p>
      <w:pPr>
        <w:pStyle w:val="Heading3"/>
        <w:spacing w:after="200" w:before="360"/>
      </w:pPr>
      <w:r>
        <w:rPr>
          <w:rFonts w:ascii="Arial" w:cs="Arial" w:eastAsia="Arial" w:hAnsi="Arial"/>
          <w:b/>
          <w:bCs/>
          <w:color w:val="000000"/>
          <w:sz w:val="24"/>
          <w:szCs w:val="24"/>
        </w:rPr>
        <w:t xml:space="preserve">El detector</w:t>
      </w:r>
    </w:p>
    <w:p>
      <w:pPr>
        <w:spacing w:after="160" w:line="360" w:lineRule="auto"/>
        <w:ind w:firstLine="425"/>
        <w:jc w:val="both"/>
      </w:pPr>
      <w:r>
        <w:rPr>
          <w:rFonts w:ascii="Arial" w:cs="Arial" w:eastAsia="Arial" w:hAnsi="Arial"/>
          <w:sz w:val="22"/>
          <w:szCs w:val="22"/>
        </w:rPr>
        <w:t xml:space="preserve">Se entrenó únicamente XGBoost, con la misma ponderación por gradiente que el sistema principal, sin ninguna búsqueda de hiperparámetros.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ROC-AUC</w:t>
            </w:r>
          </w:p>
        </w:tc>
        <w:tc>
          <w:tcPr>
            <w:tcW w:type="dxa" w:w="1800"/>
            <w:shd w:fill="D9D9D9" w:val="clear"/>
          </w:tcPr>
          <w:p>
            <w:pPr>
              <w:spacing w:after="0"/>
            </w:pPr>
            <w:r>
              <w:rPr>
                <w:rFonts w:ascii="Arial" w:cs="Arial" w:eastAsia="Arial" w:hAnsi="Arial"/>
                <w:b/>
                <w:bCs/>
                <w:sz w:val="20"/>
                <w:szCs w:val="20"/>
              </w:rPr>
              <w:t xml:space="preserve">P@50</w:t>
            </w:r>
          </w:p>
        </w:tc>
        <w:tc>
          <w:tcPr>
            <w:tcW w:type="dxa" w:w="1800"/>
            <w:shd w:fill="D9D9D9" w:val="clear"/>
          </w:tcPr>
          <w:p>
            <w:pPr>
              <w:spacing w:after="0"/>
            </w:pPr>
            <w:r>
              <w:rPr>
                <w:rFonts w:ascii="Arial" w:cs="Arial" w:eastAsia="Arial" w:hAnsi="Arial"/>
                <w:b/>
                <w:bCs/>
                <w:sz w:val="20"/>
                <w:szCs w:val="20"/>
              </w:rPr>
              <w:t xml:space="preserve">P@100</w:t>
            </w:r>
          </w:p>
        </w:tc>
        <w:tc>
          <w:tcPr>
            <w:tcW w:type="dxa" w:w="1800"/>
            <w:shd w:fill="D9D9D9" w:val="clear"/>
          </w:tcPr>
          <w:p>
            <w:pPr>
              <w:spacing w:after="0"/>
            </w:pPr>
            <w:r>
              <w:rPr>
                <w:rFonts w:ascii="Arial" w:cs="Arial" w:eastAsia="Arial" w:hAnsi="Arial"/>
                <w:b/>
                <w:bCs/>
                <w:sz w:val="20"/>
                <w:szCs w:val="20"/>
              </w:rPr>
              <w:t xml:space="preserve">P@200</w:t>
            </w:r>
          </w:p>
        </w:tc>
      </w:tr>
      <w:tr>
        <w:tc>
          <w:tcPr>
            <w:tcW w:type="dxa" w:w="1800"/>
          </w:tcPr>
          <w:p>
            <w:pPr>
              <w:spacing w:after="0"/>
            </w:pPr>
            <w:r>
              <w:rPr>
                <w:rFonts w:ascii="Arial" w:cs="Arial" w:eastAsia="Arial" w:hAnsi="Arial"/>
                <w:b w:val="false"/>
                <w:bCs w:val="false"/>
                <w:sz w:val="20"/>
                <w:szCs w:val="20"/>
              </w:rPr>
              <w:t xml:space="preserve">0,078</w:t>
            </w:r>
          </w:p>
        </w:tc>
        <w:tc>
          <w:tcPr>
            <w:tcW w:type="dxa" w:w="1800"/>
          </w:tcPr>
          <w:p>
            <w:pPr>
              <w:spacing w:after="0"/>
            </w:pPr>
            <w:r>
              <w:rPr>
                <w:rFonts w:ascii="Arial" w:cs="Arial" w:eastAsia="Arial" w:hAnsi="Arial"/>
                <w:b w:val="false"/>
                <w:bCs w:val="false"/>
                <w:sz w:val="20"/>
                <w:szCs w:val="20"/>
              </w:rPr>
              <w:t xml:space="preserve">0,723</w:t>
            </w:r>
          </w:p>
        </w:tc>
        <w:tc>
          <w:tcPr>
            <w:tcW w:type="dxa" w:w="1800"/>
          </w:tcPr>
          <w:p>
            <w:pPr>
              <w:spacing w:after="0"/>
            </w:pPr>
            <w:r>
              <w:rPr>
                <w:rFonts w:ascii="Arial" w:cs="Arial" w:eastAsia="Arial" w:hAnsi="Arial"/>
                <w:b w:val="false"/>
                <w:bCs w:val="false"/>
                <w:sz w:val="20"/>
                <w:szCs w:val="20"/>
              </w:rPr>
              <w:t xml:space="preserve">0,420</w:t>
            </w:r>
          </w:p>
        </w:tc>
        <w:tc>
          <w:tcPr>
            <w:tcW w:type="dxa" w:w="1800"/>
          </w:tcPr>
          <w:p>
            <w:pPr>
              <w:spacing w:after="0"/>
            </w:pPr>
            <w:r>
              <w:rPr>
                <w:rFonts w:ascii="Arial" w:cs="Arial" w:eastAsia="Arial" w:hAnsi="Arial"/>
                <w:b w:val="false"/>
                <w:bCs w:val="false"/>
                <w:sz w:val="20"/>
                <w:szCs w:val="20"/>
              </w:rPr>
              <w:t xml:space="preserve">0,400</w:t>
            </w:r>
          </w:p>
        </w:tc>
        <w:tc>
          <w:tcPr>
            <w:tcW w:type="dxa" w:w="1800"/>
          </w:tcPr>
          <w:p>
            <w:pPr>
              <w:spacing w:after="0"/>
            </w:pPr>
            <w:r>
              <w:rPr>
                <w:rFonts w:ascii="Arial" w:cs="Arial" w:eastAsia="Arial" w:hAnsi="Arial"/>
                <w:b w:val="false"/>
                <w:bCs w:val="false"/>
                <w:sz w:val="20"/>
                <w:szCs w:val="20"/>
              </w:rPr>
              <w:t xml:space="preserve">0,345</w:t>
            </w:r>
          </w:p>
        </w:tc>
      </w:tr>
    </w:tbl>
    <w:p>
      <w:pPr>
        <w:spacing w:after="160"/>
      </w:pPr>
    </w:p>
    <w:p>
      <w:pPr>
        <w:spacing w:after="160" w:line="360" w:lineRule="auto"/>
        <w:ind w:firstLine="425"/>
        <w:jc w:val="both"/>
      </w:pPr>
      <w:r>
        <w:rPr>
          <w:rFonts w:ascii="Arial" w:cs="Arial" w:eastAsia="Arial" w:hAnsi="Arial"/>
          <w:sz w:val="22"/>
          <w:szCs w:val="22"/>
        </w:rPr>
        <w:t xml:space="preserve">Las cifras no son comparables en crudo con las del conjunto ULB, y no deben leerse como que este problema sea inherentemente más difícil: el detector ULB pasó por una búsqueda de hiperparámetros completa (fase 7) y este no ha pasado por ninguna. Lo que sí es legítimo leer es la parte alta del ranking, que es la que opera un equipo real: entre los cincuenta casos de mayor puntuación, un 42 % son fraude auténtico, frente a una prevalencia del 0,685 % en la prueba. Es una señal real, sesenta y una veces por encima del azar, aunque muy por debajo del 0,98 del sistema principal en el mismo punto de operación.</w:t>
      </w:r>
    </w:p>
    <w:p>
      <w:pPr>
        <w:spacing w:after="160" w:line="360" w:lineRule="auto"/>
        <w:ind w:firstLine="425"/>
        <w:jc w:val="both"/>
      </w:pPr>
      <w:r>
        <w:rPr>
          <w:rFonts w:ascii="Arial" w:cs="Arial" w:eastAsia="Arial" w:hAnsi="Arial"/>
          <w:sz w:val="22"/>
          <w:szCs w:val="22"/>
        </w:rPr>
        <w:t xml:space="preserve">Conviene precisar que las métricas con umbral fijo en 0,5 —una precisión de 0,009 pese a un recall de 0,948— no son informativas aquí: la ponderación de la clase minoritaria empuja la mayoría de las probabilidades hacia arriba, igual que ocurre en el sistema principal, donde por eso el punto de operación se fija por P@N y no por un umbral de probabilidad fijo (4.5 y 5.2).</w:t>
      </w:r>
    </w:p>
    <w:p>
      <w:pPr>
        <w:pStyle w:val="Heading3"/>
        <w:spacing w:after="200" w:before="360"/>
      </w:pPr>
      <w:r>
        <w:rPr>
          <w:rFonts w:ascii="Arial" w:cs="Arial" w:eastAsia="Arial" w:hAnsi="Arial"/>
          <w:b/>
          <w:bCs/>
          <w:color w:val="000000"/>
          <w:sz w:val="24"/>
          <w:szCs w:val="24"/>
        </w:rPr>
        <w:t xml:space="preserve">Lo que cambia: las contribuciones son de negocio</w:t>
      </w:r>
    </w:p>
    <w:p>
      <w:pPr>
        <w:spacing w:after="160" w:line="360" w:lineRule="auto"/>
        <w:ind w:firstLine="425"/>
        <w:jc w:val="both"/>
      </w:pPr>
      <w:r>
        <w:rPr>
          <w:rFonts w:ascii="Arial" w:cs="Arial" w:eastAsia="Arial" w:hAnsi="Arial"/>
          <w:sz w:val="22"/>
          <w:szCs w:val="22"/>
        </w:rPr>
        <w:t xml:space="preserve">Es el resultado que motiva la sección. Las contribuciones de Shapley sobre los casos de fraude mejor puntuados citan variables que un analista reconoce sin traducción. Un ejemplo, el comercio "Kozey-Kuhlman", categoría cuidado personal, 744,54 USD, a 109,7 km del domicilio del titular, probabilidad 1,0000: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Variable</w:t>
            </w:r>
          </w:p>
        </w:tc>
        <w:tc>
          <w:tcPr>
            <w:tcW w:type="dxa" w:w="4500"/>
            <w:shd w:fill="D9D9D9" w:val="clear"/>
          </w:tcPr>
          <w:p>
            <w:pPr>
              <w:spacing w:after="0"/>
            </w:pPr>
            <w:r>
              <w:rPr>
                <w:rFonts w:ascii="Arial" w:cs="Arial" w:eastAsia="Arial" w:hAnsi="Arial"/>
                <w:b/>
                <w:bCs/>
                <w:sz w:val="20"/>
                <w:szCs w:val="20"/>
              </w:rPr>
              <w:t xml:space="preserve">Aporte</w:t>
            </w:r>
          </w:p>
        </w:tc>
      </w:tr>
      <w:tr>
        <w:tc>
          <w:tcPr>
            <w:tcW w:type="dxa" w:w="4500"/>
          </w:tcPr>
          <w:p>
            <w:pPr>
              <w:spacing w:after="0"/>
            </w:pPr>
            <w:r>
              <w:rPr>
                <w:rFonts w:ascii="Arial" w:cs="Arial" w:eastAsia="Arial" w:hAnsi="Arial"/>
                <w:b w:val="false"/>
                <w:bCs w:val="false"/>
                <w:sz w:val="20"/>
                <w:szCs w:val="20"/>
              </w:rPr>
              <w:t xml:space="preserve">categoria_personal_care</w:t>
            </w:r>
          </w:p>
        </w:tc>
        <w:tc>
          <w:tcPr>
            <w:tcW w:type="dxa" w:w="4500"/>
          </w:tcPr>
          <w:p>
            <w:pPr>
              <w:spacing w:after="0"/>
            </w:pPr>
            <w:r>
              <w:rPr>
                <w:rFonts w:ascii="Arial" w:cs="Arial" w:eastAsia="Arial" w:hAnsi="Arial"/>
                <w:b w:val="false"/>
                <w:bCs w:val="false"/>
                <w:sz w:val="20"/>
                <w:szCs w:val="20"/>
              </w:rPr>
              <w:t xml:space="preserve">+5,109</w:t>
            </w:r>
          </w:p>
        </w:tc>
      </w:tr>
      <w:tr>
        <w:tc>
          <w:tcPr>
            <w:tcW w:type="dxa" w:w="4500"/>
          </w:tcPr>
          <w:p>
            <w:pPr>
              <w:spacing w:after="0"/>
            </w:pPr>
            <w:r>
              <w:rPr>
                <w:rFonts w:ascii="Arial" w:cs="Arial" w:eastAsia="Arial" w:hAnsi="Arial"/>
                <w:b w:val="false"/>
                <w:bCs w:val="false"/>
                <w:sz w:val="20"/>
                <w:szCs w:val="20"/>
              </w:rPr>
              <w:t xml:space="preserve">hora</w:t>
            </w:r>
          </w:p>
        </w:tc>
        <w:tc>
          <w:tcPr>
            <w:tcW w:type="dxa" w:w="4500"/>
          </w:tcPr>
          <w:p>
            <w:pPr>
              <w:spacing w:after="0"/>
            </w:pPr>
            <w:r>
              <w:rPr>
                <w:rFonts w:ascii="Arial" w:cs="Arial" w:eastAsia="Arial" w:hAnsi="Arial"/>
                <w:b w:val="false"/>
                <w:bCs w:val="false"/>
                <w:sz w:val="20"/>
                <w:szCs w:val="20"/>
              </w:rPr>
              <w:t xml:space="preserve">+3,606</w:t>
            </w:r>
          </w:p>
        </w:tc>
      </w:tr>
      <w:tr>
        <w:tc>
          <w:tcPr>
            <w:tcW w:type="dxa" w:w="4500"/>
          </w:tcPr>
          <w:p>
            <w:pPr>
              <w:spacing w:after="0"/>
            </w:pPr>
            <w:r>
              <w:rPr>
                <w:rFonts w:ascii="Arial" w:cs="Arial" w:eastAsia="Arial" w:hAnsi="Arial"/>
                <w:b w:val="false"/>
                <w:bCs w:val="false"/>
                <w:sz w:val="20"/>
                <w:szCs w:val="20"/>
              </w:rPr>
              <w:t xml:space="preserve">importe</w:t>
            </w:r>
          </w:p>
        </w:tc>
        <w:tc>
          <w:tcPr>
            <w:tcW w:type="dxa" w:w="4500"/>
          </w:tcPr>
          <w:p>
            <w:pPr>
              <w:spacing w:after="0"/>
            </w:pPr>
            <w:r>
              <w:rPr>
                <w:rFonts w:ascii="Arial" w:cs="Arial" w:eastAsia="Arial" w:hAnsi="Arial"/>
                <w:b w:val="false"/>
                <w:bCs w:val="false"/>
                <w:sz w:val="20"/>
                <w:szCs w:val="20"/>
              </w:rPr>
              <w:t xml:space="preserve">+3,285</w:t>
            </w:r>
          </w:p>
        </w:tc>
      </w:tr>
      <w:tr>
        <w:tc>
          <w:tcPr>
            <w:tcW w:type="dxa" w:w="4500"/>
          </w:tcPr>
          <w:p>
            <w:pPr>
              <w:spacing w:after="0"/>
            </w:pPr>
            <w:r>
              <w:rPr>
                <w:rFonts w:ascii="Arial" w:cs="Arial" w:eastAsia="Arial" w:hAnsi="Arial"/>
                <w:b w:val="false"/>
                <w:bCs w:val="false"/>
                <w:sz w:val="20"/>
                <w:szCs w:val="20"/>
              </w:rPr>
              <w:t xml:space="preserve">edad</w:t>
            </w:r>
          </w:p>
        </w:tc>
        <w:tc>
          <w:tcPr>
            <w:tcW w:type="dxa" w:w="4500"/>
          </w:tcPr>
          <w:p>
            <w:pPr>
              <w:spacing w:after="0"/>
            </w:pPr>
            <w:r>
              <w:rPr>
                <w:rFonts w:ascii="Arial" w:cs="Arial" w:eastAsia="Arial" w:hAnsi="Arial"/>
                <w:b w:val="false"/>
                <w:bCs w:val="false"/>
                <w:sz w:val="20"/>
                <w:szCs w:val="20"/>
              </w:rPr>
              <w:t xml:space="preserve">+1,247</w:t>
            </w:r>
          </w:p>
        </w:tc>
      </w:tr>
      <w:tr>
        <w:tc>
          <w:tcPr>
            <w:tcW w:type="dxa" w:w="4500"/>
          </w:tcPr>
          <w:p>
            <w:pPr>
              <w:spacing w:after="0"/>
            </w:pPr>
            <w:r>
              <w:rPr>
                <w:rFonts w:ascii="Arial" w:cs="Arial" w:eastAsia="Arial" w:hAnsi="Arial"/>
                <w:b w:val="false"/>
                <w:bCs w:val="false"/>
                <w:sz w:val="20"/>
                <w:szCs w:val="20"/>
              </w:rPr>
              <w:t xml:space="preserve">categoria_home</w:t>
            </w:r>
          </w:p>
        </w:tc>
        <w:tc>
          <w:tcPr>
            <w:tcW w:type="dxa" w:w="4500"/>
          </w:tcPr>
          <w:p>
            <w:pPr>
              <w:spacing w:after="0"/>
            </w:pPr>
            <w:r>
              <w:rPr>
                <w:rFonts w:ascii="Arial" w:cs="Arial" w:eastAsia="Arial" w:hAnsi="Arial"/>
                <w:b w:val="false"/>
                <w:bCs w:val="false"/>
                <w:sz w:val="20"/>
                <w:szCs w:val="20"/>
              </w:rPr>
              <w:t xml:space="preserve">+0,365</w:t>
            </w:r>
          </w:p>
        </w:tc>
      </w:tr>
      <w:tr>
        <w:tc>
          <w:tcPr>
            <w:tcW w:type="dxa" w:w="4500"/>
          </w:tcPr>
          <w:p>
            <w:pPr>
              <w:spacing w:after="0"/>
            </w:pPr>
            <w:r>
              <w:rPr>
                <w:rFonts w:ascii="Arial" w:cs="Arial" w:eastAsia="Arial" w:hAnsi="Arial"/>
                <w:b w:val="false"/>
                <w:bCs w:val="false"/>
                <w:sz w:val="20"/>
                <w:szCs w:val="20"/>
              </w:rPr>
              <w:t xml:space="preserve">dia_semana</w:t>
            </w:r>
          </w:p>
        </w:tc>
        <w:tc>
          <w:tcPr>
            <w:tcW w:type="dxa" w:w="4500"/>
          </w:tcPr>
          <w:p>
            <w:pPr>
              <w:spacing w:after="0"/>
            </w:pPr>
            <w:r>
              <w:rPr>
                <w:rFonts w:ascii="Arial" w:cs="Arial" w:eastAsia="Arial" w:hAnsi="Arial"/>
                <w:b w:val="false"/>
                <w:bCs w:val="false"/>
                <w:sz w:val="20"/>
                <w:szCs w:val="20"/>
              </w:rPr>
              <w:t xml:space="preserve">+0,282</w:t>
            </w:r>
          </w:p>
        </w:tc>
      </w:tr>
    </w:tbl>
    <w:p>
      <w:pPr>
        <w:spacing w:after="160"/>
      </w:pPr>
    </w:p>
    <w:p>
      <w:pPr>
        <w:spacing w:after="160" w:line="360" w:lineRule="auto"/>
        <w:ind w:firstLine="425"/>
        <w:jc w:val="both"/>
      </w:pPr>
      <w:r>
        <w:rPr>
          <w:rFonts w:ascii="Arial" w:cs="Arial" w:eastAsia="Arial" w:hAnsi="Arial"/>
          <w:sz w:val="22"/>
          <w:szCs w:val="22"/>
        </w:rPr>
        <w:t xml:space="preserve">Frente al expediente del sistema principal, donde la variable de mayor aporte es una componente anonimizada como V14, aquí la explicación es directamente "la categoría de comercio, la hora del día y el importe son atípicos para este titular". Es exactamente la explicación que 4.2.1 declaraba imposible sobre el conjunto ULB.</w:t>
      </w:r>
    </w:p>
    <w:p>
      <w:pPr>
        <w:pStyle w:val="Heading3"/>
        <w:spacing w:after="200" w:before="360"/>
      </w:pPr>
      <w:r>
        <w:rPr>
          <w:rFonts w:ascii="Arial" w:cs="Arial" w:eastAsia="Arial" w:hAnsi="Arial"/>
          <w:b/>
          <w:bCs/>
          <w:color w:val="000000"/>
          <w:sz w:val="24"/>
          <w:szCs w:val="24"/>
        </w:rPr>
        <w:t xml:space="preserve">Prueba con el Investigador</w:t>
      </w:r>
    </w:p>
    <w:p>
      <w:pPr>
        <w:spacing w:after="160" w:line="360" w:lineRule="auto"/>
        <w:ind w:firstLine="425"/>
        <w:jc w:val="both"/>
      </w:pPr>
      <w:r>
        <w:rPr>
          <w:rFonts w:ascii="Arial" w:cs="Arial" w:eastAsia="Arial" w:hAnsi="Arial"/>
          <w:sz w:val="22"/>
          <w:szCs w:val="22"/>
        </w:rPr>
        <w:t xml:space="preserve">Se ejecutó qwen2.5-14b, el mismo modelo de 5.11 y 5.12, sobre los cinco casos de fraude de mayor puntuación, con el prompt exacto del arnés adaptado al expediente de negocio. Los cinco se confirman correctamente.</w:t>
      </w:r>
    </w:p>
    <w:p>
      <w:pPr>
        <w:spacing w:after="160" w:line="360" w:lineRule="auto"/>
        <w:ind w:firstLine="425"/>
        <w:jc w:val="both"/>
      </w:pPr>
      <w:r>
        <w:rPr>
          <w:rFonts w:ascii="Arial" w:cs="Arial" w:eastAsia="Arial" w:hAnsi="Arial"/>
          <w:sz w:val="22"/>
          <w:szCs w:val="22"/>
        </w:rPr>
        <w:t xml:space="preserve">Lo relevante no es el veredicto —con probabilidad 1,0000 en los cinco, confirmarlos no exige discriminar nada difícil— sino la prosa. Sobre el caso de Medhurst, Cartwright and Ebert, un cargo de 902,19 USD en la categoría de cuidado personal, el modelo escribe que el importe es alto para ese tipo de establecimiento, que la operación ocurre a las 22:00 h, y que el titular, de 85 años, vive a 120,7 km del comercio, lo que "dificulta la verosimilitud de la transacción". Sobre el caso de Mosciski Group, un cargo de viaje de 866,48 USD, sopesa explícitamente la distancia y la baja población de la ciudad del titular como atenuantes frente al importe y la categoría, y concluye que estos últimos "superan estas posibles anomalías geográficas".</w:t>
      </w:r>
    </w:p>
    <w:p>
      <w:pPr>
        <w:spacing w:after="160" w:line="360" w:lineRule="auto"/>
        <w:ind w:firstLine="425"/>
        <w:jc w:val="both"/>
      </w:pPr>
      <w:r>
        <w:rPr>
          <w:rFonts w:ascii="Arial" w:cs="Arial" w:eastAsia="Arial" w:hAnsi="Arial"/>
          <w:sz w:val="22"/>
          <w:szCs w:val="22"/>
        </w:rPr>
        <w:t xml:space="preserve">Es exactamente el tipo de razonamiento que 4.2.1 declaraba imposible sobre el conjunto ULB: aquí el modelo no se limita a citar una componente anónima como atípica, sino que combina categoría de comercio, edad del titular, distancia y hora en una explicación que un analista podría aceptar o rebatir con su propio criterio.</w:t>
      </w:r>
    </w:p>
    <w:p>
      <w:pPr>
        <w:pStyle w:val="Heading3"/>
        <w:spacing w:after="200" w:before="360"/>
      </w:pPr>
      <w:r>
        <w:rPr>
          <w:rFonts w:ascii="Arial" w:cs="Arial" w:eastAsia="Arial" w:hAnsi="Arial"/>
          <w:b/>
          <w:bCs/>
          <w:color w:val="000000"/>
          <w:sz w:val="24"/>
          <w:szCs w:val="24"/>
        </w:rPr>
        <w:t xml:space="preserve">Ablación: dossier completo frente a dossier reducido, mismo caso</w:t>
      </w:r>
    </w:p>
    <w:p>
      <w:pPr>
        <w:spacing w:after="160" w:line="360" w:lineRule="auto"/>
        <w:ind w:firstLine="425"/>
        <w:jc w:val="both"/>
      </w:pPr>
      <w:r>
        <w:rPr>
          <w:rFonts w:ascii="Arial" w:cs="Arial" w:eastAsia="Arial" w:hAnsi="Arial"/>
          <w:sz w:val="22"/>
          <w:szCs w:val="22"/>
        </w:rPr>
        <w:t xml:space="preserve">Comparar dos datasets distintos confunde el efecto del dominio con el de la legibilidad: cualquier diferencia de comportamiento podría deberse a que Sparkov es otro dominio, a que su detector es otro, o a que las variables tienen nombre. Para aislar esta última, únicamente esta, se repitió el experimento sobre los </w:t>
      </w:r>
      <w:r>
        <w:rPr>
          <w:rFonts w:ascii="Arial" w:cs="Arial" w:eastAsia="Arial" w:hAnsi="Arial"/>
          <w:b/>
          <w:bCs/>
          <w:sz w:val="22"/>
          <w:szCs w:val="22"/>
        </w:rPr>
        <w:t xml:space="preserve">mismos</w:t>
      </w:r>
      <w:r>
        <w:rPr>
          <w:rFonts w:ascii="Arial" w:cs="Arial" w:eastAsia="Arial" w:hAnsi="Arial"/>
          <w:sz w:val="22"/>
          <w:szCs w:val="22"/>
        </w:rPr>
        <w:t xml:space="preserve"> nueve casos con dos versiones del mismo dossier: </w:t>
      </w:r>
      <w:r>
        <w:rPr>
          <w:rFonts w:ascii="Arial" w:cs="Arial" w:eastAsia="Arial" w:hAnsi="Arial"/>
          <w:b/>
          <w:bCs/>
          <w:sz w:val="22"/>
          <w:szCs w:val="22"/>
        </w:rPr>
        <w:t xml:space="preserve">completo</w:t>
      </w:r>
      <w:r>
        <w:rPr>
          <w:rFonts w:ascii="Arial" w:cs="Arial" w:eastAsia="Arial" w:hAnsi="Arial"/>
          <w:sz w:val="22"/>
          <w:szCs w:val="22"/>
        </w:rPr>
        <w:t xml:space="preserve">, con comercio, categoría, edad, distancia y población con su nombre real, y </w:t>
      </w:r>
      <w:r>
        <w:rPr>
          <w:rFonts w:ascii="Arial" w:cs="Arial" w:eastAsia="Arial" w:hAnsi="Arial"/>
          <w:b/>
          <w:bCs/>
          <w:sz w:val="22"/>
          <w:szCs w:val="22"/>
        </w:rPr>
        <w:t xml:space="preserve">reducido</w:t>
      </w:r>
      <w:r>
        <w:rPr>
          <w:rFonts w:ascii="Arial" w:cs="Arial" w:eastAsia="Arial" w:hAnsi="Arial"/>
          <w:sz w:val="22"/>
          <w:szCs w:val="22"/>
        </w:rPr>
        <w:t xml:space="preserve">, con esas mismas cinco variables anonimizadas como var_1 a var_5 —el mismo techo de legibilidad que impone el conjunto ULB— y solo importe y hora conservando su nombre. Las contribuciones numéricas son idénticas en ambas versiones; solo cambia si la etiqueta dice algo reconocible.</w:t>
      </w:r>
    </w:p>
    <w:p>
      <w:pPr>
        <w:spacing w:after="160" w:line="360" w:lineRule="auto"/>
        <w:ind w:firstLine="425"/>
        <w:jc w:val="both"/>
      </w:pPr>
      <w:r>
        <w:rPr>
          <w:rFonts w:ascii="Arial" w:cs="Arial" w:eastAsia="Arial" w:hAnsi="Arial"/>
          <w:sz w:val="22"/>
          <w:szCs w:val="22"/>
        </w:rPr>
        <w:t xml:space="preserve">Los casos no se eligieron por posición en un ranking, sino por desacuerdo entre el detector y la realidad: los seis fraudes reales con la probabilidad más baja de todo el conjunto de prueba (entre 0,0018 y 0,0205 — el detector apenas los nota) y los tres legítimos con la probabilidad más alta (1,0000 — falsos positivos con la máxima confianza posible). Son los casos donde el criterio del modelo, si aporta algo distinto del detector, tendría más ocasión de notarse.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Caso</w:t>
            </w:r>
          </w:p>
        </w:tc>
        <w:tc>
          <w:tcPr>
            <w:tcW w:type="dxa" w:w="1800"/>
            <w:shd w:fill="D9D9D9" w:val="clear"/>
          </w:tcPr>
          <w:p>
            <w:pPr>
              <w:spacing w:after="0"/>
            </w:pPr>
            <w:r>
              <w:rPr>
                <w:rFonts w:ascii="Arial" w:cs="Arial" w:eastAsia="Arial" w:hAnsi="Arial"/>
                <w:b/>
                <w:bCs/>
                <w:sz w:val="20"/>
                <w:szCs w:val="20"/>
              </w:rPr>
              <w:t xml:space="preserve">Real</w:t>
            </w:r>
          </w:p>
        </w:tc>
        <w:tc>
          <w:tcPr>
            <w:tcW w:type="dxa" w:w="1800"/>
            <w:shd w:fill="D9D9D9" w:val="clear"/>
          </w:tcPr>
          <w:p>
            <w:pPr>
              <w:spacing w:after="0"/>
            </w:pPr>
            <w:r>
              <w:rPr>
                <w:rFonts w:ascii="Arial" w:cs="Arial" w:eastAsia="Arial" w:hAnsi="Arial"/>
                <w:b/>
                <w:bCs/>
                <w:sz w:val="20"/>
                <w:szCs w:val="20"/>
              </w:rPr>
              <w:t xml:space="preserve">Importe</w:t>
            </w:r>
          </w:p>
        </w:tc>
        <w:tc>
          <w:tcPr>
            <w:tcW w:type="dxa" w:w="1800"/>
            <w:shd w:fill="D9D9D9" w:val="clear"/>
          </w:tcPr>
          <w:p>
            <w:pPr>
              <w:spacing w:after="0"/>
            </w:pPr>
            <w:r>
              <w:rPr>
                <w:rFonts w:ascii="Arial" w:cs="Arial" w:eastAsia="Arial" w:hAnsi="Arial"/>
                <w:b/>
                <w:bCs/>
                <w:sz w:val="20"/>
                <w:szCs w:val="20"/>
              </w:rPr>
              <w:t xml:space="preserve">Completo</w:t>
            </w:r>
          </w:p>
        </w:tc>
        <w:tc>
          <w:tcPr>
            <w:tcW w:type="dxa" w:w="1800"/>
            <w:shd w:fill="D9D9D9" w:val="clear"/>
          </w:tcPr>
          <w:p>
            <w:pPr>
              <w:spacing w:after="0"/>
            </w:pPr>
            <w:r>
              <w:rPr>
                <w:rFonts w:ascii="Arial" w:cs="Arial" w:eastAsia="Arial" w:hAnsi="Arial"/>
                <w:b/>
                <w:bCs/>
                <w:sz w:val="20"/>
                <w:szCs w:val="20"/>
              </w:rPr>
              <w:t xml:space="preserve">Reducido</w:t>
            </w:r>
          </w:p>
        </w:tc>
      </w:tr>
      <w:tr>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fraude</w:t>
            </w:r>
          </w:p>
        </w:tc>
        <w:tc>
          <w:tcPr>
            <w:tcW w:type="dxa" w:w="1800"/>
          </w:tcPr>
          <w:p>
            <w:pPr>
              <w:spacing w:after="0"/>
            </w:pPr>
            <w:r>
              <w:rPr>
                <w:rFonts w:ascii="Arial" w:cs="Arial" w:eastAsia="Arial" w:hAnsi="Arial"/>
                <w:b w:val="false"/>
                <w:bCs w:val="false"/>
                <w:sz w:val="20"/>
                <w:szCs w:val="20"/>
              </w:rPr>
              <w:t xml:space="preserve">9,67 a 156,52 USD</w:t>
            </w:r>
          </w:p>
        </w:tc>
        <w:tc>
          <w:tcPr>
            <w:tcW w:type="dxa" w:w="1800"/>
          </w:tcPr>
          <w:p>
            <w:pPr>
              <w:spacing w:after="0"/>
            </w:pPr>
            <w:r>
              <w:rPr>
                <w:rFonts w:ascii="Arial" w:cs="Arial" w:eastAsia="Arial" w:hAnsi="Arial"/>
                <w:b w:val="false"/>
                <w:bCs w:val="false"/>
                <w:sz w:val="20"/>
                <w:szCs w:val="20"/>
              </w:rPr>
              <w:t xml:space="preserve">DESCARTADO</w:t>
            </w:r>
          </w:p>
        </w:tc>
        <w:tc>
          <w:tcPr>
            <w:tcW w:type="dxa" w:w="1800"/>
          </w:tcPr>
          <w:p>
            <w:pPr>
              <w:spacing w:after="0"/>
            </w:pPr>
            <w:r>
              <w:rPr>
                <w:rFonts w:ascii="Arial" w:cs="Arial" w:eastAsia="Arial" w:hAnsi="Arial"/>
                <w:b w:val="false"/>
                <w:bCs w:val="false"/>
                <w:sz w:val="20"/>
                <w:szCs w:val="20"/>
              </w:rPr>
              <w:t xml:space="preserve">DESCARTADO</w:t>
            </w:r>
          </w:p>
        </w:tc>
      </w:tr>
      <w:tr>
        <w:tc>
          <w:tcPr>
            <w:tcW w:type="dxa" w:w="1800"/>
          </w:tcPr>
          <w:p>
            <w:pPr>
              <w:spacing w:after="0"/>
            </w:pPr>
            <w:r>
              <w:rPr>
                <w:rFonts w:ascii="Arial" w:cs="Arial" w:eastAsia="Arial" w:hAnsi="Arial"/>
                <w:b w:val="false"/>
                <w:bCs w:val="false"/>
                <w:sz w:val="20"/>
                <w:szCs w:val="20"/>
              </w:rPr>
              <w:t xml:space="preserve">7-9</w:t>
            </w:r>
          </w:p>
        </w:tc>
        <w:tc>
          <w:tcPr>
            <w:tcW w:type="dxa" w:w="1800"/>
          </w:tcPr>
          <w:p>
            <w:pPr>
              <w:spacing w:after="0"/>
            </w:pPr>
            <w:r>
              <w:rPr>
                <w:rFonts w:ascii="Arial" w:cs="Arial" w:eastAsia="Arial" w:hAnsi="Arial"/>
                <w:b w:val="false"/>
                <w:bCs w:val="false"/>
                <w:sz w:val="20"/>
                <w:szCs w:val="20"/>
              </w:rPr>
              <w:t xml:space="preserve">legítima</w:t>
            </w:r>
          </w:p>
        </w:tc>
        <w:tc>
          <w:tcPr>
            <w:tcW w:type="dxa" w:w="1800"/>
          </w:tcPr>
          <w:p>
            <w:pPr>
              <w:spacing w:after="0"/>
            </w:pPr>
            <w:r>
              <w:rPr>
                <w:rFonts w:ascii="Arial" w:cs="Arial" w:eastAsia="Arial" w:hAnsi="Arial"/>
                <w:b w:val="false"/>
                <w:bCs w:val="false"/>
                <w:sz w:val="20"/>
                <w:szCs w:val="20"/>
              </w:rPr>
              <w:t xml:space="preserve">955 a 2.135 USD</w:t>
            </w:r>
          </w:p>
        </w:tc>
        <w:tc>
          <w:tcPr>
            <w:tcW w:type="dxa" w:w="1800"/>
          </w:tcPr>
          <w:p>
            <w:pPr>
              <w:spacing w:after="0"/>
            </w:pPr>
            <w:r>
              <w:rPr>
                <w:rFonts w:ascii="Arial" w:cs="Arial" w:eastAsia="Arial" w:hAnsi="Arial"/>
                <w:b w:val="false"/>
                <w:bCs w:val="false"/>
                <w:sz w:val="20"/>
                <w:szCs w:val="20"/>
              </w:rPr>
              <w:t xml:space="preserve">CONFIRMADO</w:t>
            </w:r>
          </w:p>
        </w:tc>
        <w:tc>
          <w:tcPr>
            <w:tcW w:type="dxa" w:w="1800"/>
          </w:tcPr>
          <w:p>
            <w:pPr>
              <w:spacing w:after="0"/>
            </w:pPr>
            <w:r>
              <w:rPr>
                <w:rFonts w:ascii="Arial" w:cs="Arial" w:eastAsia="Arial" w:hAnsi="Arial"/>
                <w:b w:val="false"/>
                <w:bCs w:val="false"/>
                <w:sz w:val="20"/>
                <w:szCs w:val="20"/>
              </w:rPr>
              <w:t xml:space="preserve">CONFIRMADO</w:t>
            </w:r>
          </w:p>
        </w:tc>
      </w:tr>
    </w:tbl>
    <w:p>
      <w:pPr>
        <w:spacing w:after="160"/>
      </w:pPr>
    </w:p>
    <w:p>
      <w:pPr>
        <w:spacing w:after="160" w:line="360" w:lineRule="auto"/>
        <w:ind w:firstLine="425"/>
        <w:jc w:val="both"/>
      </w:pPr>
      <w:r>
        <w:rPr>
          <w:rFonts w:ascii="Arial" w:cs="Arial" w:eastAsia="Arial" w:hAnsi="Arial"/>
          <w:b/>
          <w:bCs/>
          <w:sz w:val="22"/>
          <w:szCs w:val="22"/>
        </w:rPr>
        <w:t xml:space="preserve">El veredicto es idéntico entre las dos versiones en los nueve casos, sin una sola excepción.</w:t>
      </w:r>
      <w:r>
        <w:rPr>
          <w:rFonts w:ascii="Arial" w:cs="Arial" w:eastAsia="Arial" w:hAnsi="Arial"/>
          <w:sz w:val="22"/>
          <w:szCs w:val="22"/>
        </w:rPr>
        <w:t xml:space="preserve"> Ni un fraude se recupera al dar nombre a las variables, ni un falso positivo se corrige al quitárselo. El modelo reproduce con exactitud el error del detector: confirma los tres legítimos que el detector puntúa alto y descarta los seis fraudes que puntúa bajo, tenga o no delante los nombres de las variables.</w:t>
      </w:r>
    </w:p>
    <w:p>
      <w:pPr>
        <w:spacing w:after="160" w:line="360" w:lineRule="auto"/>
        <w:ind w:firstLine="425"/>
        <w:jc w:val="both"/>
      </w:pPr>
      <w:r>
        <w:rPr>
          <w:rFonts w:ascii="Arial" w:cs="Arial" w:eastAsia="Arial" w:hAnsi="Arial"/>
          <w:sz w:val="22"/>
          <w:szCs w:val="22"/>
        </w:rPr>
        <w:t xml:space="preserve">La prosa sí es distinta, y de forma sistemática: en la versión completa nombra el comercio, comenta la categoría en sus propios términos —"servicios de transporte de gas", "categoría de comida y bebida"— y pondera explícitamente la edad o la distancia. En la reducida, la misma estructura argumental se sostiene sobre "var_1" y "var_2" sin perder coherencia interna. Es la confirmación experimental de 6.2.3 en su forma más limpia: el modelo no necesita entender qué es una variable para basar su veredicto en su magnitud, y entenderlo tampoco le hace decidir distinto. La legibilidad de negocio cambia lo que el texto puede argumentar, no lo que el sistema decide.</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 solo modelo, sin hiperparámetros ajustados, sobre datos simulados y con una sola semilla de generación. Nueve casos por versión no permiten ningún contraste estadístico, igual que las demostraciones de 5.11 y 5.14: es un resultado cualitativo y así debe leerse. Los cinco casos de la primera prueba y los nueve de la ablación no se solapan, y ambos apuntan en la misma dirección.</w:t>
      </w:r>
    </w:p>
    <w:p>
      <w:pPr>
        <w:spacing w:after="160" w:line="360" w:lineRule="auto"/>
        <w:ind w:firstLine="425"/>
        <w:jc w:val="both"/>
      </w:pPr>
      <w:r>
        <w:rPr>
          <w:rFonts w:ascii="Arial" w:cs="Arial" w:eastAsia="Arial" w:hAnsi="Arial"/>
          <w:sz w:val="22"/>
          <w:szCs w:val="22"/>
        </w:rPr>
        <w:t xml:space="preserve">Lo que sí permite, y es lo que se buscaba, es comprobar dos cosas por separado. Primera, que la limitación de 4.2.1 —las explicaciones no pueden ser de negocio porque el dato no lo es— es del dataset y no del sistema: con otro dataset, las mismas herramientas producen expedientes legibles por un humano y explicaciones que los aprovechan, sin cambiar una sola línea de la capa 2. Segunda, y más incómoda, que esa legibilidad no basta: sobre los mismos nueve casos de mayor desacuerdo entre el detector y la realidad, saber qué significa cada variable no cambió ni un veredicto. El problema que 5.12 y 5.14 documentan sobre ULB no es que el modelo no entienda las variables; es que su veredicto no depende de entenderlas.</w:t>
      </w:r>
    </w:p>
    <w:p>
      <w:pPr>
        <w:pStyle w:val="Heading2"/>
        <w:spacing w:after="200" w:before="360"/>
      </w:pPr>
      <w:r>
        <w:rPr>
          <w:rFonts w:ascii="Arial" w:cs="Arial" w:eastAsia="Arial" w:hAnsi="Arial"/>
          <w:b/>
          <w:bCs/>
          <w:color w:val="000000"/>
          <w:sz w:val="26"/>
          <w:szCs w:val="26"/>
        </w:rPr>
        <w:t xml:space="preserve">5.14 Ajuste fino QLoRA: ¿cambia por los pesos lo que no cambió por el enunciado?</w:t>
      </w:r>
    </w:p>
    <w:p>
      <w:pPr>
        <w:spacing w:after="160" w:line="360" w:lineRule="auto"/>
        <w:ind w:firstLine="425"/>
        <w:jc w:val="both"/>
      </w:pPr>
      <w:r>
        <w:rPr>
          <w:rFonts w:ascii="Arial" w:cs="Arial" w:eastAsia="Arial" w:hAnsi="Arial"/>
          <w:sz w:val="22"/>
          <w:szCs w:val="22"/>
        </w:rPr>
        <w:t xml:space="preserve">La sección 5.12 mostró que corregir en el enunciado la premisa sobre el importe bajo no cambia la decisión, solo la prosa. Queda una vía que 5.12 no podía probar: si esa misma corrección, en lugar de pedirse en el enunciado en cada llamada, se instala en los pesos del modelo mediante un ajuste fino, ¿deja de ser un consejo que el modelo puede ignorar y pasa a ser una disposición que aplica?</w:t>
      </w:r>
    </w:p>
    <w:p>
      <w:pPr>
        <w:pStyle w:val="Heading3"/>
        <w:spacing w:after="200" w:before="360"/>
      </w:pPr>
      <w:r>
        <w:rPr>
          <w:rFonts w:ascii="Arial" w:cs="Arial" w:eastAsia="Arial" w:hAnsi="Arial"/>
          <w:b/>
          <w:bCs/>
          <w:color w:val="000000"/>
          <w:sz w:val="24"/>
          <w:szCs w:val="24"/>
        </w:rPr>
        <w:t xml:space="preserve">Diseño</w:t>
      </w:r>
    </w:p>
    <w:p>
      <w:pPr>
        <w:spacing w:after="160" w:line="360" w:lineRule="auto"/>
        <w:ind w:firstLine="425"/>
        <w:jc w:val="both"/>
      </w:pPr>
      <w:r>
        <w:rPr>
          <w:rFonts w:ascii="Arial" w:cs="Arial" w:eastAsia="Arial" w:hAnsi="Arial"/>
          <w:sz w:val="22"/>
          <w:szCs w:val="22"/>
        </w:rPr>
        <w:t xml:space="preserve">Se entrenó un adaptador LoRA de rango 16 sobre Qwen2.5-14B-Instruct en 4 bits, con 540 ejemplos construidos exclusivamente con transacciones anteriores al corte de la partición temporal —una aserción explícita comprueba en cada ejemplo que su instante es anterior al límite de entrenamiento, para que ningún caso de la evaluación pueda haberse visto durante el ajuste—. El conjunto equilibra fraude y falso positivo y sobremuestrea el fraude de importe bajo dentro de su propia clase, precisamente el patrón que el modelo no reconocía. Las respuestas objetivo se generaron por plantilla a partir de las contribuciones reales del detector, no se redactaron a mano.</w:t>
      </w:r>
    </w:p>
    <w:p>
      <w:pPr>
        <w:spacing w:after="160" w:line="360" w:lineRule="auto"/>
        <w:ind w:firstLine="425"/>
        <w:jc w:val="both"/>
      </w:pPr>
      <w:r>
        <w:rPr>
          <w:rFonts w:ascii="Arial" w:cs="Arial" w:eastAsia="Arial" w:hAnsi="Arial"/>
          <w:sz w:val="22"/>
          <w:szCs w:val="22"/>
        </w:rPr>
        <w:t xml:space="preserve">Se comparan tres condiciones sobre los mismos doce casos de cola de 5.11 y 5.12, con el enunciado exacto del arnés: el modelo base, el modelo base con la corrección en el enunciado, y el modelo con el adaptador y sin corrección en el enunciado. El entrenamiento tardó 29,6 horas —muy por encima de lo esperado, por un cuello de botella de memoria compartida en una GPU de 16 GB compartida con el resto del sistema operativo— con una pérdida final de 0,086.</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Condición</w:t>
            </w:r>
          </w:p>
        </w:tc>
        <w:tc>
          <w:tcPr>
            <w:tcW w:type="dxa" w:w="2250"/>
            <w:shd w:fill="D9D9D9" w:val="clear"/>
          </w:tcPr>
          <w:p>
            <w:pPr>
              <w:spacing w:after="0"/>
            </w:pPr>
            <w:r>
              <w:rPr>
                <w:rFonts w:ascii="Arial" w:cs="Arial" w:eastAsia="Arial" w:hAnsi="Arial"/>
                <w:b/>
                <w:bCs/>
                <w:sz w:val="20"/>
                <w:szCs w:val="20"/>
              </w:rPr>
              <w:t xml:space="preserve">Confirma</w:t>
            </w:r>
          </w:p>
        </w:tc>
        <w:tc>
          <w:tcPr>
            <w:tcW w:type="dxa" w:w="2250"/>
            <w:shd w:fill="D9D9D9" w:val="clear"/>
          </w:tcPr>
          <w:p>
            <w:pPr>
              <w:spacing w:after="0"/>
            </w:pPr>
            <w:r>
              <w:rPr>
                <w:rFonts w:ascii="Arial" w:cs="Arial" w:eastAsia="Arial" w:hAnsi="Arial"/>
                <w:b/>
                <w:bCs/>
                <w:sz w:val="20"/>
                <w:szCs w:val="20"/>
              </w:rPr>
              <w:t xml:space="preserve">Fraude destruido</w:t>
            </w:r>
          </w:p>
        </w:tc>
        <w:tc>
          <w:tcPr>
            <w:tcW w:type="dxa" w:w="2250"/>
            <w:shd w:fill="D9D9D9" w:val="clear"/>
          </w:tcPr>
          <w:p>
            <w:pPr>
              <w:spacing w:after="0"/>
            </w:pPr>
            <w:r>
              <w:rPr>
                <w:rFonts w:ascii="Arial" w:cs="Arial" w:eastAsia="Arial" w:hAnsi="Arial"/>
                <w:b/>
                <w:bCs/>
                <w:sz w:val="20"/>
                <w:szCs w:val="20"/>
              </w:rPr>
              <w:t xml:space="preserve">Casos confirmados</w:t>
            </w:r>
          </w:p>
        </w:tc>
      </w:tr>
      <w:tr>
        <w:tc>
          <w:tcPr>
            <w:tcW w:type="dxa" w:w="2250"/>
          </w:tcPr>
          <w:p>
            <w:pPr>
              <w:spacing w:after="0"/>
            </w:pPr>
            <w:r>
              <w:rPr>
                <w:rFonts w:ascii="Arial" w:cs="Arial" w:eastAsia="Arial" w:hAnsi="Arial"/>
                <w:b w:val="false"/>
                <w:bCs w:val="false"/>
                <w:sz w:val="20"/>
                <w:szCs w:val="20"/>
              </w:rPr>
              <w:t xml:space="preserve">base</w:t>
            </w:r>
          </w:p>
        </w:tc>
        <w:tc>
          <w:tcPr>
            <w:tcW w:type="dxa" w:w="2250"/>
          </w:tcPr>
          <w:p>
            <w:pPr>
              <w:spacing w:after="0"/>
            </w:pPr>
            <w:r>
              <w:rPr>
                <w:rFonts w:ascii="Arial" w:cs="Arial" w:eastAsia="Arial" w:hAnsi="Arial"/>
                <w:b w:val="false"/>
                <w:bCs w:val="false"/>
                <w:sz w:val="20"/>
                <w:szCs w:val="20"/>
              </w:rPr>
              <w:t xml:space="preserve">0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ninguno</w:t>
            </w:r>
          </w:p>
        </w:tc>
      </w:tr>
      <w:tr>
        <w:tc>
          <w:tcPr>
            <w:tcW w:type="dxa" w:w="2250"/>
          </w:tcPr>
          <w:p>
            <w:pPr>
              <w:spacing w:after="0"/>
            </w:pPr>
            <w:r>
              <w:rPr>
                <w:rFonts w:ascii="Arial" w:cs="Arial" w:eastAsia="Arial" w:hAnsi="Arial"/>
                <w:b w:val="false"/>
                <w:bCs w:val="false"/>
                <w:sz w:val="20"/>
                <w:szCs w:val="20"/>
              </w:rPr>
              <w:t xml:space="preserve">base + dominio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r>
        <w:tc>
          <w:tcPr>
            <w:tcW w:type="dxa" w:w="2250"/>
          </w:tcPr>
          <w:p>
            <w:pPr>
              <w:spacing w:after="0"/>
            </w:pPr>
            <w:r>
              <w:rPr>
                <w:rFonts w:ascii="Arial" w:cs="Arial" w:eastAsia="Arial" w:hAnsi="Arial"/>
                <w:b w:val="false"/>
                <w:bCs w:val="false"/>
                <w:sz w:val="20"/>
                <w:szCs w:val="20"/>
              </w:rPr>
              <w:t xml:space="preserve">adaptado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bl>
    <w:p>
      <w:pPr>
        <w:spacing w:after="160"/>
      </w:pPr>
    </w:p>
    <w:p>
      <w:pPr>
        <w:spacing w:after="160" w:line="360" w:lineRule="auto"/>
        <w:ind w:firstLine="425"/>
        <w:jc w:val="both"/>
      </w:pPr>
      <w:r>
        <w:rPr>
          <w:rFonts w:ascii="Arial" w:cs="Arial" w:eastAsia="Arial" w:hAnsi="Arial"/>
          <w:b/>
          <w:bCs/>
          <w:sz w:val="22"/>
          <w:szCs w:val="22"/>
        </w:rPr>
        <w:t xml:space="preserve">Los veredictos de "adaptado" son idénticos a los de "base + dominio", caso por caso, en los doce.</w:t>
      </w:r>
      <w:r>
        <w:rPr>
          <w:rFonts w:ascii="Arial" w:cs="Arial" w:eastAsia="Arial" w:hAnsi="Arial"/>
          <w:sz w:val="22"/>
          <w:szCs w:val="22"/>
        </w:rPr>
        <w:t xml:space="preserve"> El adaptador no salva los fraudes 50 y 55, que siguen descartados, y confirma el mismo caso de control, el 44, que no es fraude. Instalar la corrección en los pesos no logró lo que instalarla en el enunciado tampoco logró.</w:t>
      </w:r>
    </w:p>
    <w:p>
      <w:pPr>
        <w:spacing w:after="160" w:line="360" w:lineRule="auto"/>
        <w:ind w:firstLine="425"/>
        <w:jc w:val="both"/>
      </w:pPr>
      <w:r>
        <w:rPr>
          <w:rFonts w:ascii="Arial" w:cs="Arial" w:eastAsia="Arial" w:hAnsi="Arial"/>
          <w:sz w:val="22"/>
          <w:szCs w:val="22"/>
        </w:rPr>
        <w:t xml:space="preserve">Lo que sí cambia por completo es la prosa. Frente al párrafo largo y con matices de las otras dos condiciones, el modelo adaptado responde con una estructura fija y telegráfica: cita la probabilidad exacta del expediente, dos variables a favor de la sospecha y dos en contra con sus valores, y cierra con una frase de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w:t>
      </w:r>
    </w:p>
    <w:p>
      <w:pPr>
        <w:spacing w:after="160" w:line="360" w:lineRule="auto"/>
        <w:ind w:firstLine="425"/>
        <w:jc w:val="both"/>
      </w:pPr>
      <w:r>
        <w:rPr>
          <w:rFonts w:ascii="Arial" w:cs="Arial" w:eastAsia="Arial" w:hAnsi="Arial"/>
          <w:sz w:val="22"/>
          <w:szCs w:val="22"/>
        </w:rPr>
        <w:t xml:space="preserve">Y sobre el caso 44, el único que confirma, escribe: "el importe reducido no es un atenuante: el cargo mínimo de prueba es un patrón habitual de fraude, y las contribuciones dominantes lo respaldan."</w:t>
      </w:r>
    </w:p>
    <w:p>
      <w:pPr>
        <w:spacing w:after="160" w:line="360" w:lineRule="auto"/>
        <w:ind w:firstLine="425"/>
        <w:jc w:val="both"/>
      </w:pPr>
      <w:r>
        <w:rPr>
          <w:rFonts w:ascii="Arial" w:cs="Arial" w:eastAsia="Arial" w:hAnsi="Arial"/>
          <w:sz w:val="22"/>
          <w:szCs w:val="22"/>
        </w:rPr>
        <w:t xml:space="preserve">La cifra que cita —0,0673 en el caso 55, 0,1286 en el 50, 0,6081 en el 44— es la probabilidad que el propio expediente le entrega, y coincide en todos los casos con el sentido del veredicto: probabilidad baja, descarta; probabilidad más alta, confirma. Es la misma dependencia de la puntuación del detector que 5.7 y 5.8 documentaron sin ajuste fino de por medio: el modelo no aprendió a razonar distinto sobre el importe, aprendió una plantilla que resume fielmente las contribuciones y decide según la puntuación que ya traía el expediente. El entrenamiento con respuestas objetivo generadas por plantilla es la explicación más probable de por qué el estilo se volvió tan uniforme.</w:t>
      </w:r>
    </w:p>
    <w:p>
      <w:pPr>
        <w:pStyle w:val="Heading3"/>
        <w:spacing w:after="200" w:before="360"/>
      </w:pPr>
      <w:r>
        <w:rPr>
          <w:rFonts w:ascii="Arial" w:cs="Arial" w:eastAsia="Arial" w:hAnsi="Arial"/>
          <w:b/>
          <w:bCs/>
          <w:color w:val="000000"/>
          <w:sz w:val="24"/>
          <w:szCs w:val="24"/>
        </w:rPr>
        <w:t xml:space="preserve">Lectura</w:t>
      </w:r>
    </w:p>
    <w:p>
      <w:pPr>
        <w:spacing w:after="160" w:line="360" w:lineRule="auto"/>
        <w:ind w:firstLine="425"/>
        <w:jc w:val="both"/>
      </w:pPr>
      <w:r>
        <w:rPr>
          <w:rFonts w:ascii="Arial" w:cs="Arial" w:eastAsia="Arial" w:hAnsi="Arial"/>
          <w:sz w:val="22"/>
          <w:szCs w:val="22"/>
        </w:rPr>
        <w:t xml:space="preserve">Se comprobó lo que 6.4 dejaba como pregunta abierta: la disociación entre explicación y decisión no depende de que la corrección llegue por el enunciado o por los pesos. En ambos casos el modelo dispone de la misma evidencia —las contribuciones por variable— y en ambos casos decide con el mismo criterio, que no es el importe sino la puntuación previa del detector. Cambiar el canal de la corrección cambió el estilo de la respuesta y no cambió ni un solo veredicto.</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Doce casos y un adaptador entrenado una vez: no hay contraste estadístico posible, igual que en 5.11. El conjunto de ajuste usa respuestas objetivo plantilladas, lo que probablemente explica la uniformidad de la prosa resultante más que cualquier propiedad del ajuste fino en sí; un conjunto con respuestas más variadas podría comportarse distinto y queda como trabajo futuro. No se ha medido si el adaptador generaliza a casos de fraude de importe bajo fuera de los que motivaron su diseño.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w:t>
      </w:r>
      <w:r>
        <w:rPr>
          <w:rFonts w:ascii="Arial" w:cs="Arial" w:eastAsia="Arial" w:hAnsi="Arial"/>
          <w:b/>
          <w:bCs/>
          <w:sz w:val="22"/>
          <w:szCs w:val="22"/>
        </w:rPr>
        <w:t xml:space="preserve">sobre el turno evaluado</w:t>
      </w:r>
      <w:r>
        <w:rPr>
          <w:rFonts w:ascii="Arial" w:cs="Arial" w:eastAsia="Arial" w:hAnsi="Arial"/>
          <w:sz w:val="22"/>
          <w:szCs w:val="22"/>
        </w:rPr>
        <w:t xml:space="preserve">,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spacing w:after="160" w:line="360" w:lineRule="auto"/>
        <w:ind w:firstLine="425"/>
        <w:jc w:val="both"/>
      </w:pPr>
      <w:r>
        <w:rPr>
          <w:rFonts w:ascii="Arial" w:cs="Arial" w:eastAsia="Arial" w:hAnsi="Arial"/>
          <w:sz w:val="22"/>
          <w:szCs w:val="22"/>
        </w:rPr>
        <w:t xml:space="preserve">Cabía preguntarse si el problema era el canal: quizá una corrección repetida en cada llamada, que el modelo puede en principio ignorar, se comporta distinto de una corrección instalada de forma permanente en los pesos. La sección 5.14 responde que no. Un adaptador LoRA entrenado sobre el propio dominio, con ejemplos que sí distinguen fraude de importe bajo de falso positivo de importe bajo, produce sobre los mismos doce casos de cola </w:t>
      </w:r>
      <w:r>
        <w:rPr>
          <w:rFonts w:ascii="Arial" w:cs="Arial" w:eastAsia="Arial" w:hAnsi="Arial"/>
          <w:b/>
          <w:bCs/>
          <w:sz w:val="22"/>
          <w:szCs w:val="22"/>
        </w:rPr>
        <w:t xml:space="preserve">veredictos idénticos, uno por uno, a los de la corrección en el enunciado</w:t>
      </w:r>
      <w:r>
        <w:rPr>
          <w:rFonts w:ascii="Arial" w:cs="Arial" w:eastAsia="Arial" w:hAnsi="Arial"/>
          <w:sz w:val="22"/>
          <w:szCs w:val="22"/>
        </w:rPr>
        <w:t xml:space="preserve">. Cambia la forma —una prosa telegráfica que cita las contribuciones con sus valores exactos— y no cambia la decisión. La causa más probable, discutida en 5.14, es que el modelo aprendió a resumir fielmente el expediente y a decidir según la puntuación que este ya traía, no a ponderar el importe de otra manera: el mismo mecanismo que describe 6.2.3, ahora instalado en los pesos en vez de sugerido en el prompt.</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spacing w:after="160" w:line="360" w:lineRule="auto"/>
        <w:ind w:firstLine="425"/>
        <w:jc w:val="both"/>
      </w:pPr>
      <w:r>
        <w:rPr>
          <w:rFonts w:ascii="Arial" w:cs="Arial" w:eastAsia="Arial" w:hAnsi="Arial"/>
          <w:sz w:val="22"/>
          <w:szCs w:val="22"/>
        </w:rPr>
        <w:t xml:space="preserve">La ablación de 5.13 sobre el dataset Sparkov lo confirma desde un ángulo que ULB no permitía probar. Sobre los mismos nueve casos —seis fraudes que el detector apenas nota y tres falsos positivos que señala con máxima confianza—, dar nombre real a comercio, categoría, edad y distancia frente a anonimizarlos como var_1 a var_5 no cambió un solo veredicto: el modelo reproduce el error del detector en los nueve casos, tenga o no delante el significado de las variables. Que el modelo entienda o no la variable es irrelevante para su decisión; lo relevante es su magnitud. La legibilidad de negocio mejora lo que el texto puede argumentar y no toca, en esta comprobación, lo que el sistema decide.</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agotan su presupuesto de generación pensando antes de responder, de modo que la respuesta llega vacía o cortada a mitad de frase, sin el veredicto final.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conjunto principal está anonimizado, cubre un solo periodo de 48 horas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extensión de 5.13 sobre variables de negocio usa un dataset simulado, no transacciones reales, con un único modelo sin ajuste de hiperparámetros. Ni la prueba de los cinco casos de mayor probabilidad ni la ablación completo/reducido sobre los nueve de mayor desacuerdo permiten ningún contraste estadístico: son catorce casos en total y así deben leerse, como demostraciones y no como series.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ajuste QLoRA de 5.14 se evaluó sobre los mismos doce casos de cola que 5.11 y 5.12, con un solo adaptador entrenado una vez. Las respuestas objetivo del entrenamiento se generaron por plantilla, lo que probablemente influye en la uniformidad de la prosa resultante; no se ha probado un conjunto de entrenamiento con respuestas más variadas.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Repetir la extensión de negocio con transacciones reales y con un detector ajustado.</w:t>
      </w:r>
      <w:r>
        <w:rPr>
          <w:rFonts w:ascii="Arial" w:cs="Arial" w:eastAsia="Arial" w:hAnsi="Arial"/>
          <w:sz w:val="22"/>
          <w:szCs w:val="22"/>
        </w:rPr>
        <w:t xml:space="preserve"> La sección 5.13 agotó, dentro de lo razonable para una extensión exploratoria, la pregunta que la motivaba: sobre un dataset simulado (Sparkov) con variables de negocio, las contribuciones del detector y la prosa del Investigador dejan de citar componentes anónimas y pasan a citar comercio, categoría, distancia y edad; y una ablación que compara el mismo caso con esas variables legibles o anonimizadas muestra que esa legibilidad, por sí sola, no cambia ni un veredicto sobre los nueve casos de mayor desacuerdo entre el detector y la realidad. Queda pendiente repetir el ejercicio con transacciones reales y no simuladas, y con un detector que haya pasado por la misma búsqueda de hiperparámetros que el de ULB: la mediana de probabilidad de 0,95 sobre el conjunto de prueba de Sparkov sugiere que una parte del problema es de calibración, no solo de dominio, y separarlas requeriría ese ajuste.</w:t>
      </w:r>
    </w:p>
    <w:p>
      <w:pPr>
        <w:spacing w:after="160" w:line="360" w:lineRule="auto"/>
        <w:ind w:firstLine="425"/>
        <w:jc w:val="both"/>
      </w:pPr>
      <w:r>
        <w:rPr>
          <w:rFonts w:ascii="Arial" w:cs="Arial" w:eastAsia="Arial" w:hAnsi="Arial"/>
          <w:b/>
          <w:bCs/>
          <w:sz w:val="22"/>
          <w:szCs w:val="22"/>
        </w:rPr>
        <w:t xml:space="preserve">Ajuste fino sobre casos etiquetados, con un conjunto de entrenamiento más variado.</w:t>
      </w:r>
      <w:r>
        <w:rPr>
          <w:rFonts w:ascii="Arial" w:cs="Arial" w:eastAsia="Arial" w:hAnsi="Arial"/>
          <w:sz w:val="22"/>
          <w:szCs w:val="22"/>
        </w:rPr>
        <w:t xml:space="preserve"> Se realizó (5.14): un adaptador LoRA sobre el propio dominio, entrenado solo con casos anteriores al corte de prueba. El resultado fue negativo en el sentido relevante y positivo en el metodológico. Los veredictos sobre los doce casos de cola son idénticos a los de corregir la premisa en el enunciado, caso por caso: la disociación entre explicación y decisión persiste cuando la información llega por los pesos, no solo por el enunciado. Lo que queda abierto es si ese resultado depende de que las respuestas objetivo del entrenamiento se generaran por plantilla, lo que pudo enseñar al modelo a resumir el expediente en vez de a decidir distinto sobre él. Repetirlo con un conjunto de respuestas más variadas, redactadas o revisadas por un humano, separaría esas dos explicaciones.</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Anomaly Detection of Tabular Data Using LLMs (2024). arXiv:2406.16308. [Completar autores desde arxiv.org/abs/2406.16308 antes de entregar: no se han verificado.]</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Arbol de directorios del repositorio, con tree /F en PowerShell o la vista del explorador. Que se vea la separacion entre src, scripts, reports y memoria.</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80" w:before="240"/>
        <w:jc w:val="center"/>
      </w:pPr>
      <w:r>
        <w:drawing>
          <wp:inline distT="0" distB="0" distL="0" distR="0">
            <wp:extent cx="540067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914775"/>
                    </a:xfrm>
                    <a:prstGeom prst="rect">
                      <a:avLst/>
                    </a:prstGeom>
                  </pic:spPr>
                </pic:pic>
              </a:graphicData>
            </a:graphic>
          </wp:inline>
        </w:drawing>
      </w:r>
    </w:p>
    <w:p>
      <w:pPr>
        <w:spacing w:after="240"/>
        <w:jc w:val="center"/>
      </w:pPr>
      <w:r>
        <w:rPr>
          <w:i/>
          <w:iCs/>
          <w:sz w:val="20"/>
          <w:szCs w:val="20"/>
        </w:rPr>
        <w:t xml:space="preserve">Figura 23. La función de selección de casos del detector, con la documentación de sus decisiones de diseño.</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 veintidós entregas, 2.173 líneas de código en los módulos del sistema y 3.637 en los guiones de experimentación, además de 131 ficheros de resultados.</w:t>
      </w:r>
    </w:p>
    <w:p>
      <w:pPr>
        <w:spacing w:after="160" w:line="360" w:lineRule="auto"/>
        <w:ind w:firstLine="425"/>
        <w:jc w:val="both"/>
      </w:pPr>
      <w:r>
        <w:rPr>
          <w:rFonts w:ascii="Arial" w:cs="Arial" w:eastAsia="Arial" w:hAnsi="Arial"/>
          <w:sz w:val="22"/>
          <w:szCs w:val="22"/>
        </w:rPr>
        <w:t xml:space="preserve">Los guiones se agrupan en tres familias, y cada uno declara en su cabecera la pregunta a la que responde y las decisiones de diseño que la afectan.</w:t>
      </w:r>
    </w:p>
    <w:p>
      <w:pPr>
        <w:spacing w:after="160" w:line="360" w:lineRule="auto"/>
        <w:ind w:firstLine="425"/>
        <w:jc w:val="both"/>
      </w:pPr>
      <w:r>
        <w:rPr>
          <w:rFonts w:ascii="Arial" w:cs="Arial" w:eastAsia="Arial" w:hAnsi="Arial"/>
          <w:b/>
          <w:bCs/>
          <w:sz w:val="22"/>
          <w:szCs w:val="22"/>
        </w:rPr>
        <w:t xml:space="preserve">Sistema en funcionamiento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Función</w:t>
            </w:r>
          </w:p>
        </w:tc>
      </w:tr>
      <w:tr>
        <w:tc>
          <w:tcPr>
            <w:tcW w:type="dxa" w:w="4500"/>
          </w:tcPr>
          <w:p>
            <w:pPr>
              <w:spacing w:after="0"/>
            </w:pPr>
            <w:r>
              <w:rPr>
                <w:rFonts w:ascii="Arial" w:cs="Arial" w:eastAsia="Arial" w:hAnsi="Arial"/>
                <w:b w:val="false"/>
                <w:bCs w:val="false"/>
                <w:sz w:val="20"/>
                <w:szCs w:val="20"/>
              </w:rPr>
              <w:t xml:space="preserve">check_entorno.py</w:t>
            </w:r>
          </w:p>
        </w:tc>
        <w:tc>
          <w:tcPr>
            <w:tcW w:type="dxa" w:w="4500"/>
          </w:tcPr>
          <w:p>
            <w:pPr>
              <w:spacing w:after="0"/>
            </w:pPr>
            <w:r>
              <w:rPr>
                <w:rFonts w:ascii="Arial" w:cs="Arial" w:eastAsia="Arial" w:hAnsi="Arial"/>
                <w:b w:val="false"/>
                <w:bCs w:val="false"/>
                <w:sz w:val="20"/>
                <w:szCs w:val="20"/>
              </w:rPr>
              <w:t xml:space="preserve">Verificación del entorno antes de nada</w:t>
            </w:r>
          </w:p>
        </w:tc>
      </w:tr>
      <w:tr>
        <w:tc>
          <w:tcPr>
            <w:tcW w:type="dxa" w:w="4500"/>
          </w:tcPr>
          <w:p>
            <w:pPr>
              <w:spacing w:after="0"/>
            </w:pPr>
            <w:r>
              <w:rPr>
                <w:rFonts w:ascii="Arial" w:cs="Arial" w:eastAsia="Arial" w:hAnsi="Arial"/>
                <w:b w:val="false"/>
                <w:bCs w:val="false"/>
                <w:sz w:val="20"/>
                <w:szCs w:val="20"/>
              </w:rPr>
              <w:t xml:space="preserve">run_departamento.py</w:t>
            </w:r>
          </w:p>
        </w:tc>
        <w:tc>
          <w:tcPr>
            <w:tcW w:type="dxa" w:w="4500"/>
          </w:tcPr>
          <w:p>
            <w:pPr>
              <w:spacing w:after="0"/>
            </w:pPr>
            <w:r>
              <w:rPr>
                <w:rFonts w:ascii="Arial" w:cs="Arial" w:eastAsia="Arial" w:hAnsi="Arial"/>
                <w:b w:val="false"/>
                <w:bCs w:val="false"/>
                <w:sz w:val="20"/>
                <w:szCs w:val="20"/>
              </w:rPr>
              <w:t xml:space="preserve">Ejecución completa del sistema sobre un turno</w:t>
            </w:r>
          </w:p>
        </w:tc>
      </w:tr>
      <w:tr>
        <w:tc>
          <w:tcPr>
            <w:tcW w:type="dxa" w:w="4500"/>
          </w:tcPr>
          <w:p>
            <w:pPr>
              <w:spacing w:after="0"/>
            </w:pPr>
            <w:r>
              <w:rPr>
                <w:rFonts w:ascii="Arial" w:cs="Arial" w:eastAsia="Arial" w:hAnsi="Arial"/>
                <w:b w:val="false"/>
                <w:bCs w:val="false"/>
                <w:sz w:val="20"/>
                <w:szCs w:val="20"/>
              </w:rPr>
              <w:t xml:space="preserve">run_streaming.py</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tune_detector.py</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bl>
    <w:p>
      <w:pPr>
        <w:spacing w:after="160"/>
      </w:pPr>
    </w:p>
    <w:p>
      <w:pPr>
        <w:spacing w:after="160" w:line="360" w:lineRule="auto"/>
        <w:ind w:firstLine="425"/>
        <w:jc w:val="both"/>
      </w:pPr>
      <w:r>
        <w:rPr>
          <w:rFonts w:ascii="Arial" w:cs="Arial" w:eastAsia="Arial" w:hAnsi="Arial"/>
          <w:b/>
          <w:bCs/>
          <w:sz w:val="22"/>
          <w:szCs w:val="22"/>
        </w:rPr>
        <w:t xml:space="preserve">Experimentos y ablaciones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Pregunta que responde</w:t>
            </w:r>
          </w:p>
        </w:tc>
      </w:tr>
      <w:tr>
        <w:tc>
          <w:tcPr>
            <w:tcW w:type="dxa" w:w="4500"/>
          </w:tcPr>
          <w:p>
            <w:pPr>
              <w:spacing w:after="0"/>
            </w:pPr>
            <w:r>
              <w:rPr>
                <w:rFonts w:ascii="Arial" w:cs="Arial" w:eastAsia="Arial" w:hAnsi="Arial"/>
                <w:b w:val="false"/>
                <w:bCs w:val="false"/>
                <w:sz w:val="20"/>
                <w:szCs w:val="20"/>
              </w:rPr>
              <w:t xml:space="preserve">experimento.py</w:t>
            </w:r>
          </w:p>
        </w:tc>
        <w:tc>
          <w:tcPr>
            <w:tcW w:type="dxa" w:w="4500"/>
          </w:tcPr>
          <w:p>
            <w:pPr>
              <w:spacing w:after="0"/>
            </w:pPr>
            <w:r>
              <w:rPr>
                <w:rFonts w:ascii="Arial" w:cs="Arial" w:eastAsia="Arial" w:hAnsi="Arial"/>
                <w:b w:val="false"/>
                <w:bCs w:val="false"/>
                <w:sz w:val="20"/>
                <w:szCs w:val="20"/>
              </w:rPr>
              <w:t xml:space="preserve">Comparativa entre modelos y modos</w:t>
            </w:r>
          </w:p>
        </w:tc>
      </w:tr>
      <w:tr>
        <w:tc>
          <w:tcPr>
            <w:tcW w:type="dxa" w:w="4500"/>
          </w:tcPr>
          <w:p>
            <w:pPr>
              <w:spacing w:after="0"/>
            </w:pPr>
            <w:r>
              <w:rPr>
                <w:rFonts w:ascii="Arial" w:cs="Arial" w:eastAsia="Arial" w:hAnsi="Arial"/>
                <w:b w:val="false"/>
                <w:bCs w:val="false"/>
                <w:sz w:val="20"/>
                <w:szCs w:val="20"/>
              </w:rPr>
              <w:t xml:space="preserve">analisis.py</w:t>
            </w:r>
          </w:p>
        </w:tc>
        <w:tc>
          <w:tcPr>
            <w:tcW w:type="dxa" w:w="4500"/>
          </w:tcPr>
          <w:p>
            <w:pPr>
              <w:spacing w:after="0"/>
            </w:pPr>
            <w:r>
              <w:rPr>
                <w:rFonts w:ascii="Arial" w:cs="Arial" w:eastAsia="Arial" w:hAnsi="Arial"/>
                <w:b w:val="false"/>
                <w:bCs w:val="false"/>
                <w:sz w:val="20"/>
                <w:szCs w:val="20"/>
              </w:rPr>
              <w:t xml:space="preserve">Análisis estadístico de los resultados anteriores</w:t>
            </w:r>
          </w:p>
        </w:tc>
      </w:tr>
      <w:tr>
        <w:tc>
          <w:tcPr>
            <w:tcW w:type="dxa" w:w="4500"/>
          </w:tcPr>
          <w:p>
            <w:pPr>
              <w:spacing w:after="0"/>
            </w:pPr>
            <w:r>
              <w:rPr>
                <w:rFonts w:ascii="Arial" w:cs="Arial" w:eastAsia="Arial" w:hAnsi="Arial"/>
                <w:b w:val="false"/>
                <w:bCs w:val="false"/>
                <w:sz w:val="20"/>
                <w:szCs w:val="20"/>
              </w:rPr>
              <w:t xml:space="preserve">comparar_detectores.py</w:t>
            </w:r>
          </w:p>
        </w:tc>
        <w:tc>
          <w:tcPr>
            <w:tcW w:type="dxa" w:w="4500"/>
          </w:tcPr>
          <w:p>
            <w:pPr>
              <w:spacing w:after="0"/>
            </w:pPr>
            <w:r>
              <w:rPr>
                <w:rFonts w:ascii="Arial" w:cs="Arial" w:eastAsia="Arial" w:hAnsi="Arial"/>
                <w:b w:val="false"/>
                <w:bCs w:val="false"/>
                <w:sz w:val="20"/>
                <w:szCs w:val="20"/>
              </w:rPr>
              <w:t xml:space="preserve">¿Difieren XGBoost y Random Forest de forma significativa?</w:t>
            </w:r>
          </w:p>
        </w:tc>
      </w:tr>
      <w:tr>
        <w:tc>
          <w:tcPr>
            <w:tcW w:type="dxa" w:w="4500"/>
          </w:tcPr>
          <w:p>
            <w:pPr>
              <w:spacing w:after="0"/>
            </w:pPr>
            <w:r>
              <w:rPr>
                <w:rFonts w:ascii="Arial" w:cs="Arial" w:eastAsia="Arial" w:hAnsi="Arial"/>
                <w:b w:val="false"/>
                <w:bCs w:val="false"/>
                <w:sz w:val="20"/>
                <w:szCs w:val="20"/>
              </w:rPr>
              <w:t xml:space="preserve">ablacion_desbalanceo.py</w:t>
            </w:r>
          </w:p>
        </w:tc>
        <w:tc>
          <w:tcPr>
            <w:tcW w:type="dxa" w:w="4500"/>
          </w:tcPr>
          <w:p>
            <w:pPr>
              <w:spacing w:after="0"/>
            </w:pPr>
            <w:r>
              <w:rPr>
                <w:rFonts w:ascii="Arial" w:cs="Arial" w:eastAsia="Arial" w:hAnsi="Arial"/>
                <w:b w:val="false"/>
                <w:bCs w:val="false"/>
                <w:sz w:val="20"/>
                <w:szCs w:val="20"/>
              </w:rPr>
              <w:t xml:space="preserve">¿Qué aporta cada estrategia frente al desbalanceo?</w:t>
            </w:r>
          </w:p>
        </w:tc>
      </w:tr>
      <w:tr>
        <w:tc>
          <w:tcPr>
            <w:tcW w:type="dxa" w:w="4500"/>
          </w:tcPr>
          <w:p>
            <w:pPr>
              <w:spacing w:after="0"/>
            </w:pPr>
            <w:r>
              <w:rPr>
                <w:rFonts w:ascii="Arial" w:cs="Arial" w:eastAsia="Arial" w:hAnsi="Arial"/>
                <w:b w:val="false"/>
                <w:bCs w:val="false"/>
                <w:sz w:val="20"/>
                <w:szCs w:val="20"/>
              </w:rPr>
              <w:t xml:space="preserve">ablacion_variables.py</w:t>
            </w:r>
          </w:p>
        </w:tc>
        <w:tc>
          <w:tcPr>
            <w:tcW w:type="dxa" w:w="4500"/>
          </w:tcPr>
          <w:p>
            <w:pPr>
              <w:spacing w:after="0"/>
            </w:pPr>
            <w:r>
              <w:rPr>
                <w:rFonts w:ascii="Arial" w:cs="Arial" w:eastAsia="Arial" w:hAnsi="Arial"/>
                <w:b w:val="false"/>
                <w:bCs w:val="false"/>
                <w:sz w:val="20"/>
                <w:szCs w:val="20"/>
              </w:rPr>
              <w:t xml:space="preserve">¿Cuánto contribuye cada grupo de variables?</w:t>
            </w:r>
          </w:p>
        </w:tc>
      </w:tr>
      <w:tr>
        <w:tc>
          <w:tcPr>
            <w:tcW w:type="dxa" w:w="4500"/>
          </w:tcPr>
          <w:p>
            <w:pPr>
              <w:spacing w:after="0"/>
            </w:pPr>
            <w:r>
              <w:rPr>
                <w:rFonts w:ascii="Arial" w:cs="Arial" w:eastAsia="Arial" w:hAnsi="Arial"/>
                <w:b w:val="false"/>
                <w:bCs w:val="false"/>
                <w:sz w:val="20"/>
                <w:szCs w:val="20"/>
              </w:rPr>
              <w:t xml:space="preserve">ablacion_dominio.py</w:t>
            </w:r>
          </w:p>
        </w:tc>
        <w:tc>
          <w:tcPr>
            <w:tcW w:type="dxa" w:w="4500"/>
          </w:tcPr>
          <w:p>
            <w:pPr>
              <w:spacing w:after="0"/>
            </w:pPr>
            <w:r>
              <w:rPr>
                <w:rFonts w:ascii="Arial" w:cs="Arial" w:eastAsia="Arial" w:hAnsi="Arial"/>
                <w:b w:val="false"/>
                <w:bCs w:val="false"/>
                <w:sz w:val="20"/>
                <w:szCs w:val="20"/>
              </w:rPr>
              <w:t xml:space="preserve">¿Cambia el veredicto al corregir la premisa, o solo la prosa?</w:t>
            </w:r>
          </w:p>
        </w:tc>
      </w:tr>
      <w:tr>
        <w:tc>
          <w:tcPr>
            <w:tcW w:type="dxa" w:w="4500"/>
          </w:tcPr>
          <w:p>
            <w:pPr>
              <w:spacing w:after="0"/>
            </w:pPr>
            <w:r>
              <w:rPr>
                <w:rFonts w:ascii="Arial" w:cs="Arial" w:eastAsia="Arial" w:hAnsi="Arial"/>
                <w:b w:val="false"/>
                <w:bCs w:val="false"/>
                <w:sz w:val="20"/>
                <w:szCs w:val="20"/>
              </w:rPr>
              <w:t xml:space="preserve">investigador_solo.py</w:t>
            </w:r>
          </w:p>
        </w:tc>
        <w:tc>
          <w:tcPr>
            <w:tcW w:type="dxa" w:w="4500"/>
          </w:tcPr>
          <w:p>
            <w:pPr>
              <w:spacing w:after="0"/>
            </w:pPr>
            <w:r>
              <w:rPr>
                <w:rFonts w:ascii="Arial" w:cs="Arial" w:eastAsia="Arial" w:hAnsi="Arial"/>
                <w:b w:val="false"/>
                <w:bCs w:val="false"/>
                <w:sz w:val="20"/>
                <w:szCs w:val="20"/>
              </w:rPr>
              <w:t xml:space="preserve">Comparación con modelos de mayor capacidad</w:t>
            </w:r>
          </w:p>
        </w:tc>
      </w:tr>
    </w:tbl>
    <w:p>
      <w:pPr>
        <w:spacing w:after="160"/>
      </w:pPr>
    </w:p>
    <w:p>
      <w:pPr>
        <w:spacing w:after="160" w:line="360" w:lineRule="auto"/>
        <w:ind w:firstLine="425"/>
        <w:jc w:val="both"/>
      </w:pPr>
      <w:r>
        <w:rPr>
          <w:rFonts w:ascii="Arial" w:cs="Arial" w:eastAsia="Arial" w:hAnsi="Arial"/>
          <w:b/>
          <w:bCs/>
          <w:sz w:val="22"/>
          <w:szCs w:val="22"/>
        </w:rPr>
        <w:t xml:space="preserve">Pruebas sin modelo de lenguaje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Qué comprueba</w:t>
            </w:r>
          </w:p>
        </w:tc>
      </w:tr>
      <w:tr>
        <w:tc>
          <w:tcPr>
            <w:tcW w:type="dxa" w:w="4500"/>
          </w:tcPr>
          <w:p>
            <w:pPr>
              <w:spacing w:after="0"/>
            </w:pPr>
            <w:r>
              <w:rPr>
                <w:rFonts w:ascii="Arial" w:cs="Arial" w:eastAsia="Arial" w:hAnsi="Arial"/>
                <w:b w:val="false"/>
                <w:bCs w:val="false"/>
                <w:sz w:val="20"/>
                <w:szCs w:val="20"/>
              </w:rPr>
              <w:t xml:space="preserve">test_detector.py</w:t>
            </w:r>
          </w:p>
        </w:tc>
        <w:tc>
          <w:tcPr>
            <w:tcW w:type="dxa" w:w="4500"/>
          </w:tcPr>
          <w:p>
            <w:pPr>
              <w:spacing w:after="0"/>
            </w:pPr>
            <w:r>
              <w:rPr>
                <w:rFonts w:ascii="Arial" w:cs="Arial" w:eastAsia="Arial" w:hAnsi="Arial"/>
                <w:b w:val="false"/>
                <w:bCs w:val="false"/>
                <w:sz w:val="20"/>
                <w:szCs w:val="20"/>
              </w:rPr>
              <w:t xml:space="preserve">El detector como herramienta</w:t>
            </w:r>
          </w:p>
        </w:tc>
      </w:tr>
      <w:tr>
        <w:tc>
          <w:tcPr>
            <w:tcW w:type="dxa" w:w="4500"/>
          </w:tcPr>
          <w:p>
            <w:pPr>
              <w:spacing w:after="0"/>
            </w:pPr>
            <w:r>
              <w:rPr>
                <w:rFonts w:ascii="Arial" w:cs="Arial" w:eastAsia="Arial" w:hAnsi="Arial"/>
                <w:b w:val="false"/>
                <w:bCs w:val="false"/>
                <w:sz w:val="20"/>
                <w:szCs w:val="20"/>
              </w:rPr>
              <w:t xml:space="preserve">test_tools.py</w:t>
            </w:r>
          </w:p>
        </w:tc>
        <w:tc>
          <w:tcPr>
            <w:tcW w:type="dxa" w:w="4500"/>
          </w:tcPr>
          <w:p>
            <w:pPr>
              <w:spacing w:after="0"/>
            </w:pPr>
            <w:r>
              <w:rPr>
                <w:rFonts w:ascii="Arial" w:cs="Arial" w:eastAsia="Arial" w:hAnsi="Arial"/>
                <w:b w:val="false"/>
                <w:bCs w:val="false"/>
                <w:sz w:val="20"/>
                <w:szCs w:val="20"/>
              </w:rPr>
              <w:t xml:space="preserve">Las herramientas de construcción del expediente</w:t>
            </w:r>
          </w:p>
        </w:tc>
      </w:tr>
      <w:tr>
        <w:tc>
          <w:tcPr>
            <w:tcW w:type="dxa" w:w="4500"/>
          </w:tcPr>
          <w:p>
            <w:pPr>
              <w:spacing w:after="0"/>
            </w:pPr>
            <w:r>
              <w:rPr>
                <w:rFonts w:ascii="Arial" w:cs="Arial" w:eastAsia="Arial" w:hAnsi="Arial"/>
                <w:b w:val="false"/>
                <w:bCs w:val="false"/>
                <w:sz w:val="20"/>
                <w:szCs w:val="20"/>
              </w:rPr>
              <w:t xml:space="preserve">test_auditor.py</w:t>
            </w:r>
          </w:p>
        </w:tc>
        <w:tc>
          <w:tcPr>
            <w:tcW w:type="dxa" w:w="4500"/>
          </w:tcPr>
          <w:p>
            <w:pPr>
              <w:spacing w:after="0"/>
            </w:pPr>
            <w:r>
              <w:rPr>
                <w:rFonts w:ascii="Arial" w:cs="Arial" w:eastAsia="Arial" w:hAnsi="Arial"/>
                <w:b w:val="false"/>
                <w:bCs w:val="false"/>
                <w:sz w:val="20"/>
                <w:szCs w:val="20"/>
              </w:rPr>
              <w:t xml:space="preserve">Regresión del auditor de informes</w:t>
            </w:r>
          </w:p>
        </w:tc>
      </w:tr>
      <w:tr>
        <w:tc>
          <w:tcPr>
            <w:tcW w:type="dxa" w:w="4500"/>
          </w:tcPr>
          <w:p>
            <w:pPr>
              <w:spacing w:after="0"/>
            </w:pPr>
            <w:r>
              <w:rPr>
                <w:rFonts w:ascii="Arial" w:cs="Arial" w:eastAsia="Arial" w:hAnsi="Arial"/>
                <w:b w:val="false"/>
                <w:bCs w:val="false"/>
                <w:sz w:val="20"/>
                <w:szCs w:val="20"/>
              </w:rPr>
              <w:t xml:space="preserve">test_crew_minimo.py</w:t>
            </w:r>
          </w:p>
        </w:tc>
        <w:tc>
          <w:tcPr>
            <w:tcW w:type="dxa" w:w="4500"/>
          </w:tcPr>
          <w:p>
            <w:pPr>
              <w:spacing w:after="0"/>
            </w:pPr>
            <w:r>
              <w:rPr>
                <w:rFonts w:ascii="Arial" w:cs="Arial" w:eastAsia="Arial" w:hAnsi="Arial"/>
                <w:b w:val="false"/>
                <w:bCs w:val="false"/>
                <w:sz w:val="20"/>
                <w:szCs w:val="20"/>
              </w:rPr>
              <w:t xml:space="preserve">Un agente y una herramienta, para acotar fallos de integración</w:t>
            </w:r>
          </w:p>
        </w:tc>
      </w:tr>
      <w:tr>
        <w:tc>
          <w:tcPr>
            <w:tcW w:type="dxa" w:w="4500"/>
          </w:tcPr>
          <w:p>
            <w:pPr>
              <w:spacing w:after="0"/>
            </w:pPr>
            <w:r>
              <w:rPr>
                <w:rFonts w:ascii="Arial" w:cs="Arial" w:eastAsia="Arial" w:hAnsi="Arial"/>
                <w:b w:val="false"/>
                <w:bCs w:val="false"/>
                <w:sz w:val="20"/>
                <w:szCs w:val="20"/>
              </w:rPr>
              <w:t xml:space="preserve">reauditar.py</w:t>
            </w:r>
          </w:p>
        </w:tc>
        <w:tc>
          <w:tcPr>
            <w:tcW w:type="dxa" w:w="4500"/>
          </w:tcPr>
          <w:p>
            <w:pPr>
              <w:spacing w:after="0"/>
            </w:pPr>
            <w:r>
              <w:rPr>
                <w:rFonts w:ascii="Arial" w:cs="Arial" w:eastAsia="Arial" w:hAnsi="Arial"/>
                <w:b w:val="false"/>
                <w:bCs w:val="false"/>
                <w:sz w:val="20"/>
                <w:szCs w:val="20"/>
              </w:rPr>
              <w:t xml:space="preserve">Reaplica el auditor actual a informes antiguos</w:t>
            </w:r>
          </w:p>
        </w:tc>
      </w:tr>
    </w:tbl>
    <w:p>
      <w:pPr>
        <w:spacing w:after="160"/>
      </w:pPr>
    </w:p>
    <w:p>
      <w:pPr>
        <w:spacing w:after="160" w:line="360" w:lineRule="auto"/>
        <w:ind w:firstLine="425"/>
        <w:jc w:val="both"/>
      </w:pPr>
      <w:r>
        <w:rPr>
          <w:rFonts w:ascii="Arial" w:cs="Arial" w:eastAsia="Arial" w:hAnsi="Arial"/>
          <w:sz w:val="22"/>
          <w:szCs w:val="22"/>
        </w:rPr>
        <w:t xml:space="preserve">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43ce0513705a1a875e21816bffbf8a742fe66a.undefined"/><Relationship Id="rId10" Type="http://schemas.openxmlformats.org/officeDocument/2006/relationships/image" Target="media/2be6a6ffb4dccdb361e690e14d1923b3966c5d35.undefined"/><Relationship Id="rId11" Type="http://schemas.openxmlformats.org/officeDocument/2006/relationships/image" Target="media/a6b6d20894f1cab8dc1529ece5855991ac15d6bb.undefined"/><Relationship Id="rId12" Type="http://schemas.openxmlformats.org/officeDocument/2006/relationships/image" Target="media/d37a123c935edd168749901f4d906c02844ea0ed.undefined"/><Relationship Id="rId13" Type="http://schemas.openxmlformats.org/officeDocument/2006/relationships/image" Target="media/42beb2628c02c6b8adc537789f9a586158e08491.undefined"/><Relationship Id="rId14" Type="http://schemas.openxmlformats.org/officeDocument/2006/relationships/image" Target="media/2713710ee29419713561b184a3002afd976b2207.undefined"/><Relationship Id="rId15" Type="http://schemas.openxmlformats.org/officeDocument/2006/relationships/image" Target="media/44645f6f8714ba53cc9389784c5c7c515192d70b.undefined"/><Relationship Id="rId16" Type="http://schemas.openxmlformats.org/officeDocument/2006/relationships/image" Target="media/a74094da72a41ef8e2c3d86c1192a359067c3f1d.undefined"/><Relationship Id="rId17" Type="http://schemas.openxmlformats.org/officeDocument/2006/relationships/image" Target="media/0b390121a6aaed94d77ea8e9cefc970c0b49d4cd.undefined"/><Relationship Id="rId18" Type="http://schemas.openxmlformats.org/officeDocument/2006/relationships/image" Target="media/05990224bd2725101f6ceff62e5c78ee113146e2.undefined"/><Relationship Id="rId19" Type="http://schemas.openxmlformats.org/officeDocument/2006/relationships/image" Target="media/9c91d20d4cae95ff6d7eda2c91e5e685b0f68972.undefined"/><Relationship Id="rId20" Type="http://schemas.openxmlformats.org/officeDocument/2006/relationships/image" Target="media/38c5ec19b99ee9190b70907c0a80c42d6c63245b.undefined"/><Relationship Id="rId21" Type="http://schemas.openxmlformats.org/officeDocument/2006/relationships/image" Target="media/05c0b7d501886dcf150e5436f3bd51051f8655d2.undefined"/><Relationship Id="rId22" Type="http://schemas.openxmlformats.org/officeDocument/2006/relationships/image" Target="media/743fde3fa19a4d9af3a0d552d0885bc41cd1782d.undefined"/><Relationship Id="rId23" Type="http://schemas.openxmlformats.org/officeDocument/2006/relationships/image" Target="media/5675489fa005bb45a4ede8333934108712bc1ca5.undefined"/><Relationship Id="rId24" Type="http://schemas.openxmlformats.org/officeDocument/2006/relationships/image" Target="media/98202948ec9eb0cbae25c5a891cfd359798b6f8b.undefined"/><Relationship Id="rId25" Type="http://schemas.openxmlformats.org/officeDocument/2006/relationships/image" Target="media/fa87e9b94964b7ac6b39b193cfe90066807f23f2.undefined"/><Relationship Id="rId26" Type="http://schemas.openxmlformats.org/officeDocument/2006/relationships/image" Target="media/e9eb82f9d619f54b8a5e5c786275a7d71471689f.undefined"/><Relationship Id="rId27" Type="http://schemas.openxmlformats.org/officeDocument/2006/relationships/image" Target="media/44cc1f6ac5a890f53af0bded2769c3f38cb39993.undefined"/><Relationship Id="rId28" Type="http://schemas.openxmlformats.org/officeDocument/2006/relationships/image" Target="media/de208c8bdfc1b72fb7cc009bd6233f427ec124fb.undefined"/><Relationship Id="rId29" Type="http://schemas.openxmlformats.org/officeDocument/2006/relationships/image" Target="media/a80073e287482b324a824f92247d68a6a964b84d.undefined"/><Relationship Id="rId30" Type="http://schemas.openxmlformats.org/officeDocument/2006/relationships/image" Target="media/d682c3a07272ade658918fe78be6cc337a30c1a1.undefined"/><Relationship Id="rId31" Type="http://schemas.openxmlformats.org/officeDocument/2006/relationships/image" Target="media/41df8aee3fdd86aeed79be20e5e3a348d5de5cba.undefined"/><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2026-08-26T08:21:22.931Z</dcterms:created>
  <dcterms:modified xsi:type="dcterms:W3CDTF">2026-08-26T08:21:22.935Z</dcterms:modified>
</cp:coreProperties>
</file>

<file path=docProps/custom.xml><?xml version="1.0" encoding="utf-8"?>
<Properties xmlns="http://schemas.openxmlformats.org/officeDocument/2006/custom-properties" xmlns:vt="http://schemas.openxmlformats.org/officeDocument/2006/docPropsVTypes"/>
</file>