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[PENDIENTE] Revisar el resumen al cerrar los experimentos y ajustar las cifras finales.</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[PENDIENTE] Revisar tras cerrar los experimentos.</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pPr>
      <w:r>
        <w:rPr>
          <w:rFonts w:ascii="Arial" w:cs="Arial" w:eastAsia="Arial" w:hAnsi="Arial"/>
          <w:i/>
          <w:iCs/>
          <w:color w:val="808080"/>
          <w:sz w:val="22"/>
          <w:szCs w:val="22"/>
        </w:rPr>
        <w:t xml:space="preserve">[PENDIENTE] Citar dos o tres trabajos concretos del rango alto y del rango bajo, con sus referencias completas. Ver docs/ESTADO_DEL_ARTE.md, sección 2.</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pPr>
      <w:r>
        <w:rPr>
          <w:rFonts w:ascii="Arial" w:cs="Arial" w:eastAsia="Arial" w:hAnsi="Arial"/>
          <w:i/>
          <w:iCs/>
          <w:color w:val="808080"/>
          <w:sz w:val="22"/>
          <w:szCs w:val="22"/>
        </w:rPr>
        <w:t xml:space="preserve">[PENDIENTE] Redactar a partir de docs/ESTADO_DEL_ARTE.md, sección 3. Hallazgo central de la literatura, que respalda el resultado de este trabajo: en el régimen puramente numérico los modelos de boosting superan claramente a los modelos de lenguaje en modo cero disparos, y estos rinden mejor cuando existe contexto semántico. La diferencia de planteamiento es que la literatura pone al modelo de lenguaje a competir con el modelo tabular, mientras aquí opera por encima de él.</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pPr>
      <w:r>
        <w:rPr>
          <w:rFonts w:ascii="Arial" w:cs="Arial" w:eastAsia="Arial" w:hAnsi="Arial"/>
          <w:i/>
          <w:iCs/>
          <w:color w:val="808080"/>
          <w:sz w:val="22"/>
          <w:szCs w:val="22"/>
        </w:rPr>
        <w:t xml:space="preserve">[PENDIENTE] Redactar a partir de docs/ESTADO_DEL_ARTE.md, sección 4. La literatura identifica en torno a siete mil millones de parámetros un umbral de competencia técnica para la invocación de herramientas. Este trabajo mide un umbral distinto: no si el modelo sabe operar el sistema, sino si se le puede delegar autoridad de decisión sin degradarlo. Ambos modelos evaluados superan el umbral técnico y solo uno supera el de fiabilidad.</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pPr>
      <w:r>
        <w:rPr>
          <w:rFonts w:ascii="Arial" w:cs="Arial" w:eastAsia="Arial" w:hAnsi="Arial"/>
          <w:i/>
          <w:iCs/>
          <w:color w:val="808080"/>
          <w:sz w:val="22"/>
          <w:szCs w:val="22"/>
        </w:rPr>
        <w:t xml:space="preserve">[PENDIENTE] Redactar a partir de docs/ESTADO_DEL_ARTE.md, sección 5. La literatura de inteligencia artificial explicable establece que al modelo de lenguaje no debe pedírsele que explique la decisión, sino únicamente que verbalice la salida de un método de explicación, para evitar explicaciones infieles. Este trabajo mide experimentalmente el coste de saltarse ese principio.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pPr>
      <w:r>
        <w:rPr>
          <w:rFonts w:ascii="Arial" w:cs="Arial" w:eastAsia="Arial" w:hAnsi="Arial"/>
          <w:i/>
          <w:iCs/>
          <w:color w:val="808080"/>
          <w:sz w:val="22"/>
          <w:szCs w:val="22"/>
        </w:rPr>
        <w:t xml:space="preserve">[PENDIENTE] Redactar a partir de docs/ESTADO_DEL_ARTE.md, sección 6. Verificar antes de afirmar que las propuestas existentes se evalúan poco frente a una línea base sin modelo de lenguaje.</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pPr>
      <w:r>
        <w:rPr>
          <w:rFonts w:ascii="Arial" w:cs="Arial" w:eastAsia="Arial" w:hAnsi="Arial"/>
          <w:i/>
          <w:iCs/>
          <w:color w:val="808080"/>
          <w:sz w:val="22"/>
          <w:szCs w:val="22"/>
        </w:rPr>
        <w:t xml:space="preserve">[PENDIENTE] Cerrar con la tabla de posicionamiento de docs/ESTADO_DEL_ARTE.md, sección 7.</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pPr>
      <w:r>
        <w:rPr>
          <w:rFonts w:ascii="Arial" w:cs="Arial" w:eastAsia="Arial" w:hAnsi="Arial"/>
          <w:i/>
          <w:iCs/>
          <w:color w:val="808080"/>
          <w:sz w:val="22"/>
          <w:szCs w:val="22"/>
        </w:rPr>
        <w:t xml:space="preserve">[PENDIENTE] Insertar el diagrama de Gantt de la planificación prevista.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160" w:line="360" w:lineRule="auto"/>
      </w:pPr>
      <w:r>
        <w:rPr>
          <w:rFonts w:ascii="Arial" w:cs="Arial" w:eastAsia="Arial" w:hAnsi="Arial"/>
          <w:i/>
          <w:iCs/>
          <w:color w:val="808080"/>
          <w:sz w:val="22"/>
          <w:szCs w:val="22"/>
        </w:rPr>
        <w:t xml:space="preserve">[PENDIENTE] Insertar el diagrama de Gantt del plan restante.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p>
      <w:pPr>
        <w:spacing w:after="160" w:line="360" w:lineRule="auto"/>
      </w:pPr>
      <w:r>
        <w:rPr>
          <w:rFonts w:ascii="Arial" w:cs="Arial" w:eastAsia="Arial" w:hAnsi="Arial"/>
          <w:i/>
          <w:iCs/>
          <w:color w:val="808080"/>
          <w:sz w:val="22"/>
          <w:szCs w:val="22"/>
        </w:rPr>
        <w:t xml:space="preserve">[PENDIENTE] Añadir las fases posteriores: comparativa con Random Forest, ablación del expediente y comparativa de modelos sobre turnos reales.</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2"/>
        <w:spacing w:after="200" w:before="360"/>
      </w:pPr>
      <w:r>
        <w:rPr>
          <w:rFonts w:ascii="Arial" w:cs="Arial" w:eastAsia="Arial" w:hAnsi="Arial"/>
          <w:b/>
          <w:bCs/>
          <w:color w:val="000000"/>
          <w:sz w:val="26"/>
          <w:szCs w:val="26"/>
        </w:rPr>
        <w:t xml:space="preserve">5.5 El umbral de capacidad, con contraste estadístico</w:t>
      </w:r>
    </w:p>
    <w:p>
      <w:pPr>
        <w:spacing w:after="160" w:line="360" w:lineRule="auto"/>
        <w:ind w:firstLine="425"/>
        <w:jc w:val="both"/>
      </w:pPr>
      <w:r>
        <w:rPr>
          <w:rFonts w:ascii="Arial" w:cs="Arial" w:eastAsia="Arial" w:hAnsi="Arial"/>
          <w:sz w:val="22"/>
          <w:szCs w:val="22"/>
        </w:rPr>
        <w:t xml:space="preserve">En modo revisa, el modelo de ocho mil millones de parámetros retiró fraude auténtico del informe en 6 de 18 ejecuciones; el de catorce mil millones, en ninguna de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Contraste</w:t>
            </w:r>
          </w:p>
        </w:tc>
        <w:tc>
          <w:tcPr>
            <w:tcW w:type="dxa" w:w="3000"/>
            <w:shd w:fill="D9D9D9" w:val="clear"/>
          </w:tcPr>
          <w:p>
            <w:pPr>
              <w:spacing w:after="0"/>
            </w:pPr>
            <w:r>
              <w:rPr>
                <w:rFonts w:ascii="Arial" w:cs="Arial" w:eastAsia="Arial" w:hAnsi="Arial"/>
                <w:b/>
                <w:bCs/>
                <w:sz w:val="20"/>
                <w:szCs w:val="20"/>
              </w:rPr>
              <w:t xml:space="preserve">Qué compara</w:t>
            </w:r>
          </w:p>
        </w:tc>
        <w:tc>
          <w:tcPr>
            <w:tcW w:type="dxa" w:w="3000"/>
            <w:shd w:fill="D9D9D9" w:val="clear"/>
          </w:tcPr>
          <w:p>
            <w:pPr>
              <w:spacing w:after="0"/>
            </w:pPr>
            <w:r>
              <w:rPr>
                <w:rFonts w:ascii="Arial" w:cs="Arial" w:eastAsia="Arial" w:hAnsi="Arial"/>
                <w:b/>
                <w:bCs/>
                <w:sz w:val="20"/>
                <w:szCs w:val="20"/>
              </w:rPr>
              <w:t xml:space="preserve">Resultado</w:t>
            </w:r>
          </w:p>
        </w:tc>
      </w:tr>
      <w:tr>
        <w:tc>
          <w:tcPr>
            <w:tcW w:type="dxa" w:w="3000"/>
          </w:tcPr>
          <w:p>
            <w:pPr>
              <w:spacing w:after="0"/>
            </w:pPr>
            <w:r>
              <w:rPr>
                <w:rFonts w:ascii="Arial" w:cs="Arial" w:eastAsia="Arial" w:hAnsi="Arial"/>
                <w:b w:val="false"/>
                <w:bCs w:val="false"/>
                <w:sz w:val="20"/>
                <w:szCs w:val="20"/>
              </w:rPr>
              <w:t xml:space="preserve">Test exacto de Fisher</w:t>
            </w:r>
          </w:p>
        </w:tc>
        <w:tc>
          <w:tcPr>
            <w:tcW w:type="dxa" w:w="3000"/>
          </w:tcPr>
          <w:p>
            <w:pPr>
              <w:spacing w:after="0"/>
            </w:pPr>
            <w:r>
              <w:rPr>
                <w:rFonts w:ascii="Arial" w:cs="Arial" w:eastAsia="Arial" w:hAnsi="Arial"/>
                <w:b w:val="false"/>
                <w:bCs w:val="false"/>
                <w:sz w:val="20"/>
                <w:szCs w:val="20"/>
              </w:rPr>
              <w:t xml:space="preserve">Frecuencia de descartes erróneos</w:t>
            </w:r>
          </w:p>
        </w:tc>
        <w:tc>
          <w:tcPr>
            <w:tcW w:type="dxa" w:w="3000"/>
          </w:tcPr>
          <w:p>
            <w:pPr>
              <w:spacing w:after="0"/>
            </w:pPr>
            <w:r>
              <w:rPr>
                <w:rFonts w:ascii="Arial" w:cs="Arial" w:eastAsia="Arial" w:hAnsi="Arial"/>
                <w:b w:val="false"/>
                <w:bCs w:val="false"/>
                <w:sz w:val="20"/>
                <w:szCs w:val="20"/>
              </w:rPr>
              <w:t xml:space="preserve">p = 0,0191</w:t>
            </w:r>
          </w:p>
        </w:tc>
      </w:tr>
      <w:tr>
        <w:tc>
          <w:tcPr>
            <w:tcW w:type="dxa" w:w="3000"/>
          </w:tcPr>
          <w:p>
            <w:pPr>
              <w:spacing w:after="0"/>
            </w:pPr>
            <w:r>
              <w:rPr>
                <w:rFonts w:ascii="Arial" w:cs="Arial" w:eastAsia="Arial" w:hAnsi="Arial"/>
                <w:b w:val="false"/>
                <w:bCs w:val="false"/>
                <w:sz w:val="20"/>
                <w:szCs w:val="20"/>
              </w:rPr>
              <w:t xml:space="preserve">Wilcoxon pareado</w:t>
            </w:r>
          </w:p>
        </w:tc>
        <w:tc>
          <w:tcPr>
            <w:tcW w:type="dxa" w:w="3000"/>
          </w:tcPr>
          <w:p>
            <w:pPr>
              <w:spacing w:after="0"/>
            </w:pPr>
            <w:r>
              <w:rPr>
                <w:rFonts w:ascii="Arial" w:cs="Arial" w:eastAsia="Arial" w:hAnsi="Arial"/>
                <w:b w:val="false"/>
                <w:bCs w:val="false"/>
                <w:sz w:val="20"/>
                <w:szCs w:val="20"/>
              </w:rPr>
              <w:t xml:space="preserve">Efecto de dar autoridad sobre el recall</w:t>
            </w:r>
          </w:p>
        </w:tc>
        <w:tc>
          <w:tcPr>
            <w:tcW w:type="dxa" w:w="3000"/>
          </w:tcPr>
          <w:p>
            <w:pPr>
              <w:spacing w:after="0"/>
            </w:pPr>
            <w:r>
              <w:rPr>
                <w:rFonts w:ascii="Arial" w:cs="Arial" w:eastAsia="Arial" w:hAnsi="Arial"/>
                <w:b w:val="false"/>
                <w:bCs w:val="false"/>
                <w:sz w:val="20"/>
                <w:szCs w:val="20"/>
              </w:rPr>
              <w:t xml:space="preserve">p = 0,0235</w:t>
            </w:r>
          </w:p>
        </w:tc>
      </w:tr>
    </w:tbl>
    <w:p>
      <w:pPr>
        <w:spacing w:after="160"/>
      </w:pPr>
    </w:p>
    <w:p>
      <w:pPr>
        <w:spacing w:after="160" w:line="360" w:lineRule="auto"/>
        <w:ind w:firstLine="425"/>
        <w:jc w:val="both"/>
      </w:pPr>
      <w:r>
        <w:rPr>
          <w:rFonts w:ascii="Arial" w:cs="Arial" w:eastAsia="Arial" w:hAnsi="Arial"/>
          <w:sz w:val="22"/>
          <w:szCs w:val="22"/>
        </w:rPr>
        <w:t xml:space="preserve">A ello se añade la reproducibilidad. Con la misma entrada, el modelo menor produjo recalls de 0,60, 0,40 y 0,80; el mayor produjo resultados idénticos en las dieciséis ejecuciones del experimento sobre turnos reales, descartando exactamente los mismos casos. Un sistema antifraude que decide distinto ante el mismo caso es inauditable.</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5.10 Comparativa con modelos comerciales</w:t>
      </w:r>
    </w:p>
    <w:p>
      <w:pPr>
        <w:spacing w:after="160" w:line="360" w:lineRule="auto"/>
      </w:pPr>
      <w:r>
        <w:rPr>
          <w:rFonts w:ascii="Arial" w:cs="Arial" w:eastAsia="Arial" w:hAnsi="Arial"/>
          <w:i/>
          <w:iCs/>
          <w:color w:val="808080"/>
          <w:sz w:val="22"/>
          <w:szCs w:val="22"/>
        </w:rPr>
        <w:t xml:space="preserve">[PENDIENTE] Capítulo pendiente. Objetivo específico 4.</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pPr>
      <w:r>
        <w:rPr>
          <w:rFonts w:ascii="Arial" w:cs="Arial" w:eastAsia="Arial" w:hAnsi="Arial"/>
          <w:i/>
          <w:iCs/>
          <w:color w:val="808080"/>
          <w:sz w:val="22"/>
          <w:szCs w:val="22"/>
        </w:rPr>
        <w:t xml:space="preserve">[PENDIENTE] Redactar al cerrar los experimentos, objetivo por objetivo.</w:t>
      </w:r>
    </w:p>
    <w:p>
      <w:pPr>
        <w:pStyle w:val="Heading2"/>
        <w:spacing w:after="200" w:before="360"/>
      </w:pPr>
      <w:r>
        <w:rPr>
          <w:rFonts w:ascii="Arial" w:cs="Arial" w:eastAsia="Arial" w:hAnsi="Arial"/>
          <w:b/>
          <w:bCs/>
          <w:color w:val="000000"/>
          <w:sz w:val="26"/>
          <w:szCs w:val="26"/>
        </w:rPr>
        <w:t xml:space="preserve">6.2 Conclusiones principales</w:t>
      </w:r>
    </w:p>
    <w:p>
      <w:pPr>
        <w:spacing w:after="160" w:line="360" w:lineRule="auto"/>
      </w:pPr>
      <w:r>
        <w:rPr>
          <w:rFonts w:ascii="Arial" w:cs="Arial" w:eastAsia="Arial" w:hAnsi="Arial"/>
          <w:i/>
          <w:iCs/>
          <w:color w:val="808080"/>
          <w:sz w:val="22"/>
          <w:szCs w:val="22"/>
        </w:rPr>
        <w:t xml:space="preserve">[PENDIENTE] Desarrollar sobre estas cuatro, que son las que sostienen el trabajo.</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Existe un umbral de capacidad del modelo por debajo del cual delegarle autoridad de decisión degrada la detección, y es abrupto.</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La capa de agentes no mejora la capacidad de detección. La ablación del expediente muestra además que la puntuación del detector no le aporta capacidad de discriminar sino confianza para decidir, y que su reproducibilidad depende de recibir esa puntuación.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El cuello de botella del sistema es la capacidad de revisión del equipo, no el modelo de lenguaje.</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Los modos de fallo de un sistema de este tipo son silenciosos, lo que obliga a validar las salidas de forma programática.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0,833.</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ha realizado con un solo modelo, de modo que no puede afirmarse que la dependencia de la puntuación sea general a todos los modelos locales.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en la evaluación se solapan y no constituyen muestras independientes.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comparativa de arquitecturas de investigación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no está cuantificado.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pPr>
      <w:r>
        <w:rPr>
          <w:rFonts w:ascii="Arial" w:cs="Arial" w:eastAsia="Arial" w:hAnsi="Arial"/>
          <w:i/>
          <w:iCs/>
          <w:color w:val="808080"/>
          <w:sz w:val="22"/>
          <w:szCs w:val="22"/>
        </w:rPr>
        <w:t xml:space="preserve">[PENDIENTE] Desarrollar. La línea principal es la extensión a un dominio con contenido semántico, como transferencias o prevención de blanqueo de capitales, donde la capa de agentes dispondría de información que el detector no captura. La literatura respalda que los modelos de lenguaje rinden mejor cuando existe contexto semántico, de modo que la limitación observada aquí podría ser del dominio y no del enfoque.</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[PENDIENTE] Referencias sobre capacidad agéntica de modelos pequeños — ver docs/ESTADO_DEL_ARTE.md, sección 4.</w:t>
      </w:r>
    </w:p>
    <w:p>
      <w:pPr>
        <w:spacing w:after="160" w:line="360" w:lineRule="auto"/>
        <w:ind w:left="425" w:hanging="425"/>
      </w:pPr>
      <w:r>
        <w:rPr>
          <w:rFonts w:ascii="Arial" w:cs="Arial" w:eastAsia="Arial" w:hAnsi="Arial"/>
          <w:sz w:val="22"/>
          <w:szCs w:val="22"/>
        </w:rPr>
        <w:t xml:space="preserve">[PENDIENTE] Referencias sobre fuga de información en detección de fraude — ver docs/ESTADO_DEL_ARTE.md, sección 2.</w:t>
      </w:r>
    </w:p>
    <w:p>
      <w:pPr>
        <w:spacing w:after="160" w:line="360" w:lineRule="auto"/>
        <w:ind w:left="425" w:hanging="425"/>
      </w:pPr>
      <w:r>
        <w:rPr>
          <w:rFonts w:ascii="Arial" w:cs="Arial" w:eastAsia="Arial" w:hAnsi="Arial"/>
          <w:sz w:val="22"/>
          <w:szCs w:val="22"/>
        </w:rPr>
        <w:t xml:space="preserve">[PENDIENTE] Referencias sobre modelos de lenguaje para explicabilidad — ver docs/ESTADO_DEL_ARTE.md, sección 5.</w:t>
      </w:r>
    </w:p>
    <w:p>
      <w:pPr>
        <w:spacing w:after="160" w:line="360" w:lineRule="auto"/>
        <w:ind w:left="425" w:hanging="425"/>
      </w:pPr>
      <w:r>
        <w:rPr>
          <w:rFonts w:ascii="Arial" w:cs="Arial" w:eastAsia="Arial" w:hAnsi="Arial"/>
          <w:sz w:val="22"/>
          <w:szCs w:val="22"/>
        </w:rPr>
        <w:t xml:space="preserve">[PENDIENTE] Referencias sobre modelos de lenguaje y datos tabulares — ver docs/ESTADO_DEL_ARTE.md, sección 3.</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pPr>
      <w:r>
        <w:rPr>
          <w:rFonts w:ascii="Arial" w:cs="Arial" w:eastAsia="Arial" w:hAnsi="Arial"/>
          <w:i/>
          <w:iCs/>
          <w:color w:val="808080"/>
          <w:sz w:val="22"/>
          <w:szCs w:val="22"/>
        </w:rPr>
        <w:t xml:space="preserve">[PENDIENTE] Redactar a partir del README del repositorio.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pPr>
      <w:r>
        <w:rPr>
          <w:rFonts w:ascii="Arial" w:cs="Arial" w:eastAsia="Arial" w:hAnsi="Arial"/>
          <w:i/>
          <w:iCs/>
          <w:color w:val="808080"/>
          <w:sz w:val="22"/>
          <w:szCs w:val="22"/>
        </w:rPr>
        <w:t xml:space="preserve">[PENDIENTE] Recopilar términos de aprendizaje automático y de modelos de lenguaje empleados en la memoria.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2026-08-02T10:05:38.723Z</dcterms:created>
  <dcterms:modified xsi:type="dcterms:W3CDTF">2026-08-02T10:05:38.723Z</dcterms:modified>
</cp:coreProperties>
</file>

<file path=docProps/custom.xml><?xml version="1.0" encoding="utf-8"?>
<Properties xmlns="http://schemas.openxmlformats.org/officeDocument/2006/custom-properties" xmlns:vt="http://schemas.openxmlformats.org/officeDocument/2006/docPropsVTypes"/>
</file>