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60 h (estimación)</w:t>
            </w:r>
          </w:p>
        </w:tc>
        <w:tc>
          <w:tcPr>
            <w:tcW w:type="dxa" w:w="1800"/>
          </w:tcPr>
          <w:p>
            <w:pPr>
              <w:spacing w:after="0"/>
            </w:pPr>
            <w:r>
              <w:rPr>
                <w:rFonts w:ascii="Arial" w:cs="Arial" w:eastAsia="Arial" w:hAnsi="Arial"/>
                <w:b w:val="false"/>
                <w:bCs w:val="false"/>
                <w:sz w:val="20"/>
                <w:szCs w:val="20"/>
              </w:rPr>
              <w:t xml:space="preserve">Demostrador web, 19 capturas, dataset Sparkov, ajuste QLoRA, comparativa con AirLLM</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15 h (estimación)</w:t>
            </w:r>
          </w:p>
        </w:tc>
        <w:tc>
          <w:tcPr>
            <w:tcW w:type="dxa" w:w="1800"/>
          </w:tcPr>
          <w:p>
            <w:pPr>
              <w:spacing w:after="0"/>
            </w:pPr>
            <w:r>
              <w:rPr>
                <w:rFonts w:ascii="Arial" w:cs="Arial" w:eastAsia="Arial" w:hAnsi="Arial"/>
                <w:b w:val="false"/>
                <w:bCs w:val="false"/>
                <w:sz w:val="20"/>
                <w:szCs w:val="20"/>
              </w:rPr>
              <w:t xml:space="preserve">Redacción y revisión de la memoria: capítulo 4 reescrito, secciones 5.13 y 5.14, capítulo 6 revisado dos veces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**125**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226 h**</w:t>
            </w:r>
          </w:p>
        </w:tc>
        <w:tc>
          <w:tcPr>
            <w:tcW w:type="dxa" w:w="1800"/>
          </w:tcPr>
          <w:p>
            <w:pPr>
              <w:spacing w:after="0"/>
            </w:pPr>
            <w:r>
              <w:rPr>
                <w:rFonts w:ascii="Arial" w:cs="Arial" w:eastAsia="Arial" w:hAnsi="Arial"/>
                <w:b w:val="false"/>
                <w:bCs w:val="false"/>
                <w:sz w:val="20"/>
                <w:szCs w:val="20"/>
              </w:rPr>
              <w:t xml:space="preserve">**≥ 75 %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spacing w:after="160" w:line="360" w:lineRule="auto"/>
        <w:ind w:firstLine="425"/>
        <w:jc w:val="both"/>
      </w:pPr>
      <w:r>
        <w:rPr>
          <w:rFonts w:ascii="Arial" w:cs="Arial" w:eastAsia="Arial" w:hAnsi="Arial"/>
          <w:sz w:val="22"/>
          <w:szCs w:val="22"/>
        </w:rPr>
        <w:t xml:space="preserve">El tramo del 15 al 30 de agosto no se reconstruye con el mismo detalle que los anteriores: la evidencia documental (commits del 18, 20, 21, 25 y 26 de agosto; entrenamiento QLoRA de 29,6 horas, con dos apagones del equipo de por medio; ejecución de AirLLM de 2 h 28 min) confirma en qué días hubo trabajo, pero no cuántas horas activas exactamente, y de ese entrenamiento y esa ejecución la mayor parte fue cómputo desatendido y no dedicación. Las cifras de 60 y 15 horas son estimaciones propias a la baja, no una reconstrucción a partir de registros; se reportan por separado porque cubren trabajo de naturaleza distinta —ejecución técnica frente a redacción y revisión del texto— aunque ambas caen en el mismo periodo de calendario.</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4.8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80" w:befor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657475"/>
                    </a:xfrm>
                    <a:prstGeom prst="rect">
                      <a:avLst/>
                    </a:prstGeom>
                  </pic:spPr>
                </pic:pic>
              </a:graphicData>
            </a:graphic>
          </wp:inline>
        </w:drawing>
      </w:r>
    </w:p>
    <w:p>
      <w:pPr>
        <w:spacing w:after="240"/>
        <w:jc w:val="center"/>
      </w:pPr>
      <w:r>
        <w:rPr>
          <w:i/>
          <w:iCs/>
          <w:sz w:val="20"/>
          <w:szCs w:val="20"/>
        </w:rPr>
        <w:t xml:space="preserve">Figura 21. Ejecución con AirLLM en curso junto a nvidia-smi: memoria de vídeo casi vacía (1,7 de 16 GB) y utilización de GPU de un solo dígito. La consola no imprime nada nuevo hasta que el caso termina —es una única llamada bloqueante de casi dos horas y media—, por lo que se ve la misma traza de carga de capas aunque el proceso ya esté generando; la evidencia es la utilización de nvidia-smi, no el texto de la consola.</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22.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23.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 A., Zhao, Y., Qiu, C., Kloft, M., Smyth, P., Rudolph, M., &amp; Mandt, S. (2024). Anomaly Detection of Tabular Data Using LLMs. arXiv:2406.16308.</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24.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25.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9650882ce3bff5ab96b2293773da8a83bdd3e419.undefined"/><Relationship Id="rId30" Type="http://schemas.openxmlformats.org/officeDocument/2006/relationships/image" Target="media/a80073e287482b324a824f92247d68a6a964b84d.undefined"/><Relationship Id="rId31" Type="http://schemas.openxmlformats.org/officeDocument/2006/relationships/image" Target="media/d682c3a07272ade658918fe78be6cc337a30c1a1.undefined"/><Relationship Id="rId32" Type="http://schemas.openxmlformats.org/officeDocument/2006/relationships/image" Target="media/9b5b41875f85b8320587bd4ae0a413dd1043647a.undefined"/><Relationship Id="rId33" Type="http://schemas.openxmlformats.org/officeDocument/2006/relationships/image" Target="media/41df8aee3fdd86aeed79be20e5e3a348d5de5cba.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2026-08-30T12:04:30.820Z</dcterms:created>
  <dcterms:modified xsi:type="dcterms:W3CDTF">2026-08-30T12:04:30.824Z</dcterms:modified>
</cp:coreProperties>
</file>

<file path=docProps/custom.xml><?xml version="1.0" encoding="utf-8"?>
<Properties xmlns="http://schemas.openxmlformats.org/officeDocument/2006/custom-properties" xmlns:vt="http://schemas.openxmlformats.org/officeDocument/2006/docPropsVTypes"/>
</file>