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**109**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**151 h**</w:t>
            </w:r>
          </w:p>
        </w:tc>
        <w:tc>
          <w:tcPr>
            <w:tcW w:type="dxa" w:w="1800"/>
          </w:tcPr>
          <w:p>
            <w:pPr>
              <w:spacing w:after="0"/>
            </w:pPr>
            <w:r>
              <w:rPr>
                <w:rFonts w:ascii="Arial" w:cs="Arial" w:eastAsia="Arial" w:hAnsi="Arial"/>
                <w:b w:val="false"/>
                <w:bCs w:val="false"/>
                <w:sz w:val="20"/>
                <w:szCs w:val="20"/>
              </w:rPr>
              <w:t xml:space="preserve">**50 %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4.8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4.7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spacing w:after="80" w:before="240"/>
        <w:jc w:val="center"/>
      </w:pPr>
      <w:r>
        <w:drawing>
          <wp:inline distT="0" distB="0" distL="0" distR="0">
            <wp:extent cx="54006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2657475"/>
                    </a:xfrm>
                    <a:prstGeom prst="rect">
                      <a:avLst/>
                    </a:prstGeom>
                  </pic:spPr>
                </pic:pic>
              </a:graphicData>
            </a:graphic>
          </wp:inline>
        </w:drawing>
      </w:r>
    </w:p>
    <w:p>
      <w:pPr>
        <w:spacing w:after="240"/>
        <w:jc w:val="center"/>
      </w:pPr>
      <w:r>
        <w:rPr>
          <w:i/>
          <w:iCs/>
          <w:sz w:val="20"/>
          <w:szCs w:val="20"/>
        </w:rPr>
        <w:t xml:space="preserve">Figura 21. Ejecución con AirLLM en curso junto a nvidia-smi: memoria de vídeo casi vacía (1,7 de 16 GB) y utilización de GPU de un solo dígito. La consola no imprime nada nuevo hasta que el caso termina —es una única llamada bloqueante de casi dos horas y media—, por lo que se ve la misma traza de carga de capas aunque el proceso ya esté generando; la evidencia es la utilización de nvidia-smi, no el texto de la consola.</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22.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23.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Anomaly Detection of Tabular Data Using LLMs (2024). arXiv:2406.16308. [Completar autores desde arxiv.org/abs/2406.16308 antes de entregar: no se han verificado.]</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80" w:before="240"/>
        <w:jc w:val="center"/>
      </w:pPr>
      <w:r>
        <w:drawing>
          <wp:inline distT="0" distB="0" distL="0" distR="0">
            <wp:extent cx="54006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4324350"/>
                    </a:xfrm>
                    <a:prstGeom prst="rect">
                      <a:avLst/>
                    </a:prstGeom>
                  </pic:spPr>
                </pic:pic>
              </a:graphicData>
            </a:graphic>
          </wp:inline>
        </w:drawing>
      </w:r>
    </w:p>
    <w:p>
      <w:pPr>
        <w:spacing w:after="240"/>
        <w:jc w:val="center"/>
      </w:pPr>
      <w:r>
        <w:rPr>
          <w:i/>
          <w:iCs/>
          <w:sz w:val="20"/>
          <w:szCs w:val="20"/>
        </w:rPr>
        <w:t xml:space="preserve">Figura 24. Estructura del repositorio. En azul el código determinista de la capa 1, en rojo el estocástico de la capa 2, en verde los guiones de experimentación, en gris los datos y la documentación.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25.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9650882ce3bff5ab96b2293773da8a83bdd3e419.undefined"/><Relationship Id="rId30" Type="http://schemas.openxmlformats.org/officeDocument/2006/relationships/image" Target="media/a80073e287482b324a824f92247d68a6a964b84d.undefined"/><Relationship Id="rId31" Type="http://schemas.openxmlformats.org/officeDocument/2006/relationships/image" Target="media/d682c3a07272ade658918fe78be6cc337a30c1a1.undefined"/><Relationship Id="rId32" Type="http://schemas.openxmlformats.org/officeDocument/2006/relationships/image" Target="media/9b5b41875f85b8320587bd4ae0a413dd1043647a.undefined"/><Relationship Id="rId33" Type="http://schemas.openxmlformats.org/officeDocument/2006/relationships/image" Target="media/41df8aee3fdd86aeed79be20e5e3a348d5de5cba.undefined"/><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2026-08-30T10:05:02.860Z</dcterms:created>
  <dcterms:modified xsi:type="dcterms:W3CDTF">2026-08-30T10:05:02.863Z</dcterms:modified>
</cp:coreProperties>
</file>

<file path=docProps/custom.xml><?xml version="1.0" encoding="utf-8"?>
<Properties xmlns="http://schemas.openxmlformats.org/officeDocument/2006/custom-properties" xmlns:vt="http://schemas.openxmlformats.org/officeDocument/2006/docPropsVTypes"/>
</file>