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[PENDIENTE] Revisar el resumen al cerrar los experimentos y ajustar las cifras finales.</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[PENDIENTE] Revisar tras cerrar los experimentos.</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pPr>
      <w:r>
        <w:rPr>
          <w:rFonts w:ascii="Arial" w:cs="Arial" w:eastAsia="Arial" w:hAnsi="Arial"/>
          <w:i/>
          <w:iCs/>
          <w:color w:val="808080"/>
          <w:sz w:val="22"/>
          <w:szCs w:val="22"/>
        </w:rPr>
        <w:t xml:space="preserve">[PENDIENTE] Citar dos o tres trabajos concretos del extremo alto de la horquilla, con sus referencias completas, tras haberlos leído. Ver docs/ESTADO_DEL_ARTE.md, sección 2.</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Dos trabajos recientes documentan el fenómeno con detalle y ambos se han consultado en su totalidad para esta memoria.</w:t>
      </w:r>
    </w:p>
    <w:p>
      <w:pPr>
        <w:spacing w:after="160" w:line="360" w:lineRule="auto"/>
        <w:ind w:firstLine="425"/>
        <w:jc w:val="both"/>
      </w:pPr>
      <w:r>
        <w:rPr>
          <w:rFonts w:ascii="Arial" w:cs="Arial" w:eastAsia="Arial" w:hAnsi="Arial"/>
          <w:sz w:val="22"/>
          <w:szCs w:val="22"/>
        </w:rPr>
        <w:t xml:space="preserve">Kabane (2024) compara el mismo modelo de refuerzo de gradiente bajo tres regímenes sobre este conjunto de datos: sin tratamiento del desbalanceo, con remuestreo aplicado únicamente al conjunto de entrenamiento y con remuestreo aplicado antes de dividir. En el tercer caso el modelo alcanza un 99,969 % de exactitud, un 99,938 % de precisión y un </w:t>
      </w:r>
      <w:r>
        <w:rPr>
          <w:rFonts w:ascii="Arial" w:cs="Arial" w:eastAsia="Arial" w:hAnsi="Arial"/>
          <w:b/>
          <w:bCs/>
          <w:sz w:val="22"/>
          <w:szCs w:val="22"/>
        </w:rPr>
        <w:t xml:space="preserve">100 % de exhaustividad</w:t>
      </w:r>
      <w:r>
        <w:rPr>
          <w:rFonts w:ascii="Arial" w:cs="Arial" w:eastAsia="Arial" w:hAnsi="Arial"/>
          <w:sz w:val="22"/>
          <w:szCs w:val="22"/>
        </w:rPr>
        <w:t xml:space="preserve">. Sus propios experimentos sin fuga, en cambio, se sitúan en torno al 96,5 % de precisión y el 91,5 % de exhaustividad, valores que el autor califica de razonables y que son notablemente inferiores.</w:t>
      </w:r>
    </w:p>
    <w:p>
      <w:pPr>
        <w:spacing w:after="160" w:line="360" w:lineRule="auto"/>
        <w:ind w:firstLine="425"/>
        <w:jc w:val="both"/>
      </w:pPr>
      <w:r>
        <w:rPr>
          <w:rFonts w:ascii="Arial" w:cs="Arial" w:eastAsia="Arial" w:hAnsi="Arial"/>
          <w:sz w:val="22"/>
          <w:szCs w:val="22"/>
        </w:rPr>
        <w:t xml:space="preserve">Magnier (2025) lleva el argumento más lejos mediante una demostración deliberada. Construye un perceptrón multicapa al que va retirando complejidad hasta dejarlo sin ninguna capa oculta, es decir, en una única neurona de salida, manteniendo en cambio la fuga por remuestreo previo a la división. Esa configuración mínima obtiene un 94 % de exhaustividad y un 97,6 % de precisión, y al reintroducir una capa oculta con hasta dieciséis neuronas alcanza el 99,9 % de exhaustividad. Su conclusión es que </w:t>
      </w:r>
      <w:r>
        <w:rPr>
          <w:rFonts w:ascii="Arial" w:cs="Arial" w:eastAsia="Arial" w:hAnsi="Arial"/>
          <w:b/>
          <w:bCs/>
          <w:sz w:val="22"/>
          <w:szCs w:val="22"/>
        </w:rPr>
        <w:t xml:space="preserve">la fuga de información aporta más rendimiento aparente que la sofisticación arquitectónica</w:t>
      </w:r>
      <w:r>
        <w:rPr>
          <w:rFonts w:ascii="Arial" w:cs="Arial" w:eastAsia="Arial" w:hAnsi="Arial"/>
          <w:sz w:val="22"/>
          <w:szCs w:val="22"/>
        </w:rPr>
        <w:t xml:space="preserve">, y que un solo neurón mal evaluado supera a modelos profundos correctamente evaluados.</w:t>
      </w:r>
    </w:p>
    <w:p>
      <w:pPr>
        <w:spacing w:after="160" w:line="360" w:lineRule="auto"/>
        <w:ind w:firstLine="425"/>
        <w:jc w:val="both"/>
      </w:pPr>
      <w:r>
        <w:rPr>
          <w:rFonts w:ascii="Arial" w:cs="Arial" w:eastAsia="Arial" w:hAnsi="Arial"/>
          <w:sz w:val="22"/>
          <w:szCs w:val="22"/>
        </w:rPr>
        <w:t xml:space="preserve">El mismo trabajo identifica cuatro problemas recurrentes en esta literatura: la fuga derivada del orden del preprocesamiento, la vaguedad deliberada al describir la metodología, la validación temporal insuficiente para datos de transacciones y la manipulación de métricas mediante la optimización de la exhaustividad a costa de la precisión. Los cuatro son directamente aplicables al diseño de este trabajo, y los cuatro se han tenido en cuenta de forma explícita, como se detalla en el capítulo 4.</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ind w:firstLine="425"/>
        <w:jc w:val="both"/>
      </w:pPr>
      <w:r>
        <w:rPr>
          <w:rFonts w:ascii="Arial" w:cs="Arial" w:eastAsia="Arial" w:hAnsi="Arial"/>
          <w:sz w:val="22"/>
          <w:szCs w:val="22"/>
        </w:rPr>
        <w:t xml:space="preserve">Existe una línea de trabajo que examina si un modelo de lenguaje puede detectar anomalías directamente sobre datos tabulares, sin entrenamiento específico para la distribución.</w:t>
      </w:r>
    </w:p>
    <w:p>
      <w:pPr>
        <w:spacing w:after="160" w:line="360" w:lineRule="auto"/>
        <w:ind w:firstLine="425"/>
        <w:jc w:val="both"/>
      </w:pPr>
      <w:r>
        <w:rPr>
          <w:rFonts w:ascii="Arial" w:cs="Arial" w:eastAsia="Arial" w:hAnsi="Arial"/>
          <w:sz w:val="22"/>
          <w:szCs w:val="22"/>
        </w:rPr>
        <w:t xml:space="preserve">Su resultado principal conviene enunciarlo con cuidado, porque es más favorable a los modelos de lenguaje de lo que suele suponerse. Los autores encuentran que un modelo preentrenado de gran capacidad actúa como detector de anomalías a nivel de lote sin ajuste alguno, identificando regiones de baja densidad, y que </w:t>
      </w:r>
      <w:r>
        <w:rPr>
          <w:rFonts w:ascii="Arial" w:cs="Arial" w:eastAsia="Arial" w:hAnsi="Arial"/>
          <w:b/>
          <w:bCs/>
          <w:sz w:val="22"/>
          <w:szCs w:val="22"/>
        </w:rPr>
        <w:t xml:space="preserve">su rendimiento resulta comparable al de los métodos especializados</w:t>
      </w:r>
      <w:r>
        <w:rPr>
          <w:rFonts w:ascii="Arial" w:cs="Arial" w:eastAsia="Arial" w:hAnsi="Arial"/>
          <w:sz w:val="22"/>
          <w:szCs w:val="22"/>
        </w:rPr>
        <w:t xml:space="preserve"> de aprendizaje transductivo sobre un banco de pruebas amplio. No se trata, por tanto, de que los modelos de lenguaje queden claramente por detrás en el régimen numérico.</w:t>
      </w:r>
    </w:p>
    <w:p>
      <w:pPr>
        <w:spacing w:after="160" w:line="360" w:lineRule="auto"/>
      </w:pPr>
      <w:r>
        <w:rPr>
          <w:rFonts w:ascii="Arial" w:cs="Arial" w:eastAsia="Arial" w:hAnsi="Arial"/>
          <w:i/>
          <w:iCs/>
          <w:color w:val="808080"/>
          <w:sz w:val="22"/>
          <w:szCs w:val="22"/>
        </w:rPr>
        <w:t xml:space="preserve">[PENDIENTE] De este trabajo se ha consultado únicamente el resumen. Antes de darle el peso que aquí tiene hay que leerlo completo y comprobar sobre qué conjuntos concretos se obtiene esa equivalencia y con qué modelo, porque la afirmación tal como está redactada es fuerte.</w:t>
      </w:r>
    </w:p>
    <w:p>
      <w:pPr>
        <w:spacing w:after="160" w:line="360" w:lineRule="auto"/>
        <w:ind w:firstLine="425"/>
        <w:jc w:val="both"/>
      </w:pPr>
      <w:r>
        <w:rPr>
          <w:rFonts w:ascii="Arial" w:cs="Arial" w:eastAsia="Arial" w:hAnsi="Arial"/>
          <w:sz w:val="22"/>
          <w:szCs w:val="22"/>
        </w:rPr>
        <w:t xml:space="preserve">La diferencia con este trabajo no está, pues, en el resultado sino en el planteamiento. Esa línea pone al modelo de lenguaje a </w:t>
      </w:r>
      <w:r>
        <w:rPr>
          <w:rFonts w:ascii="Arial" w:cs="Arial" w:eastAsia="Arial" w:hAnsi="Arial"/>
          <w:b/>
          <w:bCs/>
          <w:sz w:val="22"/>
          <w:szCs w:val="22"/>
        </w:rPr>
        <w:t xml:space="preserve">competir</w:t>
      </w:r>
      <w:r>
        <w:rPr>
          <w:rFonts w:ascii="Arial" w:cs="Arial" w:eastAsia="Arial" w:hAnsi="Arial"/>
          <w:sz w:val="22"/>
          <w:szCs w:val="22"/>
        </w:rPr>
        <w:t xml:space="preserve"> con el modelo tabular sobre la misma tarea de clasificación. Aquí el modelo de lenguaje no clasifica: opera </w:t>
      </w:r>
      <w:r>
        <w:rPr>
          <w:rFonts w:ascii="Arial" w:cs="Arial" w:eastAsia="Arial" w:hAnsi="Arial"/>
          <w:b/>
          <w:bCs/>
          <w:sz w:val="22"/>
          <w:szCs w:val="22"/>
        </w:rPr>
        <w:t xml:space="preserve">por encima</w:t>
      </w:r>
      <w:r>
        <w:rPr>
          <w:rFonts w:ascii="Arial" w:cs="Arial" w:eastAsia="Arial" w:hAnsi="Arial"/>
          <w:sz w:val="22"/>
          <w:szCs w:val="22"/>
        </w:rPr>
        <w:t xml:space="preserve"> de un detector ya entrenado, sobre los casos que este ha elevado, y lo que se mide es si su intervención añade o resta. Son preguntas distintas, y la segunda está mucho menos estudiada.</w:t>
      </w:r>
    </w:p>
    <w:p>
      <w:pPr>
        <w:spacing w:after="160" w:line="360" w:lineRule="auto"/>
      </w:pPr>
      <w:r>
        <w:rPr>
          <w:rFonts w:ascii="Arial" w:cs="Arial" w:eastAsia="Arial" w:hAnsi="Arial"/>
          <w:i/>
          <w:iCs/>
          <w:color w:val="808080"/>
          <w:sz w:val="22"/>
          <w:szCs w:val="22"/>
        </w:rPr>
        <w:t xml:space="preserve">[PENDIENTE] Localizar y leer al menos un trabajo que sitúe explícitamente el rendimiento de los modelos de lenguaje en función de la disponibilidad de contexto semántico. Es la referencia que sostendría la línea de trabajo futuro hacia dominios como SEPA o prevención de blanqueo, y sin ella esa propuesta queda apoyada solo en el razonamiento propio.</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pPr>
      <w:r>
        <w:rPr>
          <w:rFonts w:ascii="Arial" w:cs="Arial" w:eastAsia="Arial" w:hAnsi="Arial"/>
          <w:i/>
          <w:iCs/>
          <w:color w:val="808080"/>
          <w:sz w:val="22"/>
          <w:szCs w:val="22"/>
        </w:rPr>
        <w:t xml:space="preserve">[PENDIENTE] Redactar a partir de docs/ESTADO_DEL_ARTE.md, sección 4. La literatura identifica en torno a siete mil millones de parámetros un umbral de competencia técnica para la invocación de herramientas. Este trabajo mide un umbral distinto: no si el modelo sabe operar el sistema, sino si se le puede delegar autoridad de decisión sin degradarlo. Ambos modelos evaluados superan el umbral técnico y solo uno supera el de fiabilidad.</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pPr>
      <w:r>
        <w:rPr>
          <w:rFonts w:ascii="Arial" w:cs="Arial" w:eastAsia="Arial" w:hAnsi="Arial"/>
          <w:i/>
          <w:iCs/>
          <w:color w:val="808080"/>
          <w:sz w:val="22"/>
          <w:szCs w:val="22"/>
        </w:rPr>
        <w:t xml:space="preserve">[PENDIENTE] Redactar a partir de docs/ESTADO_DEL_ARTE.md, sección 5. La literatura de inteligencia artificial explicable establece que al modelo de lenguaje no debe pedírsele que explique la decisión, sino únicamente que verbalice la salida de un método de explicación, para evitar explicaciones infieles. Este trabajo mide experimentalmente el coste de saltarse ese principio.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pPr>
      <w:r>
        <w:rPr>
          <w:rFonts w:ascii="Arial" w:cs="Arial" w:eastAsia="Arial" w:hAnsi="Arial"/>
          <w:i/>
          <w:iCs/>
          <w:color w:val="808080"/>
          <w:sz w:val="22"/>
          <w:szCs w:val="22"/>
        </w:rPr>
        <w:t xml:space="preserve">[PENDIENTE] Redactar a partir de docs/ESTADO_DEL_ARTE.md, sección 6. Verificar antes de afirmar que las propuestas existentes se evalúan poco frente a una línea base sin modelo de lenguaje.</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pPr>
      <w:r>
        <w:rPr>
          <w:rFonts w:ascii="Arial" w:cs="Arial" w:eastAsia="Arial" w:hAnsi="Arial"/>
          <w:i/>
          <w:iCs/>
          <w:color w:val="808080"/>
          <w:sz w:val="22"/>
          <w:szCs w:val="22"/>
        </w:rPr>
        <w:t xml:space="preserve">[PENDIENTE] Cerrar con la tabla de posicionamiento de docs/ESTADO_DEL_ARTE.md, sección 7.</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pPr>
      <w:r>
        <w:rPr>
          <w:rFonts w:ascii="Arial" w:cs="Arial" w:eastAsia="Arial" w:hAnsi="Arial"/>
          <w:i/>
          <w:iCs/>
          <w:color w:val="808080"/>
          <w:sz w:val="22"/>
          <w:szCs w:val="22"/>
        </w:rPr>
        <w:t xml:space="preserve">[PENDIENTE] Insertar el diagrama de Gantt de la planificación prevista.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Observaciones</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Definición y montaje del entorno</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prácticas</w:t>
            </w:r>
          </w:p>
        </w:tc>
      </w:tr>
      <w:tr>
        <w:tc>
          <w:tcPr>
            <w:tcW w:type="dxa" w:w="1800"/>
          </w:tcPr>
          <w:p>
            <w:pPr>
              <w:spacing w:after="0"/>
            </w:pPr>
            <w:r>
              <w:rPr>
                <w:rFonts w:ascii="Arial" w:cs="Arial" w:eastAsia="Arial" w:hAnsi="Arial"/>
                <w:b w:val="false"/>
                <w:bCs w:val="false"/>
                <w:sz w:val="20"/>
                <w:szCs w:val="20"/>
              </w:rPr>
              <w:t xml:space="preserve">7 jul – 31 jul</w:t>
            </w:r>
          </w:p>
        </w:tc>
        <w:tc>
          <w:tcPr>
            <w:tcW w:type="dxa" w:w="1800"/>
          </w:tcPr>
          <w:p>
            <w:pPr>
              <w:spacing w:after="0"/>
            </w:pPr>
            <w:r>
              <w:rPr>
                <w:rFonts w:ascii="Arial" w:cs="Arial" w:eastAsia="Arial" w:hAnsi="Arial"/>
                <w:b w:val="false"/>
                <w:bCs w:val="false"/>
                <w:sz w:val="20"/>
                <w:szCs w:val="20"/>
              </w:rPr>
              <w:t xml:space="preserve">25</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87 h</w:t>
            </w:r>
          </w:p>
        </w:tc>
        <w:tc>
          <w:tcPr>
            <w:tcW w:type="dxa" w:w="1800"/>
          </w:tcPr>
          <w:p>
            <w:pPr>
              <w:spacing w:after="0"/>
            </w:pPr>
            <w:r>
              <w:rPr>
                <w:rFonts w:ascii="Arial" w:cs="Arial" w:eastAsia="Arial" w:hAnsi="Arial"/>
                <w:b w:val="false"/>
                <w:bCs w:val="false"/>
                <w:sz w:val="20"/>
                <w:szCs w:val="20"/>
              </w:rPr>
              <w:t xml:space="preserve">Desarrollo, bloqueo y reorientación</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95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92 h</w:t>
            </w:r>
          </w:p>
        </w:tc>
        <w:tc>
          <w:tcPr>
            <w:tcW w:type="dxa" w:w="1800"/>
          </w:tcPr>
          <w:p>
            <w:pPr>
              <w:spacing w:after="0"/>
            </w:pPr>
            <w:r>
              <w:rPr>
                <w:rFonts w:ascii="Arial" w:cs="Arial" w:eastAsia="Arial" w:hAnsi="Arial"/>
                <w:b w:val="false"/>
                <w:bCs w:val="false"/>
                <w:sz w:val="20"/>
                <w:szCs w:val="20"/>
              </w:rPr>
              <w:t xml:space="preserve">31 %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 interrupción de mayo y junio fue una decisión de gestión consciente. Su consecuencia, en cambio, no fue menor: retrasó hasta julio la detección del problema de infraestructura. De haberse trabajado sobre SAP en mayo, el fallo se habría manifestado con cuatro meses de margen en lugar de con doce semanas.</w:t>
      </w:r>
    </w:p>
    <w:p>
      <w:pPr>
        <w:pStyle w:val="Heading2"/>
        <w:spacing w:after="200" w:before="360"/>
      </w:pPr>
      <w:r>
        <w:rPr>
          <w:rFonts w:ascii="Arial" w:cs="Arial" w:eastAsia="Arial" w:hAnsi="Arial"/>
          <w:b/>
          <w:bCs/>
          <w:color w:val="000000"/>
          <w:sz w:val="26"/>
          <w:szCs w:val="26"/>
        </w:rPr>
        <w:t xml:space="preserve">3.7 Plan hasta el cierre</w:t>
      </w:r>
    </w:p>
    <w:p>
      <w:pPr>
        <w:spacing w:after="160" w:line="360" w:lineRule="auto"/>
      </w:pPr>
      <w:r>
        <w:rPr>
          <w:rFonts w:ascii="Arial" w:cs="Arial" w:eastAsia="Arial" w:hAnsi="Arial"/>
          <w:i/>
          <w:iCs/>
          <w:color w:val="808080"/>
          <w:sz w:val="22"/>
          <w:szCs w:val="22"/>
        </w:rPr>
        <w:t xml:space="preserve">[PENDIENTE] Insertar el diagrama de Gantt del plan restante.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 e Isolation Forest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Turno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Debe declararse que el periodo de prueba dura menos de ocho horas, de modo que turnos de cuatro horas con desplazamientos distintos se solapan parcialmente y no constituyen muestras independientes.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Seguimiento del desarrollo</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p>
      <w:pPr>
        <w:spacing w:after="160" w:line="360" w:lineRule="auto"/>
      </w:pPr>
      <w:r>
        <w:rPr>
          <w:rFonts w:ascii="Arial" w:cs="Arial" w:eastAsia="Arial" w:hAnsi="Arial"/>
          <w:i/>
          <w:iCs/>
          <w:color w:val="808080"/>
          <w:sz w:val="22"/>
          <w:szCs w:val="22"/>
        </w:rPr>
        <w:t xml:space="preserve">[PENDIENTE] Añadir las fases posteriores: comparativa con Random Forest, ablación del expediente y comparativa de modelos sobre turnos reales.</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del sistema</w:t>
            </w:r>
          </w:p>
        </w:tc>
        <w:tc>
          <w:tcPr>
            <w:tcW w:type="dxa" w:w="1500"/>
            <w:shd w:fill="D9D9D9" w:val="clear"/>
          </w:tcPr>
          <w:p>
            <w:pPr>
              <w:spacing w:after="0"/>
            </w:pPr>
            <w:r>
              <w:rPr>
                <w:rFonts w:ascii="Arial" w:cs="Arial" w:eastAsia="Arial" w:hAnsi="Arial"/>
                <w:b/>
                <w:bCs/>
                <w:sz w:val="20"/>
                <w:szCs w:val="20"/>
              </w:rPr>
              <w:t xml:space="preserve">Fraude destruido</w:t>
            </w:r>
          </w:p>
        </w:tc>
        <w:tc>
          <w:tcPr>
            <w:tcW w:type="dxa" w:w="1500"/>
            <w:shd w:fill="D9D9D9" w:val="clear"/>
          </w:tcPr>
          <w:p>
            <w:pPr>
              <w:spacing w:after="0"/>
            </w:pPr>
            <w:r>
              <w:rPr>
                <w:rFonts w:ascii="Arial" w:cs="Arial" w:eastAsia="Arial" w:hAnsi="Arial"/>
                <w:b/>
                <w:bCs/>
                <w:sz w:val="20"/>
                <w:szCs w:val="20"/>
              </w:rPr>
              <w:t xml:space="preserve">Ejecuciones con daño</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0,732</w:t>
            </w:r>
          </w:p>
        </w:tc>
        <w:tc>
          <w:tcPr>
            <w:tcW w:type="dxa" w:w="1500"/>
          </w:tcPr>
          <w:p>
            <w:pPr>
              <w:spacing w:after="0"/>
            </w:pPr>
            <w:r>
              <w:rPr>
                <w:rFonts w:ascii="Arial" w:cs="Arial" w:eastAsia="Arial" w:hAnsi="Arial"/>
                <w:b w:val="false"/>
                <w:bCs w:val="false"/>
                <w:sz w:val="20"/>
                <w:szCs w:val="20"/>
              </w:rPr>
              <w:t xml:space="preserve">37</w:t>
            </w:r>
          </w:p>
        </w:tc>
        <w:tc>
          <w:tcPr>
            <w:tcW w:type="dxa" w:w="1500"/>
          </w:tcPr>
          <w:p>
            <w:pPr>
              <w:spacing w:after="0"/>
            </w:pPr>
            <w:r>
              <w:rPr>
                <w:rFonts w:ascii="Arial" w:cs="Arial" w:eastAsia="Arial" w:hAnsi="Arial"/>
                <w:b w:val="false"/>
                <w:bCs w:val="false"/>
                <w:sz w:val="20"/>
                <w:szCs w:val="20"/>
              </w:rPr>
              <w:t xml:space="preserve">21/32</w:t>
            </w:r>
          </w:p>
        </w:tc>
        <w:tc>
          <w:tcPr>
            <w:tcW w:type="dxa" w:w="1500"/>
          </w:tcPr>
          <w:p>
            <w:pPr>
              <w:spacing w:after="0"/>
            </w:pPr>
            <w:r>
              <w:rPr>
                <w:rFonts w:ascii="Arial" w:cs="Arial" w:eastAsia="Arial" w:hAnsi="Arial"/>
                <w:b w:val="false"/>
                <w:bCs w:val="false"/>
                <w:sz w:val="20"/>
                <w:szCs w:val="20"/>
              </w:rPr>
              <w:t xml:space="preserve">15/32</w:t>
            </w:r>
          </w:p>
        </w:tc>
        <w:tc>
          <w:tcPr>
            <w:tcW w:type="dxa" w:w="1500"/>
          </w:tcPr>
          <w:p>
            <w:pPr>
              <w:spacing w:after="0"/>
            </w:pPr>
            <w:r>
              <w:rPr>
                <w:rFonts w:ascii="Arial" w:cs="Arial" w:eastAsia="Arial" w:hAnsi="Arial"/>
                <w:b w:val="false"/>
                <w:bCs w:val="false"/>
                <w:sz w:val="20"/>
                <w:szCs w:val="20"/>
              </w:rPr>
              <w:t xml:space="preserve">137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0,739</w:t>
            </w:r>
          </w:p>
        </w:tc>
        <w:tc>
          <w:tcPr>
            <w:tcW w:type="dxa" w:w="1500"/>
          </w:tcPr>
          <w:p>
            <w:pPr>
              <w:spacing w:after="0"/>
            </w:pPr>
            <w:r>
              <w:rPr>
                <w:rFonts w:ascii="Arial" w:cs="Arial" w:eastAsia="Arial" w:hAnsi="Arial"/>
                <w:b w:val="false"/>
                <w:bCs w:val="false"/>
                <w:sz w:val="20"/>
                <w:szCs w:val="20"/>
              </w:rPr>
              <w:t xml:space="preserve">27</w:t>
            </w:r>
          </w:p>
        </w:tc>
        <w:tc>
          <w:tcPr>
            <w:tcW w:type="dxa" w:w="1500"/>
          </w:tcPr>
          <w:p>
            <w:pPr>
              <w:spacing w:after="0"/>
            </w:pPr>
            <w:r>
              <w:rPr>
                <w:rFonts w:ascii="Arial" w:cs="Arial" w:eastAsia="Arial" w:hAnsi="Arial"/>
                <w:b w:val="false"/>
                <w:bCs w:val="false"/>
                <w:sz w:val="20"/>
                <w:szCs w:val="20"/>
              </w:rPr>
              <w:t xml:space="preserve">16/32</w:t>
            </w:r>
          </w:p>
        </w:tc>
        <w:tc>
          <w:tcPr>
            <w:tcW w:type="dxa" w:w="1500"/>
          </w:tcPr>
          <w:p>
            <w:pPr>
              <w:spacing w:after="0"/>
            </w:pPr>
            <w:r>
              <w:rPr>
                <w:rFonts w:ascii="Arial" w:cs="Arial" w:eastAsia="Arial" w:hAnsi="Arial"/>
                <w:b w:val="false"/>
                <w:bCs w:val="false"/>
                <w:sz w:val="20"/>
                <w:szCs w:val="20"/>
              </w:rPr>
              <w:t xml:space="preserve">18/32</w:t>
            </w:r>
          </w:p>
        </w:tc>
        <w:tc>
          <w:tcPr>
            <w:tcW w:type="dxa" w:w="1500"/>
          </w:tcPr>
          <w:p>
            <w:pPr>
              <w:spacing w:after="0"/>
            </w:pPr>
            <w:r>
              <w:rPr>
                <w:rFonts w:ascii="Arial" w:cs="Arial" w:eastAsia="Arial" w:hAnsi="Arial"/>
                <w:b w:val="false"/>
                <w:bCs w:val="false"/>
                <w:sz w:val="20"/>
                <w:szCs w:val="20"/>
              </w:rPr>
              <w:t xml:space="preserve">302 s</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0,748</w:t>
            </w:r>
          </w:p>
        </w:tc>
        <w:tc>
          <w:tcPr>
            <w:tcW w:type="dxa" w:w="1500"/>
          </w:tcPr>
          <w:p>
            <w:pPr>
              <w:spacing w:after="0"/>
            </w:pPr>
            <w:r>
              <w:rPr>
                <w:rFonts w:ascii="Arial" w:cs="Arial" w:eastAsia="Arial" w:hAnsi="Arial"/>
                <w:b w:val="false"/>
                <w:bCs w:val="false"/>
                <w:sz w:val="20"/>
                <w:szCs w:val="20"/>
              </w:rPr>
              <w:t xml:space="preserve">13</w:t>
            </w:r>
          </w:p>
        </w:tc>
        <w:tc>
          <w:tcPr>
            <w:tcW w:type="dxa" w:w="1500"/>
          </w:tcPr>
          <w:p>
            <w:pPr>
              <w:spacing w:after="0"/>
            </w:pPr>
            <w:r>
              <w:rPr>
                <w:rFonts w:ascii="Arial" w:cs="Arial" w:eastAsia="Arial" w:hAnsi="Arial"/>
                <w:b w:val="false"/>
                <w:bCs w:val="false"/>
                <w:sz w:val="20"/>
                <w:szCs w:val="20"/>
              </w:rPr>
              <w:t xml:space="preserve">11/32</w:t>
            </w:r>
          </w:p>
        </w:tc>
        <w:tc>
          <w:tcPr>
            <w:tcW w:type="dxa" w:w="1500"/>
          </w:tcPr>
          <w:p>
            <w:pPr>
              <w:spacing w:after="0"/>
            </w:pPr>
            <w:r>
              <w:rPr>
                <w:rFonts w:ascii="Arial" w:cs="Arial" w:eastAsia="Arial" w:hAnsi="Arial"/>
                <w:b w:val="false"/>
                <w:bCs w:val="false"/>
                <w:sz w:val="20"/>
                <w:szCs w:val="20"/>
              </w:rPr>
              <w:t xml:space="preserve">15/32</w:t>
            </w:r>
          </w:p>
        </w:tc>
        <w:tc>
          <w:tcPr>
            <w:tcW w:type="dxa" w:w="1500"/>
          </w:tcPr>
          <w:p>
            <w:pPr>
              <w:spacing w:after="0"/>
            </w:pPr>
            <w:r>
              <w:rPr>
                <w:rFonts w:ascii="Arial" w:cs="Arial" w:eastAsia="Arial" w:hAnsi="Arial"/>
                <w:b w:val="false"/>
                <w:bCs w:val="false"/>
                <w:sz w:val="20"/>
                <w:szCs w:val="20"/>
              </w:rPr>
              <w:t xml:space="preserve">430 s</w:t>
            </w:r>
          </w:p>
        </w:tc>
      </w:tr>
    </w:tbl>
    <w:p>
      <w:pPr>
        <w:spacing w:after="160"/>
      </w:pPr>
    </w:p>
    <w:p>
      <w:pPr>
        <w:spacing w:after="160" w:line="360" w:lineRule="auto"/>
        <w:ind w:firstLine="425"/>
        <w:jc w:val="both"/>
      </w:pPr>
      <w:r>
        <w:rPr>
          <w:rFonts w:ascii="Arial" w:cs="Arial" w:eastAsia="Arial" w:hAnsi="Arial"/>
          <w:sz w:val="22"/>
          <w:szCs w:val="22"/>
        </w:rPr>
        <w:t xml:space="preserve">Noventa y seis ejecuciones, treinta y dos por modelo, repartidas en tres tandas realizadas en dos días con configuración idéntica. El orden por capacidad es monótono tanto en el recall del sistema como en el daño causado: el modelo menor destruye fraude en dos de cada tres ejecuciones y el mayor en una de cada tres.</w:t>
      </w:r>
    </w:p>
    <w:p>
      <w:pPr>
        <w:pStyle w:val="Heading3"/>
        <w:spacing w:after="200" w:before="360"/>
      </w:pPr>
      <w:r>
        <w:rPr>
          <w:rFonts w:ascii="Arial" w:cs="Arial" w:eastAsia="Arial" w:hAnsi="Arial"/>
          <w:b/>
          <w:bCs/>
          <w:color w:val="000000"/>
          <w:sz w:val="24"/>
          <w:szCs w:val="24"/>
        </w:rPr>
        <w:t xml:space="preserve">El contraste estadístico y la elección del test</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Ninguno</w:t>
            </w:r>
          </w:p>
        </w:tc>
        <w:tc>
          <w:tcPr>
            <w:tcW w:type="dxa" w:w="1500"/>
            <w:shd w:fill="D9D9D9" w:val="clear"/>
          </w:tcPr>
          <w:p>
            <w:pPr>
              <w:spacing w:after="0"/>
            </w:pPr>
            <w:r>
              <w:rPr>
                <w:rFonts w:ascii="Arial" w:cs="Arial" w:eastAsia="Arial" w:hAnsi="Arial"/>
                <w:b/>
                <w:bCs/>
                <w:sz w:val="20"/>
                <w:szCs w:val="20"/>
              </w:rPr>
              <w:t xml:space="preserve">Un caso</w:t>
            </w:r>
          </w:p>
        </w:tc>
        <w:tc>
          <w:tcPr>
            <w:tcW w:type="dxa" w:w="1500"/>
            <w:shd w:fill="D9D9D9" w:val="clear"/>
          </w:tcPr>
          <w:p>
            <w:pPr>
              <w:spacing w:after="0"/>
            </w:pPr>
            <w:r>
              <w:rPr>
                <w:rFonts w:ascii="Arial" w:cs="Arial" w:eastAsia="Arial" w:hAnsi="Arial"/>
                <w:b/>
                <w:bCs/>
                <w:sz w:val="20"/>
                <w:szCs w:val="20"/>
              </w:rPr>
              <w:t xml:space="preserve">Dos</w:t>
            </w:r>
          </w:p>
        </w:tc>
        <w:tc>
          <w:tcPr>
            <w:tcW w:type="dxa" w:w="1500"/>
            <w:shd w:fill="D9D9D9" w:val="clear"/>
          </w:tcPr>
          <w:p>
            <w:pPr>
              <w:spacing w:after="0"/>
            </w:pPr>
            <w:r>
              <w:rPr>
                <w:rFonts w:ascii="Arial" w:cs="Arial" w:eastAsia="Arial" w:hAnsi="Arial"/>
                <w:b/>
                <w:bCs/>
                <w:sz w:val="20"/>
                <w:szCs w:val="20"/>
              </w:rPr>
              <w:t xml:space="preserve">Tres</w:t>
            </w:r>
          </w:p>
        </w:tc>
        <w:tc>
          <w:tcPr>
            <w:tcW w:type="dxa" w:w="1500"/>
            <w:shd w:fill="D9D9D9" w:val="clear"/>
          </w:tcPr>
          <w:p>
            <w:pPr>
              <w:spacing w:after="0"/>
            </w:pPr>
            <w:r>
              <w:rPr>
                <w:rFonts w:ascii="Arial" w:cs="Arial" w:eastAsia="Arial" w:hAnsi="Arial"/>
                <w:b/>
                <w:bCs/>
                <w:sz w:val="20"/>
                <w:szCs w:val="20"/>
              </w:rPr>
              <w:t xml:space="preserve">Media</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11</w:t>
            </w:r>
          </w:p>
        </w:tc>
        <w:tc>
          <w:tcPr>
            <w:tcW w:type="dxa" w:w="1500"/>
          </w:tcPr>
          <w:p>
            <w:pPr>
              <w:spacing w:after="0"/>
            </w:pPr>
            <w:r>
              <w:rPr>
                <w:rFonts w:ascii="Arial" w:cs="Arial" w:eastAsia="Arial" w:hAnsi="Arial"/>
                <w:b w:val="false"/>
                <w:bCs w:val="false"/>
                <w:sz w:val="20"/>
                <w:szCs w:val="20"/>
              </w:rPr>
              <w:t xml:space="preserve">8</w:t>
            </w:r>
          </w:p>
        </w:tc>
        <w:tc>
          <w:tcPr>
            <w:tcW w:type="dxa" w:w="1500"/>
          </w:tcPr>
          <w:p>
            <w:pPr>
              <w:spacing w:after="0"/>
            </w:pPr>
            <w:r>
              <w:rPr>
                <w:rFonts w:ascii="Arial" w:cs="Arial" w:eastAsia="Arial" w:hAnsi="Arial"/>
                <w:b w:val="false"/>
                <w:bCs w:val="false"/>
                <w:sz w:val="20"/>
                <w:szCs w:val="20"/>
              </w:rPr>
              <w:t xml:space="preserve">10</w:t>
            </w:r>
          </w:p>
        </w:tc>
        <w:tc>
          <w:tcPr>
            <w:tcW w:type="dxa" w:w="1500"/>
          </w:tcPr>
          <w:p>
            <w:pPr>
              <w:spacing w:after="0"/>
            </w:pPr>
            <w:r>
              <w:rPr>
                <w:rFonts w:ascii="Arial" w:cs="Arial" w:eastAsia="Arial" w:hAnsi="Arial"/>
                <w:b w:val="false"/>
                <w:bCs w:val="false"/>
                <w:sz w:val="20"/>
                <w:szCs w:val="20"/>
              </w:rPr>
              <w:t xml:space="preserve">3</w:t>
            </w:r>
          </w:p>
        </w:tc>
        <w:tc>
          <w:tcPr>
            <w:tcW w:type="dxa" w:w="1500"/>
          </w:tcPr>
          <w:p>
            <w:pPr>
              <w:spacing w:after="0"/>
            </w:pPr>
            <w:r>
              <w:rPr>
                <w:rFonts w:ascii="Arial" w:cs="Arial" w:eastAsia="Arial" w:hAnsi="Arial"/>
                <w:b w:val="false"/>
                <w:bCs w:val="false"/>
                <w:sz w:val="20"/>
                <w:szCs w:val="20"/>
              </w:rPr>
              <w:t xml:space="preserve">1,16</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16</w:t>
            </w:r>
          </w:p>
        </w:tc>
        <w:tc>
          <w:tcPr>
            <w:tcW w:type="dxa" w:w="1500"/>
          </w:tcPr>
          <w:p>
            <w:pPr>
              <w:spacing w:after="0"/>
            </w:pPr>
            <w:r>
              <w:rPr>
                <w:rFonts w:ascii="Arial" w:cs="Arial" w:eastAsia="Arial" w:hAnsi="Arial"/>
                <w:b w:val="false"/>
                <w:bCs w:val="false"/>
                <w:sz w:val="20"/>
                <w:szCs w:val="20"/>
              </w:rPr>
              <w:t xml:space="preserve">8</w:t>
            </w:r>
          </w:p>
        </w:tc>
        <w:tc>
          <w:tcPr>
            <w:tcW w:type="dxa" w:w="1500"/>
          </w:tcPr>
          <w:p>
            <w:pPr>
              <w:spacing w:after="0"/>
            </w:pPr>
            <w:r>
              <w:rPr>
                <w:rFonts w:ascii="Arial" w:cs="Arial" w:eastAsia="Arial" w:hAnsi="Arial"/>
                <w:b w:val="false"/>
                <w:bCs w:val="false"/>
                <w:sz w:val="20"/>
                <w:szCs w:val="20"/>
              </w:rPr>
              <w:t xml:space="preserve">5</w:t>
            </w:r>
          </w:p>
        </w:tc>
        <w:tc>
          <w:tcPr>
            <w:tcW w:type="dxa" w:w="1500"/>
          </w:tcPr>
          <w:p>
            <w:pPr>
              <w:spacing w:after="0"/>
            </w:pPr>
            <w:r>
              <w:rPr>
                <w:rFonts w:ascii="Arial" w:cs="Arial" w:eastAsia="Arial" w:hAnsi="Arial"/>
                <w:b w:val="false"/>
                <w:bCs w:val="false"/>
                <w:sz w:val="20"/>
                <w:szCs w:val="20"/>
              </w:rPr>
              <w:t xml:space="preserve">3</w:t>
            </w:r>
          </w:p>
        </w:tc>
        <w:tc>
          <w:tcPr>
            <w:tcW w:type="dxa" w:w="1500"/>
          </w:tcPr>
          <w:p>
            <w:pPr>
              <w:spacing w:after="0"/>
            </w:pPr>
            <w:r>
              <w:rPr>
                <w:rFonts w:ascii="Arial" w:cs="Arial" w:eastAsia="Arial" w:hAnsi="Arial"/>
                <w:b w:val="false"/>
                <w:bCs w:val="false"/>
                <w:sz w:val="20"/>
                <w:szCs w:val="20"/>
              </w:rPr>
              <w:t xml:space="preserve">0,84</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21</w:t>
            </w:r>
          </w:p>
        </w:tc>
        <w:tc>
          <w:tcPr>
            <w:tcW w:type="dxa" w:w="1500"/>
          </w:tcPr>
          <w:p>
            <w:pPr>
              <w:spacing w:after="0"/>
            </w:pPr>
            <w:r>
              <w:rPr>
                <w:rFonts w:ascii="Arial" w:cs="Arial" w:eastAsia="Arial" w:hAnsi="Arial"/>
                <w:b w:val="false"/>
                <w:bCs w:val="false"/>
                <w:sz w:val="20"/>
                <w:szCs w:val="20"/>
              </w:rPr>
              <w:t xml:space="preserve">9</w:t>
            </w:r>
          </w:p>
        </w:tc>
        <w:tc>
          <w:tcPr>
            <w:tcW w:type="dxa" w:w="1500"/>
          </w:tcPr>
          <w:p>
            <w:pPr>
              <w:spacing w:after="0"/>
            </w:pPr>
            <w:r>
              <w:rPr>
                <w:rFonts w:ascii="Arial" w:cs="Arial" w:eastAsia="Arial" w:hAnsi="Arial"/>
                <w:b w:val="false"/>
                <w:bCs w:val="false"/>
                <w:sz w:val="20"/>
                <w:szCs w:val="20"/>
              </w:rPr>
              <w:t xml:space="preserve">2</w:t>
            </w:r>
          </w:p>
        </w:tc>
        <w:tc>
          <w:tcPr>
            <w:tcW w:type="dxa" w:w="1500"/>
          </w:tcPr>
          <w:p>
            <w:pPr>
              <w:spacing w:after="0"/>
            </w:pPr>
            <w:r>
              <w:rPr>
                <w:rFonts w:ascii="Arial" w:cs="Arial" w:eastAsia="Arial" w:hAnsi="Arial"/>
                <w:b w:val="false"/>
                <w:bCs w:val="false"/>
                <w:sz w:val="20"/>
                <w:szCs w:val="20"/>
              </w:rPr>
              <w:t xml:space="preserve">0</w:t>
            </w:r>
          </w:p>
        </w:tc>
        <w:tc>
          <w:tcPr>
            <w:tcW w:type="dxa" w:w="1500"/>
          </w:tcPr>
          <w:p>
            <w:pPr>
              <w:spacing w:after="0"/>
            </w:pPr>
            <w:r>
              <w:rPr>
                <w:rFonts w:ascii="Arial" w:cs="Arial" w:eastAsia="Arial" w:hAnsi="Arial"/>
                <w:b w:val="false"/>
                <w:bCs w:val="false"/>
                <w:sz w:val="20"/>
                <w:szCs w:val="20"/>
              </w:rPr>
              <w:t xml:space="preserve">0,41</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los otros dos sí alcanzan, y su distribución está claramente desplazada hacia el cero.</w:t>
      </w:r>
    </w:p>
    <w:p>
      <w:pPr>
        <w:spacing w:after="160" w:line="360" w:lineRule="auto"/>
        <w:ind w:firstLine="425"/>
        <w:jc w:val="both"/>
      </w:pPr>
      <w:r>
        <w:rPr>
          <w:rFonts w:ascii="Arial" w:cs="Arial" w:eastAsia="Arial" w:hAnsi="Arial"/>
          <w:sz w:val="22"/>
          <w:szCs w:val="22"/>
        </w:rPr>
        <w:t xml:space="preserve">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0,024</w:t>
            </w:r>
          </w:p>
        </w:tc>
        <w:tc>
          <w:tcPr>
            <w:tcW w:type="dxa" w:w="3000"/>
          </w:tcPr>
          <w:p>
            <w:pPr>
              <w:spacing w:after="0"/>
            </w:pPr>
            <w:r>
              <w:rPr>
                <w:rFonts w:ascii="Arial" w:cs="Arial" w:eastAsia="Arial" w:hAnsi="Arial"/>
                <w:b w:val="false"/>
                <w:bCs w:val="false"/>
                <w:sz w:val="20"/>
                <w:szCs w:val="20"/>
              </w:rPr>
              <w:t xml:space="preserve">0,002</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0,311</w:t>
            </w:r>
          </w:p>
        </w:tc>
        <w:tc>
          <w:tcPr>
            <w:tcW w:type="dxa" w:w="3000"/>
          </w:tcPr>
          <w:p>
            <w:pPr>
              <w:spacing w:after="0"/>
            </w:pPr>
            <w:r>
              <w:rPr>
                <w:rFonts w:ascii="Arial" w:cs="Arial" w:eastAsia="Arial" w:hAnsi="Arial"/>
                <w:b w:val="false"/>
                <w:bCs w:val="false"/>
                <w:sz w:val="20"/>
                <w:szCs w:val="20"/>
              </w:rPr>
              <w:t xml:space="preserve">0,094</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0,311</w:t>
            </w:r>
          </w:p>
        </w:tc>
        <w:tc>
          <w:tcPr>
            <w:tcW w:type="dxa" w:w="3000"/>
          </w:tcPr>
          <w:p>
            <w:pPr>
              <w:spacing w:after="0"/>
            </w:pPr>
            <w:r>
              <w:rPr>
                <w:rFonts w:ascii="Arial" w:cs="Arial" w:eastAsia="Arial" w:hAnsi="Arial"/>
                <w:b w:val="false"/>
                <w:bCs w:val="false"/>
                <w:sz w:val="20"/>
                <w:szCs w:val="20"/>
              </w:rPr>
              <w:t xml:space="preserve">0,192</w:t>
            </w:r>
          </w:p>
        </w:tc>
      </w:tr>
    </w:tbl>
    <w:p>
      <w:pPr>
        <w:spacing w:after="160"/>
      </w:pPr>
    </w:p>
    <w:p>
      <w:pPr>
        <w:spacing w:after="160" w:line="360" w:lineRule="auto"/>
        <w:ind w:firstLine="425"/>
        <w:jc w:val="both"/>
      </w:pPr>
      <w:r>
        <w:rPr>
          <w:rFonts w:ascii="Arial" w:cs="Arial" w:eastAsia="Arial" w:hAnsi="Arial"/>
          <w:b/>
          <w:bCs/>
          <w:sz w:val="22"/>
          <w:szCs w:val="22"/>
        </w:rPr>
        <w:t xml:space="preserve">Ambos contrastes coinciden en separar los extremos</w:t>
      </w:r>
      <w:r>
        <w:rPr>
          <w:rFonts w:ascii="Arial" w:cs="Arial" w:eastAsia="Arial" w:hAnsi="Arial"/>
          <w:sz w:val="22"/>
          <w:szCs w:val="22"/>
        </w:rPr>
        <w:t xml:space="preserve"> y en no separar los modelos adyacentes, lo que resulta coherente con un efecto gradual antes que con un escalón.</w:t>
      </w:r>
    </w:p>
    <w:p>
      <w:pPr>
        <w:spacing w:after="160" w:line="360" w:lineRule="auto"/>
        <w:ind w:firstLine="425"/>
        <w:jc w:val="both"/>
      </w:pPr>
      <w:r>
        <w:rPr>
          <w:rFonts w:ascii="Arial" w:cs="Arial" w:eastAsia="Arial" w:hAnsi="Arial"/>
          <w:sz w:val="22"/>
          <w:szCs w:val="22"/>
        </w:rPr>
        <w:t xml:space="preserve">Conviene explicar por qué se reportan dos.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w:t>
      </w:r>
    </w:p>
    <w:p>
      <w:pPr>
        <w:spacing w:after="160" w:line="360" w:lineRule="auto"/>
        <w:ind w:firstLine="425"/>
        <w:jc w:val="both"/>
      </w:pPr>
      <w:r>
        <w:rPr>
          <w:rFonts w:ascii="Arial" w:cs="Arial" w:eastAsia="Arial" w:hAnsi="Arial"/>
          <w:sz w:val="22"/>
          <w:szCs w:val="22"/>
        </w:rPr>
        <w:t xml:space="preserve">Se declara expresamente que el orden en que se calcularon fue el inverso: solo tras comprobar que Fisher no alcanzaba significación con dieciséis ejecuciones se recurrió al segundo. Reportar únicamente el resultado favorable habría sido incurrir en la misma práctica que este trabajo señala en la sección 2.1 respecto al tratamiento del desbalanceo. Con treinta y dos ejecuciones la cuestión resulta indiferente, porque ambos contrastes alcanzan significación.</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tres tandas sucesivas, y dos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treinta y dos, su tasa se estabiliza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Con dieciséis ejecuciones, ese mismo modelo no había destruido nunca más de un caso por ejecución, lo que se interpretó como un fallo acotado. Con treinta y dos alcanza los dos casos, y la afirmación hubo de rebajarse a que no alcanza los tres.</w:t>
      </w:r>
    </w:p>
    <w:p>
      <w:pPr>
        <w:spacing w:after="160" w:line="360" w:lineRule="auto"/>
        <w:ind w:firstLine="425"/>
        <w:jc w:val="both"/>
      </w:pPr>
      <w:r>
        <w:rPr>
          <w:rFonts w:ascii="Arial" w:cs="Arial" w:eastAsia="Arial" w:hAnsi="Arial"/>
          <w:sz w:val="22"/>
          <w:szCs w:val="22"/>
        </w:rPr>
        <w:t xml:space="preserve">Ninguna de las dos era falsa sobre los datos disponibles en su momento; ambas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El umbral de capacidad, con contraste estadístico</w:t>
      </w:r>
    </w:p>
    <w:p>
      <w:pPr>
        <w:spacing w:after="160" w:line="360" w:lineRule="auto"/>
        <w:ind w:firstLine="425"/>
        <w:jc w:val="both"/>
      </w:pPr>
      <w:r>
        <w:rPr>
          <w:rFonts w:ascii="Arial" w:cs="Arial" w:eastAsia="Arial" w:hAnsi="Arial"/>
          <w:sz w:val="22"/>
          <w:szCs w:val="22"/>
        </w:rPr>
        <w:t xml:space="preserve">En modo revisa, el modelo de ocho mil millones de parámetros retiró fraude auténtico del informe en 6 de 18 ejecuciones; el de catorce mil millones, en ninguna de 18.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Contraste</w:t>
            </w:r>
          </w:p>
        </w:tc>
        <w:tc>
          <w:tcPr>
            <w:tcW w:type="dxa" w:w="3000"/>
            <w:shd w:fill="D9D9D9" w:val="clear"/>
          </w:tcPr>
          <w:p>
            <w:pPr>
              <w:spacing w:after="0"/>
            </w:pPr>
            <w:r>
              <w:rPr>
                <w:rFonts w:ascii="Arial" w:cs="Arial" w:eastAsia="Arial" w:hAnsi="Arial"/>
                <w:b/>
                <w:bCs/>
                <w:sz w:val="20"/>
                <w:szCs w:val="20"/>
              </w:rPr>
              <w:t xml:space="preserve">Qué compara</w:t>
            </w:r>
          </w:p>
        </w:tc>
        <w:tc>
          <w:tcPr>
            <w:tcW w:type="dxa" w:w="3000"/>
            <w:shd w:fill="D9D9D9" w:val="clear"/>
          </w:tcPr>
          <w:p>
            <w:pPr>
              <w:spacing w:after="0"/>
            </w:pPr>
            <w:r>
              <w:rPr>
                <w:rFonts w:ascii="Arial" w:cs="Arial" w:eastAsia="Arial" w:hAnsi="Arial"/>
                <w:b/>
                <w:bCs/>
                <w:sz w:val="20"/>
                <w:szCs w:val="20"/>
              </w:rPr>
              <w:t xml:space="preserve">Resultado</w:t>
            </w:r>
          </w:p>
        </w:tc>
      </w:tr>
      <w:tr>
        <w:tc>
          <w:tcPr>
            <w:tcW w:type="dxa" w:w="3000"/>
          </w:tcPr>
          <w:p>
            <w:pPr>
              <w:spacing w:after="0"/>
            </w:pPr>
            <w:r>
              <w:rPr>
                <w:rFonts w:ascii="Arial" w:cs="Arial" w:eastAsia="Arial" w:hAnsi="Arial"/>
                <w:b w:val="false"/>
                <w:bCs w:val="false"/>
                <w:sz w:val="20"/>
                <w:szCs w:val="20"/>
              </w:rPr>
              <w:t xml:space="preserve">Test exacto de Fisher</w:t>
            </w:r>
          </w:p>
        </w:tc>
        <w:tc>
          <w:tcPr>
            <w:tcW w:type="dxa" w:w="3000"/>
          </w:tcPr>
          <w:p>
            <w:pPr>
              <w:spacing w:after="0"/>
            </w:pPr>
            <w:r>
              <w:rPr>
                <w:rFonts w:ascii="Arial" w:cs="Arial" w:eastAsia="Arial" w:hAnsi="Arial"/>
                <w:b w:val="false"/>
                <w:bCs w:val="false"/>
                <w:sz w:val="20"/>
                <w:szCs w:val="20"/>
              </w:rPr>
              <w:t xml:space="preserve">Frecuencia de descartes erróneos</w:t>
            </w:r>
          </w:p>
        </w:tc>
        <w:tc>
          <w:tcPr>
            <w:tcW w:type="dxa" w:w="3000"/>
          </w:tcPr>
          <w:p>
            <w:pPr>
              <w:spacing w:after="0"/>
            </w:pPr>
            <w:r>
              <w:rPr>
                <w:rFonts w:ascii="Arial" w:cs="Arial" w:eastAsia="Arial" w:hAnsi="Arial"/>
                <w:b w:val="false"/>
                <w:bCs w:val="false"/>
                <w:sz w:val="20"/>
                <w:szCs w:val="20"/>
              </w:rPr>
              <w:t xml:space="preserve">p = 0,0191</w:t>
            </w:r>
          </w:p>
        </w:tc>
      </w:tr>
      <w:tr>
        <w:tc>
          <w:tcPr>
            <w:tcW w:type="dxa" w:w="3000"/>
          </w:tcPr>
          <w:p>
            <w:pPr>
              <w:spacing w:after="0"/>
            </w:pPr>
            <w:r>
              <w:rPr>
                <w:rFonts w:ascii="Arial" w:cs="Arial" w:eastAsia="Arial" w:hAnsi="Arial"/>
                <w:b w:val="false"/>
                <w:bCs w:val="false"/>
                <w:sz w:val="20"/>
                <w:szCs w:val="20"/>
              </w:rPr>
              <w:t xml:space="preserve">Wilcoxon pareado</w:t>
            </w:r>
          </w:p>
        </w:tc>
        <w:tc>
          <w:tcPr>
            <w:tcW w:type="dxa" w:w="3000"/>
          </w:tcPr>
          <w:p>
            <w:pPr>
              <w:spacing w:after="0"/>
            </w:pPr>
            <w:r>
              <w:rPr>
                <w:rFonts w:ascii="Arial" w:cs="Arial" w:eastAsia="Arial" w:hAnsi="Arial"/>
                <w:b w:val="false"/>
                <w:bCs w:val="false"/>
                <w:sz w:val="20"/>
                <w:szCs w:val="20"/>
              </w:rPr>
              <w:t xml:space="preserve">Efecto de dar autoridad sobre el recall</w:t>
            </w:r>
          </w:p>
        </w:tc>
        <w:tc>
          <w:tcPr>
            <w:tcW w:type="dxa" w:w="3000"/>
          </w:tcPr>
          <w:p>
            <w:pPr>
              <w:spacing w:after="0"/>
            </w:pPr>
            <w:r>
              <w:rPr>
                <w:rFonts w:ascii="Arial" w:cs="Arial" w:eastAsia="Arial" w:hAnsi="Arial"/>
                <w:b w:val="false"/>
                <w:bCs w:val="false"/>
                <w:sz w:val="20"/>
                <w:szCs w:val="20"/>
              </w:rPr>
              <w:t xml:space="preserve">p = 0,0235</w:t>
            </w:r>
          </w:p>
        </w:tc>
      </w:tr>
    </w:tbl>
    <w:p>
      <w:pPr>
        <w:spacing w:after="160"/>
      </w:pPr>
    </w:p>
    <w:p>
      <w:pPr>
        <w:spacing w:after="160" w:line="360" w:lineRule="auto"/>
        <w:ind w:firstLine="425"/>
        <w:jc w:val="both"/>
      </w:pPr>
      <w:r>
        <w:rPr>
          <w:rFonts w:ascii="Arial" w:cs="Arial" w:eastAsia="Arial" w:hAnsi="Arial"/>
          <w:sz w:val="22"/>
          <w:szCs w:val="22"/>
        </w:rPr>
        <w:t xml:space="preserve">A ello se añade la reproducibilidad. Con la misma entrada, el modelo menor produjo recalls de 0,60, 0,40 y 0,80; el mayor produjo resultados idénticos en las dieciséis ejecuciones del experimento sobre turnos reales, descartando exactamente los mismos casos. Un sistema antifraude que decide distinto ante el mismo caso es inauditable.</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Comparativa con modelos comerciales</w:t>
      </w:r>
    </w:p>
    <w:p>
      <w:pPr>
        <w:spacing w:after="160" w:line="360" w:lineRule="auto"/>
      </w:pPr>
      <w:r>
        <w:rPr>
          <w:rFonts w:ascii="Arial" w:cs="Arial" w:eastAsia="Arial" w:hAnsi="Arial"/>
          <w:i/>
          <w:iCs/>
          <w:color w:val="808080"/>
          <w:sz w:val="22"/>
          <w:szCs w:val="22"/>
        </w:rPr>
        <w:t xml:space="preserve">[PENDIENTE] Capítulo pendiente. Objetivo específico 4.</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ind w:firstLine="425"/>
        <w:jc w:val="both"/>
      </w:pPr>
      <w:r>
        <w:rPr>
          <w:rFonts w:ascii="Arial" w:cs="Arial" w:eastAsia="Arial" w:hAnsi="Arial"/>
          <w:b/>
          <w:bCs/>
          <w:sz w:val="22"/>
          <w:szCs w:val="22"/>
        </w:rPr>
        <w:t xml:space="preserve">Objetivo 1 — construir un detector de anomalías sobre datos de transacciones.</w:t>
      </w:r>
      <w:r>
        <w:rPr>
          <w:rFonts w:ascii="Arial" w:cs="Arial" w:eastAsia="Arial" w:hAnsi="Arial"/>
          <w:sz w:val="22"/>
          <w:szCs w:val="22"/>
        </w:rPr>
        <w:t xml:space="preserve"> Alcanzado. El detector basado en XGBoost obtiene un AUC-PR de 0,883 en partición aleatoria y de 0,797 en partición temporal, con una precisión en los cincuenta casos de mayor puntuación de 1,00 y 0,98 respectivamente. Sobre la partición aleatoria recupera el 83,7 % de los fraudes del conjunto de prueba. La comparación con Isolation Forest, que era el planteamiento inicial del trabajo, resultó concluyente en contra de este: 0,152 de AUC-PR frente a 0,883, y 0,034 frente a 0,797 en partición temporal. Un detector no supervisado no es competitivo cuando se dispone de etiquetas.</w:t>
      </w:r>
    </w:p>
    <w:p>
      <w:pPr>
        <w:spacing w:after="160" w:line="360" w:lineRule="auto"/>
        <w:ind w:firstLine="425"/>
        <w:jc w:val="both"/>
      </w:pPr>
      <w:r>
        <w:rPr>
          <w:rFonts w:ascii="Arial" w:cs="Arial" w:eastAsia="Arial" w:hAnsi="Arial"/>
          <w:b/>
          <w:bCs/>
          <w:sz w:val="22"/>
          <w:szCs w:val="22"/>
        </w:rPr>
        <w:t xml:space="preserve">Objetivo 2 — incorporar una capa de agentes que explique y filtre.</w:t>
      </w:r>
      <w:r>
        <w:rPr>
          <w:rFonts w:ascii="Arial" w:cs="Arial" w:eastAsia="Arial" w:hAnsi="Arial"/>
          <w:sz w:val="22"/>
          <w:szCs w:val="22"/>
        </w:rPr>
        <w:t xml:space="preserve"> Alcanzado en cuanto a la construcción, no en cuanto al beneficio. El sistema de seis agentes sobre CrewAI produce informes en castellano, con cobertura del cien por cien de los casos elevados y sin invenciones detectables por la auditoría automática. Pero la capa no mejora la detección: en el mejor de los casos deja el recall como estaba y en el resto lo empeora, al descartar casos que eran fraude real. Este resultado negativo es, a juicio de este trabajo, el hallazgo más útil de los obtenidos.</w:t>
      </w:r>
    </w:p>
    <w:p>
      <w:pPr>
        <w:spacing w:after="160" w:line="360" w:lineRule="auto"/>
        <w:ind w:firstLine="425"/>
        <w:jc w:val="both"/>
      </w:pPr>
      <w:r>
        <w:rPr>
          <w:rFonts w:ascii="Arial" w:cs="Arial" w:eastAsia="Arial" w:hAnsi="Arial"/>
          <w:b/>
          <w:bCs/>
          <w:sz w:val="22"/>
          <w:szCs w:val="22"/>
        </w:rPr>
        <w:t xml:space="preserve">Objetivo 3 — evaluar el sistema de forma reproducible.</w:t>
      </w:r>
      <w:r>
        <w:rPr>
          <w:rFonts w:ascii="Arial" w:cs="Arial" w:eastAsia="Arial" w:hAnsi="Arial"/>
          <w:sz w:val="22"/>
          <w:szCs w:val="22"/>
        </w:rPr>
        <w:t xml:space="preserve"> Alcanzado. Se dispone de un banco de pruebas que mide detector y sistema completo con la misma función, de ablaciones sobre el desbalanceo, sobre los grupos de variables y sobre el contenido del expediente, y de un análisis de operación en continuo. Todos los datos experimentales están versionados junto al código, de modo que cualquier cifra de esta memoria puede rastrearse hasta la ejecución que la produjo.</w:t>
      </w:r>
    </w:p>
    <w:p>
      <w:pPr>
        <w:spacing w:after="160" w:line="360" w:lineRule="auto"/>
        <w:ind w:firstLine="425"/>
        <w:jc w:val="both"/>
      </w:pPr>
      <w:r>
        <w:rPr>
          <w:rFonts w:ascii="Arial" w:cs="Arial" w:eastAsia="Arial" w:hAnsi="Arial"/>
          <w:b/>
          <w:bCs/>
          <w:sz w:val="22"/>
          <w:szCs w:val="22"/>
        </w:rPr>
        <w:t xml:space="preserve">Objetivo 4 — cuantificar la pérdida frente a modelos de mayor capacidad.</w:t>
      </w:r>
      <w:r>
        <w:rPr>
          <w:rFonts w:ascii="Arial" w:cs="Arial" w:eastAsia="Arial" w:hAnsi="Arial"/>
          <w:sz w:val="22"/>
          <w:szCs w:val="22"/>
        </w:rPr>
        <w:t xml:space="preserve"> Alcanzado, y sin romper la restricción de ejecución local. Mediante descomposición por capas se ejecutó un modelo de 72.000 millones de parámetros en una tarjeta de 16 GB. El resultado se detalla en 6.2.</w:t>
      </w:r>
    </w:p>
    <w:p>
      <w:pPr>
        <w:pStyle w:val="Heading2"/>
        <w:spacing w:after="200" w:before="360"/>
      </w:pPr>
      <w:r>
        <w:rPr>
          <w:rFonts w:ascii="Arial" w:cs="Arial" w:eastAsia="Arial" w:hAnsi="Arial"/>
          <w:b/>
          <w:bCs/>
          <w:color w:val="000000"/>
          <w:sz w:val="26"/>
          <w:szCs w:val="26"/>
        </w:rPr>
        <w:t xml:space="preserve">6.2 Conclusiones principales</w:t>
      </w:r>
    </w:p>
    <w:p>
      <w:pPr>
        <w:pStyle w:val="Heading3"/>
        <w:spacing w:after="200" w:before="360"/>
      </w:pPr>
      <w:r>
        <w:rPr>
          <w:rFonts w:ascii="Arial" w:cs="Arial" w:eastAsia="Arial" w:hAnsi="Arial"/>
          <w:b/>
          <w:bCs/>
          <w:color w:val="000000"/>
          <w:sz w:val="24"/>
          <w:szCs w:val="24"/>
        </w:rPr>
        <w:t xml:space="preserve">6.2.1 La capacidad del modelo no es el factor limitante</w:t>
      </w:r>
    </w:p>
    <w:p>
      <w:pPr>
        <w:spacing w:after="160" w:line="360" w:lineRule="auto"/>
        <w:ind w:firstLine="425"/>
        <w:jc w:val="both"/>
      </w:pPr>
      <w:r>
        <w:rPr>
          <w:rFonts w:ascii="Arial" w:cs="Arial" w:eastAsia="Arial" w:hAnsi="Arial"/>
          <w:sz w:val="22"/>
          <w:szCs w:val="22"/>
        </w:rPr>
        <w:t xml:space="preserve">La hipótesis de partida era que los modelos que caben en memoria de consumo resultan insuficientes y que uno mayor decidiría mejor. Los datos no la respaldan.</w:t>
      </w:r>
    </w:p>
    <w:p>
      <w:pPr>
        <w:spacing w:after="160" w:line="360" w:lineRule="auto"/>
        <w:ind w:firstLine="425"/>
        <w:jc w:val="both"/>
      </w:pPr>
      <w:r>
        <w:rPr>
          <w:rFonts w:ascii="Arial" w:cs="Arial" w:eastAsia="Arial" w:hAnsi="Arial"/>
          <w:sz w:val="22"/>
          <w:szCs w:val="22"/>
        </w:rPr>
        <w:t xml:space="preserve">Sobre los dos únicos casos de fraude presentes en la cola del expediente, Qwen2.5-72B emite exactamente los mismos veredictos que Qwen2.5-14B: descarta ambos. El coste, en cambio, difiere en un factor de 1.790, con 6.623 segundos por caso frente a 3,7. La utilización de GPU observada, entre el 9 y el 25 %, sitúa el cuello de botella en la lectura de las capas desde disco y no en el cómputo, de modo que tampoco se corregiría con una tarjeta más potente.</w:t>
      </w:r>
    </w:p>
    <w:p>
      <w:pPr>
        <w:spacing w:after="160" w:line="360" w:lineRule="auto"/>
        <w:ind w:firstLine="425"/>
        <w:jc w:val="both"/>
      </w:pPr>
      <w:r>
        <w:rPr>
          <w:rFonts w:ascii="Arial" w:cs="Arial" w:eastAsia="Arial" w:hAnsi="Arial"/>
          <w:sz w:val="22"/>
          <w:szCs w:val="22"/>
        </w:rPr>
        <w:t xml:space="preserve">Entre los modelos que sí caben en memoria se observa una ordenación consistente en dirección —el de 8.000 millones destruye más fraude que el de 20.000— pero </w:t>
      </w:r>
      <w:r>
        <w:rPr>
          <w:rFonts w:ascii="Arial" w:cs="Arial" w:eastAsia="Arial" w:hAnsi="Arial"/>
          <w:b/>
          <w:bCs/>
          <w:sz w:val="22"/>
          <w:szCs w:val="22"/>
        </w:rPr>
        <w:t xml:space="preserve">esa diferencia no alcanza significación estadística</w:t>
      </w:r>
      <w:r>
        <w:rPr>
          <w:rFonts w:ascii="Arial" w:cs="Arial" w:eastAsia="Arial" w:hAnsi="Arial"/>
          <w:sz w:val="22"/>
          <w:szCs w:val="22"/>
        </w:rPr>
        <w:t xml:space="preserve"> con los datos disponibles: 19, 12 y 8 fraudes destruidos en dieciséis ejecuciones por modelo, con un contraste exacto de Fisher sobre la dicotomización que arroja p = 0,156 y una prueba de Mann-Whitney sobre los recuentos que arroja p = 0,050. La conclusión defendible es que la ordenación es sugerente y no está demostrada.</w:t>
      </w:r>
    </w:p>
    <w:p>
      <w:pPr>
        <w:pStyle w:val="Heading3"/>
        <w:spacing w:after="200" w:before="360"/>
      </w:pPr>
      <w:r>
        <w:rPr>
          <w:rFonts w:ascii="Arial" w:cs="Arial" w:eastAsia="Arial" w:hAnsi="Arial"/>
          <w:b/>
          <w:bCs/>
          <w:color w:val="000000"/>
          <w:sz w:val="24"/>
          <w:szCs w:val="24"/>
        </w:rPr>
        <w:t xml:space="preserve">6.2.2 Corregir la premisa declarada no corrige la decisión</w:t>
      </w:r>
    </w:p>
    <w:p>
      <w:pPr>
        <w:spacing w:after="160" w:line="360" w:lineRule="auto"/>
        <w:ind w:firstLine="425"/>
        <w:jc w:val="both"/>
      </w:pPr>
      <w:r>
        <w:rPr>
          <w:rFonts w:ascii="Arial" w:cs="Arial" w:eastAsia="Arial" w:hAnsi="Arial"/>
          <w:sz w:val="22"/>
          <w:szCs w:val="22"/>
        </w:rPr>
        <w:t xml:space="preserve">Es el resultado más relevante del trabajo y surgió de forma imprevista al analizar el objetivo 4.</w:t>
      </w:r>
    </w:p>
    <w:p>
      <w:pPr>
        <w:spacing w:after="160" w:line="360" w:lineRule="auto"/>
        <w:ind w:firstLine="425"/>
        <w:jc w:val="both"/>
      </w:pPr>
      <w:r>
        <w:rPr>
          <w:rFonts w:ascii="Arial" w:cs="Arial" w:eastAsia="Arial" w:hAnsi="Arial"/>
          <w:sz w:val="22"/>
          <w:szCs w:val="22"/>
        </w:rPr>
        <w:t xml:space="preserve">Al examinar los razonamientos escritos se observó que los modelos descartaban los fraudes alegando de forma explícita que el importe era reducido. En estos datos esa premisa está invertida: el importe mediano de una transacción fraudulenta es de 2,11 euros frente a 19,99 de una legítima, y el 59,3 % de los fraudes no llega a cinco euros frente al 25,1 % de las legítimas. Una transacción fraudulenta tiene 2,4 veces más probabilidad de ser de importe reducido que una legítima.</w:t>
      </w:r>
    </w:p>
    <w:p>
      <w:pPr>
        <w:spacing w:after="160" w:line="360" w:lineRule="auto"/>
        <w:ind w:firstLine="425"/>
        <w:jc w:val="both"/>
      </w:pPr>
      <w:r>
        <w:rPr>
          <w:rFonts w:ascii="Arial" w:cs="Arial" w:eastAsia="Arial" w:hAnsi="Arial"/>
          <w:sz w:val="22"/>
          <w:szCs w:val="22"/>
        </w:rPr>
        <w:t xml:space="preserve">Parecía, por tanto, un fallo barato de corregir. Se añadió al enunciado una corrección que retira la premisa falsa sin instalar la contraria, advirtiendo de que el cargo mínimo de prueba es habitual en fraude con tarjeta y que un importe reducido no basta por sí solo para descartar un caso. Decir lo contrario —que el importe bajo indica fraude— habría entregado la respuesta en la entrada y reproducido un defecto de diseño que ya obligó a rehacer un experimento anterior.</w:t>
      </w:r>
    </w:p>
    <w:p>
      <w:pPr>
        <w:spacing w:after="160" w:line="360" w:lineRule="auto"/>
        <w:ind w:firstLine="425"/>
        <w:jc w:val="both"/>
      </w:pPr>
      <w:r>
        <w:rPr>
          <w:rFonts w:ascii="Arial" w:cs="Arial" w:eastAsia="Arial" w:hAnsi="Arial"/>
          <w:sz w:val="22"/>
          <w:szCs w:val="22"/>
        </w:rPr>
        <w:t xml:space="preserve">Se midió sobre cuatro turnos, doce casos de cola por turno y dos modelos, en las dos condiciones: 192 veredictos en total.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shd w:fill="D9D9D9" w:val="clear"/>
          </w:tcPr>
          <w:p>
            <w:pPr>
              <w:spacing w:after="0"/>
            </w:pPr>
            <w:r>
              <w:rPr>
                <w:rFonts w:ascii="Arial" w:cs="Arial" w:eastAsia="Arial" w:hAnsi="Arial"/>
                <w:b/>
                <w:bCs/>
                <w:sz w:val="20"/>
                <w:szCs w:val="20"/>
              </w:rPr>
              <w:t xml:space="preserve">modelo</w:t>
            </w:r>
          </w:p>
        </w:tc>
        <w:tc>
          <w:tcPr>
            <w:tcW w:type="dxa" w:w="1285"/>
            <w:shd w:fill="D9D9D9" w:val="clear"/>
          </w:tcPr>
          <w:p>
            <w:pPr>
              <w:spacing w:after="0"/>
            </w:pPr>
            <w:r>
              <w:rPr>
                <w:rFonts w:ascii="Arial" w:cs="Arial" w:eastAsia="Arial" w:hAnsi="Arial"/>
                <w:b/>
                <w:bCs/>
                <w:sz w:val="20"/>
                <w:szCs w:val="20"/>
              </w:rPr>
              <w:t xml:space="preserve">corrección</w:t>
            </w:r>
          </w:p>
        </w:tc>
        <w:tc>
          <w:tcPr>
            <w:tcW w:type="dxa" w:w="1285"/>
            <w:shd w:fill="D9D9D9" w:val="clear"/>
          </w:tcPr>
          <w:p>
            <w:pPr>
              <w:spacing w:after="0"/>
            </w:pPr>
            <w:r>
              <w:rPr>
                <w:rFonts w:ascii="Arial" w:cs="Arial" w:eastAsia="Arial" w:hAnsi="Arial"/>
                <w:b/>
                <w:bCs/>
                <w:sz w:val="20"/>
                <w:szCs w:val="20"/>
              </w:rPr>
              <w:t xml:space="preserve">confirmaciones</w:t>
            </w:r>
          </w:p>
        </w:tc>
        <w:tc>
          <w:tcPr>
            <w:tcW w:type="dxa" w:w="1285"/>
            <w:shd w:fill="D9D9D9" w:val="clear"/>
          </w:tcPr>
          <w:p>
            <w:pPr>
              <w:spacing w:after="0"/>
            </w:pPr>
            <w:r>
              <w:rPr>
                <w:rFonts w:ascii="Arial" w:cs="Arial" w:eastAsia="Arial" w:hAnsi="Arial"/>
                <w:b/>
                <w:bCs/>
                <w:sz w:val="20"/>
                <w:szCs w:val="20"/>
              </w:rPr>
              <w:t xml:space="preserve">precisión</w:t>
            </w:r>
          </w:p>
        </w:tc>
        <w:tc>
          <w:tcPr>
            <w:tcW w:type="dxa" w:w="1285"/>
            <w:shd w:fill="D9D9D9" w:val="clear"/>
          </w:tcPr>
          <w:p>
            <w:pPr>
              <w:spacing w:after="0"/>
            </w:pPr>
            <w:r>
              <w:rPr>
                <w:rFonts w:ascii="Arial" w:cs="Arial" w:eastAsia="Arial" w:hAnsi="Arial"/>
                <w:b/>
                <w:bCs/>
                <w:sz w:val="20"/>
                <w:szCs w:val="20"/>
              </w:rPr>
              <w:t xml:space="preserve">recall</w:t>
            </w:r>
          </w:p>
        </w:tc>
        <w:tc>
          <w:tcPr>
            <w:tcW w:type="dxa" w:w="1285"/>
            <w:shd w:fill="D9D9D9" w:val="clear"/>
          </w:tcPr>
          <w:p>
            <w:pPr>
              <w:spacing w:after="0"/>
            </w:pPr>
            <w:r>
              <w:rPr>
                <w:rFonts w:ascii="Arial" w:cs="Arial" w:eastAsia="Arial" w:hAnsi="Arial"/>
                <w:b/>
                <w:bCs/>
                <w:sz w:val="20"/>
                <w:szCs w:val="20"/>
              </w:rPr>
              <w:t xml:space="preserve">menciona el patrón</w:t>
            </w:r>
          </w:p>
        </w:tc>
        <w:tc>
          <w:tcPr>
            <w:tcW w:type="dxa" w:w="1285"/>
            <w:shd w:fill="D9D9D9" w:val="clear"/>
          </w:tcPr>
          <w:p>
            <w:pPr>
              <w:spacing w:after="0"/>
            </w:pPr>
            <w:r>
              <w:rPr>
                <w:rFonts w:ascii="Arial" w:cs="Arial" w:eastAsia="Arial" w:hAnsi="Arial"/>
                <w:b/>
                <w:bCs/>
                <w:sz w:val="20"/>
                <w:szCs w:val="20"/>
              </w:rPr>
              <w:t xml:space="preserve">y descarta igual</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13 de 48</w:t>
            </w:r>
          </w:p>
        </w:tc>
        <w:tc>
          <w:tcPr>
            <w:tcW w:type="dxa" w:w="1285"/>
          </w:tcPr>
          <w:p>
            <w:pPr>
              <w:spacing w:after="0"/>
            </w:pPr>
            <w:r>
              <w:rPr>
                <w:rFonts w:ascii="Arial" w:cs="Arial" w:eastAsia="Arial" w:hAnsi="Arial"/>
                <w:b w:val="false"/>
                <w:bCs w:val="false"/>
                <w:sz w:val="20"/>
                <w:szCs w:val="20"/>
              </w:rPr>
              <w:t xml:space="preserve">0,15</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llama3.1 8B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36 de 48</w:t>
            </w:r>
          </w:p>
        </w:tc>
        <w:tc>
          <w:tcPr>
            <w:tcW w:type="dxa" w:w="1285"/>
          </w:tcPr>
          <w:p>
            <w:pPr>
              <w:spacing w:after="0"/>
            </w:pPr>
            <w:r>
              <w:rPr>
                <w:rFonts w:ascii="Arial" w:cs="Arial" w:eastAsia="Arial" w:hAnsi="Arial"/>
                <w:b w:val="false"/>
                <w:bCs w:val="false"/>
                <w:sz w:val="20"/>
                <w:szCs w:val="20"/>
              </w:rPr>
              <w:t xml:space="preserve">0,08</w:t>
            </w:r>
          </w:p>
        </w:tc>
        <w:tc>
          <w:tcPr>
            <w:tcW w:type="dxa" w:w="1285"/>
          </w:tcPr>
          <w:p>
            <w:pPr>
              <w:spacing w:after="0"/>
            </w:pPr>
            <w:r>
              <w:rPr>
                <w:rFonts w:ascii="Arial" w:cs="Arial" w:eastAsia="Arial" w:hAnsi="Arial"/>
                <w:b w:val="false"/>
                <w:bCs w:val="false"/>
                <w:sz w:val="20"/>
                <w:szCs w:val="20"/>
              </w:rPr>
              <w:t xml:space="preserve">0,60</w:t>
            </w:r>
          </w:p>
        </w:tc>
        <w:tc>
          <w:tcPr>
            <w:tcW w:type="dxa" w:w="1285"/>
          </w:tcPr>
          <w:p>
            <w:pPr>
              <w:spacing w:after="0"/>
            </w:pPr>
            <w:r>
              <w:rPr>
                <w:rFonts w:ascii="Arial" w:cs="Arial" w:eastAsia="Arial" w:hAnsi="Arial"/>
                <w:b w:val="false"/>
                <w:bCs w:val="false"/>
                <w:sz w:val="20"/>
                <w:szCs w:val="20"/>
              </w:rPr>
              <w:t xml:space="preserve">20</w:t>
            </w:r>
          </w:p>
        </w:tc>
        <w:tc>
          <w:tcPr>
            <w:tcW w:type="dxa" w:w="1285"/>
          </w:tcPr>
          <w:p>
            <w:pPr>
              <w:spacing w:after="0"/>
            </w:pPr>
            <w:r>
              <w:rPr>
                <w:rFonts w:ascii="Arial" w:cs="Arial" w:eastAsia="Arial" w:hAnsi="Arial"/>
                <w:b w:val="false"/>
                <w:bCs w:val="false"/>
                <w:sz w:val="20"/>
                <w:szCs w:val="20"/>
              </w:rPr>
              <w:t xml:space="preserve">3 (15 %)</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no</w:t>
            </w:r>
          </w:p>
        </w:tc>
        <w:tc>
          <w:tcPr>
            <w:tcW w:type="dxa" w:w="1285"/>
          </w:tcPr>
          <w:p>
            <w:pPr>
              <w:spacing w:after="0"/>
            </w:pPr>
            <w:r>
              <w:rPr>
                <w:rFonts w:ascii="Arial" w:cs="Arial" w:eastAsia="Arial" w:hAnsi="Arial"/>
                <w:b w:val="false"/>
                <w:bCs w:val="false"/>
                <w:sz w:val="20"/>
                <w:szCs w:val="20"/>
              </w:rPr>
              <w:t xml:space="preserve">6 de 48</w:t>
            </w:r>
          </w:p>
        </w:tc>
        <w:tc>
          <w:tcPr>
            <w:tcW w:type="dxa" w:w="1285"/>
          </w:tcPr>
          <w:p>
            <w:pPr>
              <w:spacing w:after="0"/>
            </w:pPr>
            <w:r>
              <w:rPr>
                <w:rFonts w:ascii="Arial" w:cs="Arial" w:eastAsia="Arial" w:hAnsi="Arial"/>
                <w:b w:val="false"/>
                <w:bCs w:val="false"/>
                <w:sz w:val="20"/>
                <w:szCs w:val="20"/>
              </w:rPr>
              <w:t xml:space="preserve">0,33</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0</w:t>
            </w:r>
          </w:p>
        </w:tc>
        <w:tc>
          <w:tcPr>
            <w:tcW w:type="dxa" w:w="1285"/>
          </w:tcPr>
          <w:p>
            <w:pPr>
              <w:spacing w:after="0"/>
            </w:pPr>
            <w:r>
              <w:rPr>
                <w:rFonts w:ascii="Arial" w:cs="Arial" w:eastAsia="Arial" w:hAnsi="Arial"/>
                <w:b w:val="false"/>
                <w:bCs w:val="false"/>
                <w:sz w:val="20"/>
                <w:szCs w:val="20"/>
              </w:rPr>
              <w:t xml:space="preserve">—</w:t>
            </w:r>
          </w:p>
        </w:tc>
      </w:tr>
      <w:tr>
        <w:tc>
          <w:tcPr>
            <w:tcW w:type="dxa" w:w="1285"/>
          </w:tcPr>
          <w:p>
            <w:pPr>
              <w:spacing w:after="0"/>
            </w:pPr>
            <w:r>
              <w:rPr>
                <w:rFonts w:ascii="Arial" w:cs="Arial" w:eastAsia="Arial" w:hAnsi="Arial"/>
                <w:b w:val="false"/>
                <w:bCs w:val="false"/>
                <w:sz w:val="20"/>
                <w:szCs w:val="20"/>
              </w:rPr>
              <w:t xml:space="preserve">qwen2.5 14B</w:t>
            </w:r>
          </w:p>
        </w:tc>
        <w:tc>
          <w:tcPr>
            <w:tcW w:type="dxa" w:w="1285"/>
          </w:tcPr>
          <w:p>
            <w:pPr>
              <w:spacing w:after="0"/>
            </w:pPr>
            <w:r>
              <w:rPr>
                <w:rFonts w:ascii="Arial" w:cs="Arial" w:eastAsia="Arial" w:hAnsi="Arial"/>
                <w:b w:val="false"/>
                <w:bCs w:val="false"/>
                <w:sz w:val="20"/>
                <w:szCs w:val="20"/>
              </w:rPr>
              <w:t xml:space="preserve">**sí**</w:t>
            </w:r>
          </w:p>
        </w:tc>
        <w:tc>
          <w:tcPr>
            <w:tcW w:type="dxa" w:w="1285"/>
          </w:tcPr>
          <w:p>
            <w:pPr>
              <w:spacing w:after="0"/>
            </w:pPr>
            <w:r>
              <w:rPr>
                <w:rFonts w:ascii="Arial" w:cs="Arial" w:eastAsia="Arial" w:hAnsi="Arial"/>
                <w:b w:val="false"/>
                <w:bCs w:val="false"/>
                <w:sz w:val="20"/>
                <w:szCs w:val="20"/>
              </w:rPr>
              <w:t xml:space="preserve">12 de 48</w:t>
            </w:r>
          </w:p>
        </w:tc>
        <w:tc>
          <w:tcPr>
            <w:tcW w:type="dxa" w:w="1285"/>
          </w:tcPr>
          <w:p>
            <w:pPr>
              <w:spacing w:after="0"/>
            </w:pPr>
            <w:r>
              <w:rPr>
                <w:rFonts w:ascii="Arial" w:cs="Arial" w:eastAsia="Arial" w:hAnsi="Arial"/>
                <w:b w:val="false"/>
                <w:bCs w:val="false"/>
                <w:sz w:val="20"/>
                <w:szCs w:val="20"/>
              </w:rPr>
              <w:t xml:space="preserve">0,17</w:t>
            </w:r>
          </w:p>
        </w:tc>
        <w:tc>
          <w:tcPr>
            <w:tcW w:type="dxa" w:w="1285"/>
          </w:tcPr>
          <w:p>
            <w:pPr>
              <w:spacing w:after="0"/>
            </w:pPr>
            <w:r>
              <w:rPr>
                <w:rFonts w:ascii="Arial" w:cs="Arial" w:eastAsia="Arial" w:hAnsi="Arial"/>
                <w:b w:val="false"/>
                <w:bCs w:val="false"/>
                <w:sz w:val="20"/>
                <w:szCs w:val="20"/>
              </w:rPr>
              <w:t xml:space="preserve">0,40</w:t>
            </w:r>
          </w:p>
        </w:tc>
        <w:tc>
          <w:tcPr>
            <w:tcW w:type="dxa" w:w="1285"/>
          </w:tcPr>
          <w:p>
            <w:pPr>
              <w:spacing w:after="0"/>
            </w:pPr>
            <w:r>
              <w:rPr>
                <w:rFonts w:ascii="Arial" w:cs="Arial" w:eastAsia="Arial" w:hAnsi="Arial"/>
                <w:b w:val="false"/>
                <w:bCs w:val="false"/>
                <w:sz w:val="20"/>
                <w:szCs w:val="20"/>
              </w:rPr>
              <w:t xml:space="preserve">23</w:t>
            </w:r>
          </w:p>
        </w:tc>
        <w:tc>
          <w:tcPr>
            <w:tcW w:type="dxa" w:w="1285"/>
          </w:tcPr>
          <w:p>
            <w:pPr>
              <w:spacing w:after="0"/>
            </w:pPr>
            <w:r>
              <w:rPr>
                <w:rFonts w:ascii="Arial" w:cs="Arial" w:eastAsia="Arial" w:hAnsi="Arial"/>
                <w:b w:val="false"/>
                <w:bCs w:val="false"/>
                <w:sz w:val="20"/>
                <w:szCs w:val="20"/>
              </w:rPr>
              <w:t xml:space="preserve">14 (61 %)</w:t>
            </w:r>
          </w:p>
        </w:tc>
      </w:tr>
    </w:tbl>
    <w:p>
      <w:pPr>
        <w:spacing w:after="160"/>
      </w:pPr>
    </w:p>
    <w:p>
      <w:pPr>
        <w:spacing w:after="160" w:line="360" w:lineRule="auto"/>
        <w:ind w:firstLine="425"/>
        <w:jc w:val="both"/>
      </w:pPr>
      <w:r>
        <w:rPr>
          <w:rFonts w:ascii="Arial" w:cs="Arial" w:eastAsia="Arial" w:hAnsi="Arial"/>
          <w:sz w:val="22"/>
          <w:szCs w:val="22"/>
        </w:rPr>
        <w:t xml:space="preserve">La corrección se incorpora al texto sin excepción: sin ella el patrón del cargo de prueba no aparece ni una sola vez en noventa y seis casos; con ella aparece en cuarenta y tres. Lo que no mejora en ningún modelo es la decisión. </w:t>
      </w:r>
      <w:r>
        <w:rPr>
          <w:rFonts w:ascii="Arial" w:cs="Arial" w:eastAsia="Arial" w:hAnsi="Arial"/>
          <w:b/>
          <w:bCs/>
          <w:sz w:val="22"/>
          <w:szCs w:val="22"/>
        </w:rPr>
        <w:t xml:space="preserve">La precisión cae a la mitad en ambos</w:t>
      </w:r>
      <w:r>
        <w:rPr>
          <w:rFonts w:ascii="Arial" w:cs="Arial" w:eastAsia="Arial" w:hAnsi="Arial"/>
          <w:sz w:val="22"/>
          <w:szCs w:val="22"/>
        </w:rPr>
        <w:t xml:space="preserve"> y el fraude recuperado en total pasa de seis casos a cinco.</w:t>
      </w:r>
    </w:p>
    <w:p>
      <w:pPr>
        <w:spacing w:after="160" w:line="360" w:lineRule="auto"/>
        <w:ind w:firstLine="425"/>
        <w:jc w:val="both"/>
      </w:pPr>
      <w:r>
        <w:rPr>
          <w:rFonts w:ascii="Arial" w:cs="Arial" w:eastAsia="Arial" w:hAnsi="Arial"/>
          <w:sz w:val="22"/>
          <w:szCs w:val="22"/>
        </w:rPr>
        <w:t xml:space="preserve">El modo de fallo, sin embargo, difiere según el modelo, y esa diferencia es informativa.</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qwen2.5 14B</w:t>
      </w:r>
      <w:r>
        <w:rPr>
          <w:rFonts w:ascii="Arial" w:cs="Arial" w:eastAsia="Arial" w:hAnsi="Arial"/>
          <w:sz w:val="22"/>
          <w:szCs w:val="22"/>
        </w:rPr>
        <w:t xml:space="preserve"> la prosa y el veredicto se separan: el modelo nombra el patrón, lo reconoce en el caso concreto y a continuación lo descarta en el 61 % de las ocasiones. Escribe que un caso podría ser un intento inicial de verificación previo a una transacción mayor, y lo descarta. El recall no se mueve en absoluto.</w:t>
      </w:r>
    </w:p>
    <w:p>
      <w:pPr>
        <w:spacing w:after="160" w:line="360" w:lineRule="auto"/>
        <w:ind w:firstLine="425"/>
        <w:jc w:val="both"/>
      </w:pPr>
      <w:r>
        <w:rPr>
          <w:rFonts w:ascii="Arial" w:cs="Arial" w:eastAsia="Arial" w:hAnsi="Arial"/>
          <w:sz w:val="22"/>
          <w:szCs w:val="22"/>
        </w:rPr>
        <w:t xml:space="preserve">En </w:t>
      </w:r>
      <w:r>
        <w:rPr>
          <w:rFonts w:ascii="Arial" w:cs="Arial" w:eastAsia="Arial" w:hAnsi="Arial"/>
          <w:b/>
          <w:bCs/>
          <w:sz w:val="22"/>
          <w:szCs w:val="22"/>
        </w:rPr>
        <w:t xml:space="preserve">llama3.1 8B</w:t>
      </w:r>
      <w:r>
        <w:rPr>
          <w:rFonts w:ascii="Arial" w:cs="Arial" w:eastAsia="Arial" w:hAnsi="Arial"/>
          <w:sz w:val="22"/>
          <w:szCs w:val="22"/>
        </w:rPr>
        <w:t xml:space="preserve"> ocurre lo contrario: la prosa y el veredicto van juntos, con sólo un 15 % de contradicción, pero el modelo pasa a confirmar treinta y seis de cuarenta y ocho casos. Recupera un fraude más, y a cambio deja de filtrar: confirmar tres de cada cuatro casos elevados equivale a no aportar nada sobre la salida del detector.</w:t>
      </w:r>
    </w:p>
    <w:p>
      <w:pPr>
        <w:spacing w:after="160" w:line="360" w:lineRule="auto"/>
        <w:ind w:firstLine="425"/>
        <w:jc w:val="both"/>
      </w:pPr>
      <w:r>
        <w:rPr>
          <w:rFonts w:ascii="Arial" w:cs="Arial" w:eastAsia="Arial" w:hAnsi="Arial"/>
          <w:sz w:val="22"/>
          <w:szCs w:val="22"/>
        </w:rPr>
        <w:t xml:space="preserve">De ello se siguen dos conclusiones distintas y ambas incómodas. La primera es que </w:t>
      </w:r>
      <w:r>
        <w:rPr>
          <w:rFonts w:ascii="Arial" w:cs="Arial" w:eastAsia="Arial" w:hAnsi="Arial"/>
          <w:b/>
          <w:bCs/>
          <w:sz w:val="22"/>
          <w:szCs w:val="22"/>
        </w:rPr>
        <w:t xml:space="preserve">la explicación redactada no es un indicador fiable de lo que el modelo va a decidir</w:t>
      </w:r>
      <w:r>
        <w:rPr>
          <w:rFonts w:ascii="Arial" w:cs="Arial" w:eastAsia="Arial" w:hAnsi="Arial"/>
          <w:sz w:val="22"/>
          <w:szCs w:val="22"/>
        </w:rPr>
        <w:t xml:space="preserve">: en el modelo de 14.000 millones de parámetros la contradice de forma directa en la mayoría de los casos en que la menciona. La segunda es que </w:t>
      </w:r>
      <w:r>
        <w:rPr>
          <w:rFonts w:ascii="Arial" w:cs="Arial" w:eastAsia="Arial" w:hAnsi="Arial"/>
          <w:b/>
          <w:bCs/>
          <w:sz w:val="22"/>
          <w:szCs w:val="22"/>
        </w:rPr>
        <w:t xml:space="preserve">cuando el veredicto sí sigue al texto, lo hace desplazando el criterio en bloque en lugar de discriminando mejor</w:t>
      </w:r>
      <w:r>
        <w:rPr>
          <w:rFonts w:ascii="Arial" w:cs="Arial" w:eastAsia="Arial" w:hAnsi="Arial"/>
          <w:sz w:val="22"/>
          <w:szCs w:val="22"/>
        </w:rPr>
        <w:t xml:space="preserve">.</w:t>
      </w:r>
    </w:p>
    <w:p>
      <w:pPr>
        <w:spacing w:after="160" w:line="360" w:lineRule="auto"/>
        <w:ind w:firstLine="425"/>
        <w:jc w:val="both"/>
      </w:pPr>
      <w:r>
        <w:rPr>
          <w:rFonts w:ascii="Arial" w:cs="Arial" w:eastAsia="Arial" w:hAnsi="Arial"/>
          <w:sz w:val="22"/>
          <w:szCs w:val="22"/>
        </w:rPr>
        <w:t xml:space="preserve">Este trabajo no afirma nada sobre el mecanismo interno que produce ese comportamiento. Sí constata que corregir la premisa declarada altera de forma sistemática lo que el modelo escribe y no mejora lo que el modelo decide.</w:t>
      </w:r>
    </w:p>
    <w:p>
      <w:pPr>
        <w:spacing w:after="160" w:line="360" w:lineRule="auto"/>
        <w:ind w:firstLine="425"/>
        <w:jc w:val="both"/>
      </w:pPr>
      <w:r>
        <w:rPr>
          <w:rFonts w:ascii="Arial" w:cs="Arial" w:eastAsia="Arial" w:hAnsi="Arial"/>
          <w:sz w:val="22"/>
          <w:szCs w:val="22"/>
        </w:rPr>
        <w:t xml:space="preserve">La consecuencia práctica para el diseño de sistemas como este es que </w:t>
      </w:r>
      <w:r>
        <w:rPr>
          <w:rFonts w:ascii="Arial" w:cs="Arial" w:eastAsia="Arial" w:hAnsi="Arial"/>
          <w:b/>
          <w:bCs/>
          <w:sz w:val="22"/>
          <w:szCs w:val="22"/>
        </w:rPr>
        <w:t xml:space="preserve">una explicación bien redactada y coherente con el dominio no constituye evidencia de que la decisión se haya tomado por esas razones</w:t>
      </w:r>
      <w:r>
        <w:rPr>
          <w:rFonts w:ascii="Arial" w:cs="Arial" w:eastAsia="Arial" w:hAnsi="Arial"/>
          <w:sz w:val="22"/>
          <w:szCs w:val="22"/>
        </w:rPr>
        <w:t xml:space="preserve">, y por tanto no debe emplearse para auditar al sistema que la produce.</w:t>
      </w:r>
    </w:p>
    <w:p>
      <w:pPr>
        <w:pStyle w:val="Heading3"/>
        <w:spacing w:after="200" w:before="360"/>
      </w:pPr>
      <w:r>
        <w:rPr>
          <w:rFonts w:ascii="Arial" w:cs="Arial" w:eastAsia="Arial" w:hAnsi="Arial"/>
          <w:b/>
          <w:bCs/>
          <w:color w:val="000000"/>
          <w:sz w:val="24"/>
          <w:szCs w:val="24"/>
        </w:rPr>
        <w:t xml:space="preserve">6.2.3 La puntuación del detector aporta confianza, no criterio</w:t>
      </w:r>
    </w:p>
    <w:p>
      <w:pPr>
        <w:spacing w:after="160" w:line="360" w:lineRule="auto"/>
        <w:ind w:firstLine="425"/>
        <w:jc w:val="both"/>
      </w:pPr>
      <w:r>
        <w:rPr>
          <w:rFonts w:ascii="Arial" w:cs="Arial" w:eastAsia="Arial" w:hAnsi="Arial"/>
          <w:sz w:val="22"/>
          <w:szCs w:val="22"/>
        </w:rPr>
        <w:t xml:space="preserve">La ablación del expediente, con cuarenta y ocho ejecuciones sobre tres niveles de información, muestra que al retirar la puntuación del detector el volumen de descartes se desploma un 65 % mientras la calidad apenas cae, del 92 % al 82 % de aciertos. El determinismo entre ejecuciones pasa de cuatro de cuatro a una de cuatro.</w:t>
      </w:r>
    </w:p>
    <w:p>
      <w:pPr>
        <w:spacing w:after="160" w:line="360" w:lineRule="auto"/>
        <w:ind w:firstLine="425"/>
        <w:jc w:val="both"/>
      </w:pPr>
      <w:r>
        <w:rPr>
          <w:rFonts w:ascii="Arial" w:cs="Arial" w:eastAsia="Arial" w:hAnsi="Arial"/>
          <w:sz w:val="22"/>
          <w:szCs w:val="22"/>
        </w:rPr>
        <w:t xml:space="preserve">Es decir: la puntuación no le da al agente capacidad de distinguir un fraude de un falso positivo, le da seguridad para pronunciarse y estabilidad para repetirse. Es el mismo fenómeno que 6.2.2 describe desde el otro lado.</w:t>
      </w:r>
    </w:p>
    <w:p>
      <w:pPr>
        <w:pStyle w:val="Heading3"/>
        <w:spacing w:after="200" w:before="360"/>
      </w:pPr>
      <w:r>
        <w:rPr>
          <w:rFonts w:ascii="Arial" w:cs="Arial" w:eastAsia="Arial" w:hAnsi="Arial"/>
          <w:b/>
          <w:bCs/>
          <w:color w:val="000000"/>
          <w:sz w:val="24"/>
          <w:szCs w:val="24"/>
        </w:rPr>
        <w:t xml:space="preserve">6.2.4 El cuello de botella operativo es la capacidad de revisión</w:t>
      </w:r>
    </w:p>
    <w:p>
      <w:pPr>
        <w:spacing w:after="160" w:line="360" w:lineRule="auto"/>
        <w:ind w:firstLine="425"/>
        <w:jc w:val="both"/>
      </w:pPr>
      <w:r>
        <w:rPr>
          <w:rFonts w:ascii="Arial" w:cs="Arial" w:eastAsia="Arial" w:hAnsi="Arial"/>
          <w:sz w:val="22"/>
          <w:szCs w:val="22"/>
        </w:rPr>
        <w:t xml:space="preserve">El detector eleva más casos de los que un equipo puede revisar, y esa restricción, no la calidad del modelo de lenguaje, es la que determina cuánto fraude se atrapa. El análisis de operación en continuo lo confirma desde otro ángulo: con ventanas de cinco minutos la ocupación de cómputo es del 3,9 %, de modo que sobra máquina y falta gente. La latencia media entre que ocurre una transacción fraudulenta y aparece en un informe cae de 120 minutos con lotes de cuatro horas a unos 6 minutos con ventanas de diez, sin coste apreciable.</w:t>
      </w:r>
    </w:p>
    <w:p>
      <w:pPr>
        <w:pStyle w:val="Heading3"/>
        <w:spacing w:after="200" w:before="360"/>
      </w:pPr>
      <w:r>
        <w:rPr>
          <w:rFonts w:ascii="Arial" w:cs="Arial" w:eastAsia="Arial" w:hAnsi="Arial"/>
          <w:b/>
          <w:bCs/>
          <w:color w:val="000000"/>
          <w:sz w:val="24"/>
          <w:szCs w:val="24"/>
        </w:rPr>
        <w:t xml:space="preserve">6.2.5 Los modos de fallo son silenciosos</w:t>
      </w:r>
    </w:p>
    <w:p>
      <w:pPr>
        <w:spacing w:after="160" w:line="360" w:lineRule="auto"/>
        <w:ind w:firstLine="425"/>
        <w:jc w:val="both"/>
      </w:pPr>
      <w:r>
        <w:rPr>
          <w:rFonts w:ascii="Arial" w:cs="Arial" w:eastAsia="Arial" w:hAnsi="Arial"/>
          <w:sz w:val="22"/>
          <w:szCs w:val="22"/>
        </w:rPr>
        <w:t xml:space="preserve">Ninguno de los fallos encontrados durante el desarrollo lanzó una excepción. Todos produjeron resultados que parecían correctos: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Aplicar SMOTE antes de dividir el conjunto produce un AUC-PR de 1,0000, cifra que sólo una revisión metodológica delata como imposible.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parámetro que no se propagaba al contexto hizo que el sistema elevara sesenta casos donde debía elevar uno, con un coste doce veces mayor y sin ningún aviso.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Omitir en el enunciado la descripción de la salida esperada hizo que el modelo escribiera el veredicto en un formato ligeramente distinto, y la extracción devolviera cero veredictos de diez con todas las métricas a cero.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Al agregar veredictos concatenando salidas, una cabecera huérfana se emparejaba con el veredicto de la siguiente, perdiendo el último caso. En la ejecución afectada el caso perdido resultó ser el único que era fraude, y la cifra publicada de fraude destruido fue cero cuando el valor real era uno: el error apuntaba en la dirección favorable.</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modelo de razonamiento agotaba su presupuesto de generación pensando antes de responder, de modo que la respuesta llegaba vacía o cortada a mitad de frase, sin el veredicto final. El sistema de medida registraba entonces doce casos sin veredicto y todas las métricas a cero, y más adelante, al ampliar el presupuesto, siete de doce, que se agregaron en silencio junto a ejecuciones completas y aparecieron en una tabla comparativa indistinguibles de ellas. El guion de ablación sólo descartaba una ejecución cuando no lograba extraer ningún veredicto, no cuando le faltaban algunos.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Apilar ficheros de experimento con combinaciones de turno y repetición duplicadas elevó el tamaño muestral de dieciséis a treinta y dos ejecuciones por modelo y convirtió en significativos dos contrastes que no lo son.</w:t>
      </w:r>
    </w:p>
    <w:p>
      <w:pPr>
        <w:spacing w:after="160" w:line="360" w:lineRule="auto"/>
        <w:ind w:firstLine="425"/>
        <w:jc w:val="both"/>
      </w:pPr>
      <w:r>
        <w:rPr>
          <w:rFonts w:ascii="Arial" w:cs="Arial" w:eastAsia="Arial" w:hAnsi="Arial"/>
          <w:sz w:val="22"/>
          <w:szCs w:val="22"/>
        </w:rPr>
        <w:t xml:space="preserve">Un sistema de este tipo exige, por tanto, validación programática de las salidas y desconfianza sistemática ante los resultados que confirman lo que se esperaba.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de 0,837 en partición aleatoria y 0,760 en temporal.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entre modelos que caben en memoria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repeticiones dentro de un mismo turno, con temperatura 0,1, son casi idénticas entre sí. El número de observaciones verdaderamente independientes es el de turnos, cuatro, y no el de ejecuciones.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se solapan parcialmente y no constituyen muestras independientes entre sí.</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comparación con el modelo de mayor capacidad se realizó sobre cuatro casos elegidos de forma deliberada. Es una demostración, no una serie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realizó con un solo modelo, de modo que no puede afirmarse que la dependencia de la puntuación sea general.</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Las dos únicas variables interpretables del conjunto apenas contribuyen: retirar la hora mejora el AUC-PR en 0,004 y emplear sólo las componentes principales lo empeora en 0,006. Las explicaciones de la capa de agentes se apoyan precisamente en esas dos variables.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modelos de razonamiento quedan fuera de la comparación. Consumen su presupuesto de generación antes de emitir la respuesta, de modo que a coste fijo devuelven salidas truncadas: con el presupuesto común a los demás modelos no responden en absoluto, y al cuadruplicarlo sólo una de ocho ejecuciones completó los doce veredictos. No son comparables bajo el diseño experimental empleado, que fija el coste por caso.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único conjunto de datos, anonimizado, de un solo periodo y una sola región geográfica.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para un analista humano no se ha medido: haría falta un estudio con usuarios.</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ind w:firstLine="425"/>
        <w:jc w:val="both"/>
      </w:pPr>
      <w:r>
        <w:rPr>
          <w:rFonts w:ascii="Arial" w:cs="Arial" w:eastAsia="Arial" w:hAnsi="Arial"/>
          <w:b/>
          <w:bCs/>
          <w:sz w:val="22"/>
          <w:szCs w:val="22"/>
        </w:rPr>
        <w:t xml:space="preserve">Extensión a un dominio con contenido semántico.</w:t>
      </w:r>
      <w:r>
        <w:rPr>
          <w:rFonts w:ascii="Arial" w:cs="Arial" w:eastAsia="Arial" w:hAnsi="Arial"/>
          <w:sz w:val="22"/>
          <w:szCs w:val="22"/>
        </w:rPr>
        <w:t xml:space="preserve"> Es la línea principal. En transferencias o en prevención de blanqueo de capitales existen conceptos, ordenantes, países y relaciones entre operaciones sobre los que un modelo de lenguaje puede razonar de verdad. En el conjunto empleado aquí, veintiocho componentes anonimizadas, un importe y una hora, no hay nada que interpretar más allá de lo que el detector ya ha calculado, de modo que la limitación observada podría ser del dominio y no del enfoque. Comprobarlo requeriría un conjunto de datos con esas características.</w:t>
      </w:r>
    </w:p>
    <w:p>
      <w:pPr>
        <w:spacing w:after="160" w:line="360" w:lineRule="auto"/>
        <w:ind w:firstLine="425"/>
        <w:jc w:val="both"/>
      </w:pPr>
      <w:r>
        <w:rPr>
          <w:rFonts w:ascii="Arial" w:cs="Arial" w:eastAsia="Arial" w:hAnsi="Arial"/>
          <w:b/>
          <w:bCs/>
          <w:sz w:val="22"/>
          <w:szCs w:val="22"/>
        </w:rPr>
        <w:t xml:space="preserve">Ajuste fino sobre casos etiquetados.</w:t>
      </w:r>
      <w:r>
        <w:rPr>
          <w:rFonts w:ascii="Arial" w:cs="Arial" w:eastAsia="Arial" w:hAnsi="Arial"/>
          <w:sz w:val="22"/>
          <w:szCs w:val="22"/>
        </w:rPr>
        <w:t xml:space="preserve"> Dado que corregir la premisa en el enunciado no altera la decisión, la vía razonable para modificarla sería un ajuste de bajo rango sobre ejemplos del propio dominio, que sustituiría la creencia general del modelo por la distribución real de estos datos. Es también la forma de comprobar si la disociación descrita en 6.2.2 persiste cuando la información llega por los pesos y no por el enunciado.</w:t>
      </w:r>
    </w:p>
    <w:p>
      <w:pPr>
        <w:spacing w:after="160" w:line="360" w:lineRule="auto"/>
        <w:ind w:firstLine="425"/>
        <w:jc w:val="both"/>
      </w:pPr>
      <w:r>
        <w:rPr>
          <w:rFonts w:ascii="Arial" w:cs="Arial" w:eastAsia="Arial" w:hAnsi="Arial"/>
          <w:b/>
          <w:bCs/>
          <w:sz w:val="22"/>
          <w:szCs w:val="22"/>
        </w:rPr>
        <w:t xml:space="preserve">Suprimir el veredicto de la capa de agentes en la cola del expediente.</w:t>
      </w:r>
      <w:r>
        <w:rPr>
          <w:rFonts w:ascii="Arial" w:cs="Arial" w:eastAsia="Arial" w:hAnsi="Arial"/>
          <w:sz w:val="22"/>
          <w:szCs w:val="22"/>
        </w:rPr>
        <w:t xml:space="preserve"> Se ha comprobado que en la zona de menor probabilidad ningún modelo discrimina. Reservar la intervención del modelo a la explicación de los casos de cabeza, y no al filtrado, conservaría el beneficio sin el coste en recall.</w:t>
      </w:r>
    </w:p>
    <w:p>
      <w:pPr>
        <w:spacing w:after="160" w:line="360" w:lineRule="auto"/>
        <w:ind w:firstLine="425"/>
        <w:jc w:val="both"/>
      </w:pPr>
      <w:r>
        <w:rPr>
          <w:rFonts w:ascii="Arial" w:cs="Arial" w:eastAsia="Arial" w:hAnsi="Arial"/>
          <w:b/>
          <w:bCs/>
          <w:sz w:val="22"/>
          <w:szCs w:val="22"/>
        </w:rPr>
        <w:t xml:space="preserve">Medir el valor explicativo con analistas reales.</w:t>
      </w:r>
      <w:r>
        <w:rPr>
          <w:rFonts w:ascii="Arial" w:cs="Arial" w:eastAsia="Arial" w:hAnsi="Arial"/>
          <w:sz w:val="22"/>
          <w:szCs w:val="22"/>
        </w:rPr>
        <w:t xml:space="preserve"> El trabajo mide si la capa de agentes filtra bien, que resulta que no. No mide si sus explicaciones ayudan a un humano a decidir más rápido o mejor, que es la razón por la que se incorporó. A la vista de 6.2.2, esa medición debería diseñarse teniendo en cuenta que una explicación convincente puede no corresponderse con el motivo real de la decisión.</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[PENDIENTE] Referencias sobre capacidad agéntica de modelos pequeños — ver docs/ESTADO_DEL_ARTE.md, sección 4.</w:t>
      </w:r>
    </w:p>
    <w:p>
      <w:pPr>
        <w:spacing w:after="160" w:line="360" w:lineRule="auto"/>
        <w:ind w:left="425" w:hanging="425"/>
      </w:pPr>
      <w:r>
        <w:rPr>
          <w:rFonts w:ascii="Arial" w:cs="Arial" w:eastAsia="Arial" w:hAnsi="Arial"/>
          <w:sz w:val="22"/>
          <w:szCs w:val="22"/>
        </w:rPr>
        <w:t xml:space="preserve">[PENDIENTE] Referencias sobre fuga de información en detección de fraude — ver docs/ESTADO_DEL_ARTE.md, sección 2.</w:t>
      </w:r>
    </w:p>
    <w:p>
      <w:pPr>
        <w:spacing w:after="160" w:line="360" w:lineRule="auto"/>
        <w:ind w:left="425" w:hanging="425"/>
      </w:pPr>
      <w:r>
        <w:rPr>
          <w:rFonts w:ascii="Arial" w:cs="Arial" w:eastAsia="Arial" w:hAnsi="Arial"/>
          <w:sz w:val="22"/>
          <w:szCs w:val="22"/>
        </w:rPr>
        <w:t xml:space="preserve">[PENDIENTE] Referencias sobre modelos de lenguaje para explicabilidad — ver docs/ESTADO_DEL_ARTE.md, sección 5.</w:t>
      </w:r>
    </w:p>
    <w:p>
      <w:pPr>
        <w:spacing w:after="160" w:line="360" w:lineRule="auto"/>
        <w:ind w:left="425" w:hanging="425"/>
      </w:pPr>
      <w:r>
        <w:rPr>
          <w:rFonts w:ascii="Arial" w:cs="Arial" w:eastAsia="Arial" w:hAnsi="Arial"/>
          <w:sz w:val="22"/>
          <w:szCs w:val="22"/>
        </w:rPr>
        <w:t xml:space="preserve">[PENDIENTE] Referencias sobre modelos de lenguaje y datos tabulares — ver docs/ESTADO_DEL_ARTE.md, sección 3.</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160" w:line="360" w:lineRule="auto"/>
      </w:pPr>
      <w:r>
        <w:rPr>
          <w:rFonts w:ascii="Arial" w:cs="Arial" w:eastAsia="Arial" w:hAnsi="Arial"/>
          <w:i/>
          <w:iCs/>
          <w:color w:val="808080"/>
          <w:sz w:val="22"/>
          <w:szCs w:val="22"/>
        </w:rPr>
        <w:t xml:space="preserve">[PENDIENTE] Redactar a partir del README del repositorio.</w:t>
      </w:r>
    </w:p>
    <w:p>
      <w:pPr>
        <w:pStyle w:val="Heading2"/>
        <w:spacing w:after="200" w:before="360"/>
      </w:pPr>
      <w:r>
        <w:rPr>
          <w:rFonts w:ascii="Arial" w:cs="Arial" w:eastAsia="Arial" w:hAnsi="Arial"/>
          <w:b/>
          <w:bCs/>
          <w:color w:val="000000"/>
          <w:sz w:val="26"/>
          <w:szCs w:val="26"/>
        </w:rPr>
        <w:t xml:space="preserve">B. Código fuente</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pPr>
      <w:r>
        <w:rPr>
          <w:rFonts w:ascii="Arial" w:cs="Arial" w:eastAsia="Arial" w:hAnsi="Arial"/>
          <w:i/>
          <w:iCs/>
          <w:color w:val="808080"/>
          <w:sz w:val="22"/>
          <w:szCs w:val="22"/>
        </w:rPr>
        <w:t xml:space="preserve">[PENDIENTE] Recopilar términos de aprendizaje automático y de modelos de lenguaje empleados en la memoria.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2026-08-05T12:55:02.264Z</dcterms:created>
  <dcterms:modified xsi:type="dcterms:W3CDTF">2026-08-05T12:55:02.265Z</dcterms:modified>
</cp:coreProperties>
</file>

<file path=docProps/custom.xml><?xml version="1.0" encoding="utf-8"?>
<Properties xmlns="http://schemas.openxmlformats.org/officeDocument/2006/custom-properties" xmlns:vt="http://schemas.openxmlformats.org/officeDocument/2006/docPropsVTypes"/>
</file>