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alibri" w:cs="Calibri" w:eastAsia="Calibri" w:hAnsi="Calibri"/>
          <w:b/>
          <w:bCs/>
          <w:color w:val="1F3864"/>
          <w:sz w:val="56"/>
          <w:szCs w:val="56"/>
        </w:rPr>
        <w:t xml:space="preserve">Estado de resultados</w:t>
      </w:r>
    </w:p>
    <w:p>
      <w:pPr>
        <w:spacing w:after="600" w:before="120"/>
        <w:jc w:val="center"/>
      </w:pPr>
      <w:r>
        <w:rPr>
          <w:rFonts w:ascii="Calibri" w:cs="Calibri" w:eastAsia="Calibri" w:hAnsi="Calibri"/>
          <w:color w:val="555555"/>
          <w:sz w:val="28"/>
          <w:szCs w:val="28"/>
        </w:rPr>
        <w:t xml:space="preserve">Trabajo de Fin de Grado</w:t>
      </w:r>
    </w:p>
    <w:p>
      <w:pPr>
        <w:pBdr>
          <w:top w:val="single" w:color="1F3864" w:sz="8" w:space="16"/>
        </w:pBdr>
        <w:spacing w:after="200"/>
        <w:jc w:val="center"/>
      </w:pPr>
    </w:p>
    <w:p>
      <w:pPr>
        <w:spacing w:after="100"/>
        <w:jc w:val="center"/>
      </w:pPr>
      <w:r>
        <w:rPr>
          <w:rFonts w:ascii="Calibri" w:cs="Calibri" w:eastAsia="Calibri" w:hAnsi="Calibri"/>
          <w:b/>
          <w:bCs/>
          <w:sz w:val="26"/>
          <w:szCs w:val="26"/>
        </w:rPr>
        <w:t xml:space="preserve">Detección de fraude mediante agentes LLM locales</w:t>
      </w:r>
    </w:p>
    <w:p>
      <w:pPr>
        <w:spacing w:after="900"/>
        <w:jc w:val="center"/>
      </w:pPr>
      <w:r>
        <w:rPr>
          <w:rFonts w:ascii="Calibri" w:cs="Calibri" w:eastAsia="Calibri" w:hAnsi="Calibri"/>
          <w:sz w:val="26"/>
          <w:szCs w:val="26"/>
        </w:rPr>
        <w:t xml:space="preserve">sobre un detector de anomalías</w:t>
      </w:r>
    </w:p>
    <w:p>
      <w:pPr>
        <w:spacing w:after="80"/>
        <w:jc w:val="center"/>
      </w:pPr>
      <w:r>
        <w:rPr>
          <w:rFonts w:ascii="Calibri" w:cs="Calibri" w:eastAsia="Calibri" w:hAnsi="Calibri"/>
          <w:sz w:val="24"/>
          <w:szCs w:val="24"/>
        </w:rPr>
        <w:t xml:space="preserve">Adrián Muriel Bautista</w:t>
      </w:r>
    </w:p>
    <w:p>
      <w:pPr>
        <w:spacing w:after="80"/>
        <w:jc w:val="center"/>
      </w:pPr>
      <w:r>
        <w:rPr>
          <w:rFonts w:ascii="Calibri" w:cs="Calibri" w:eastAsia="Calibri" w:hAnsi="Calibri"/>
          <w:color w:val="666666"/>
          <w:sz w:val="20"/>
          <w:szCs w:val="20"/>
        </w:rPr>
        <w:t xml:space="preserve">Ingeniería Informática · Tecnologías de la Información</w:t>
      </w:r>
    </w:p>
    <w:p>
      <w:pPr>
        <w:spacing w:after="600"/>
        <w:jc w:val="center"/>
      </w:pPr>
      <w:r>
        <w:rPr>
          <w:rFonts w:ascii="Calibri" w:cs="Calibri" w:eastAsia="Calibri" w:hAnsi="Calibri"/>
          <w:color w:val="666666"/>
          <w:sz w:val="20"/>
          <w:szCs w:val="20"/>
        </w:rPr>
        <w:t xml:space="preserve">29 de julio de 2026</w:t>
      </w:r>
    </w:p>
    <w:p>
      <w:pPr>
        <w:pBdr>
          <w:left w:val="single" w:color="1F3864" w:sz="18" w:space="12"/>
        </w:pBdr>
        <w:spacing w:after="200" w:before="80" w:line="276"/>
        <w:ind w:left="180"/>
      </w:pPr>
      <w:r>
        <w:rPr>
          <w:rFonts w:ascii="Calibri" w:cs="Calibri" w:eastAsia="Calibri" w:hAnsi="Calibri"/>
          <w:i/>
          <w:iCs/>
          <w:color w:val="333333"/>
          <w:sz w:val="19"/>
          <w:szCs w:val="19"/>
        </w:rPr>
        <w:t xml:space="preserve">Documento de trabajo. Recoge todos los resultados medidos hasta la fecha, con la referencia del fichero de datos que respalda cada uno. Alimenta directamente los capítulos 4 y 5 de la memoria. Todas las cifras proceden de ejecuciones registradas, no de estimaciones.</w:t>
      </w:r>
    </w:p>
    <w:p>
      <w:r>
        <w:br w:type="page"/>
      </w:r>
    </w:p>
    <w:p>
      <w:pPr>
        <w:pStyle w:val="Heading1"/>
        <w:spacing w:after="160" w:before="360"/>
      </w:pPr>
      <w:r>
        <w:rPr>
          <w:rFonts w:ascii="Calibri" w:cs="Calibri" w:eastAsia="Calibri" w:hAnsi="Calibri"/>
          <w:b/>
          <w:bCs/>
          <w:color w:val="1F3864"/>
          <w:sz w:val="30"/>
          <w:szCs w:val="30"/>
        </w:rPr>
        <w:t xml:space="preserve">1. Qué es el sistema</w:t>
      </w:r>
    </w:p>
    <w:p>
      <w:pPr>
        <w:spacing w:after="120" w:before="0" w:line="276"/>
      </w:pPr>
      <w:r>
        <w:rPr>
          <w:rFonts w:ascii="Calibri" w:cs="Calibri" w:eastAsia="Calibri" w:hAnsi="Calibri"/>
          <w:sz w:val="20"/>
          <w:szCs w:val="20"/>
        </w:rPr>
        <w:t xml:space="preserve">El sistema separa deliberadamente la decisión de la explicación en dos capas con responsabilidades disjuntas. Esta separación no es un detalle de implementación: es la hipótesis que el trabajo pone a prueba.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84"/>
        <w:gridCol w:w="3518"/>
        <w:gridCol w:w="3518"/>
      </w:tblGrid>
      <w:tr>
        <w:trPr>
          <w:tblHeader/>
        </w:trPr>
        <w:tc>
          <w:tcPr>
            <w:tcW w:type="dxa" w:w="1984"/>
            <w:shd w:fill="1F3864" w:color="auto" w:val="clear"/>
            <w:tcMar>
              <w:top w:type="dxa" w:w="70"/>
              <w:left w:type="dxa" w:w="110"/>
              <w:bottom w:type="dxa" w:w="70"/>
              <w:right w:type="dxa" w:w="110"/>
            </w:tcMar>
          </w:tcPr>
          <w:p>
            <w:pPr>
              <w:spacing w:after="0" w:line="240"/>
              <w:jc w:val="left"/>
            </w:pPr>
            <w:r>
              <w:rPr>
                <w:rFonts w:ascii="Calibri" w:cs="Calibri" w:eastAsia="Calibri" w:hAnsi="Calibri"/>
                <w:b/>
                <w:bCs/>
                <w:color w:val="FFFFFF"/>
                <w:sz w:val="18"/>
                <w:szCs w:val="18"/>
              </w:rPr>
              <w:t xml:space="preserve"/>
            </w:r>
          </w:p>
        </w:tc>
        <w:tc>
          <w:tcPr>
            <w:tcW w:type="dxa" w:w="3518"/>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Capa 1 — Detector</w:t>
            </w:r>
          </w:p>
        </w:tc>
        <w:tc>
          <w:tcPr>
            <w:tcW w:type="dxa" w:w="3518"/>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Capa 2 — Departamento</w:t>
            </w:r>
          </w:p>
        </w:tc>
      </w:tr>
      <w:tr>
        <w:tc>
          <w:tcPr>
            <w:tcW w:type="dxa" w:w="1984"/>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Qué es</w:t>
            </w:r>
          </w:p>
        </w:tc>
        <w:tc>
          <w:tcPr>
            <w:tcW w:type="dxa" w:w="3518"/>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XGBoost + Isolation Forest</w:t>
            </w:r>
          </w:p>
        </w:tc>
        <w:tc>
          <w:tcPr>
            <w:tcW w:type="dxa" w:w="3518"/>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6 agentes LLM en CrewAI</w:t>
            </w:r>
          </w:p>
        </w:tc>
      </w:tr>
      <w:tr>
        <w:tc>
          <w:tcPr>
            <w:tcW w:type="dxa" w:w="1984"/>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Entrenamiento</w:t>
            </w:r>
          </w:p>
        </w:tc>
        <w:tc>
          <w:tcPr>
            <w:tcW w:type="dxa" w:w="3518"/>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Entrenado sobre los datos</w:t>
            </w:r>
          </w:p>
        </w:tc>
        <w:tc>
          <w:tcPr>
            <w:tcW w:type="dxa" w:w="3518"/>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Preentrenado, nunca ve etiquetas</w:t>
            </w:r>
          </w:p>
        </w:tc>
      </w:tr>
      <w:tr>
        <w:tc>
          <w:tcPr>
            <w:tcW w:type="dxa" w:w="1984"/>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Función</w:t>
            </w:r>
          </w:p>
        </w:tc>
        <w:tc>
          <w:tcPr>
            <w:tcW w:type="dxa" w:w="3518"/>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Puntuar y priorizar</w:t>
            </w:r>
          </w:p>
        </w:tc>
        <w:tc>
          <w:tcPr>
            <w:tcW w:type="dxa" w:w="3518"/>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Interpretar y redactar</w:t>
            </w:r>
          </w:p>
        </w:tc>
      </w:tr>
      <w:tr>
        <w:tc>
          <w:tcPr>
            <w:tcW w:type="dxa" w:w="1984"/>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Determinismo</w:t>
            </w:r>
          </w:p>
        </w:tc>
        <w:tc>
          <w:tcPr>
            <w:tcW w:type="dxa" w:w="3518"/>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Determinista</w:t>
            </w:r>
          </w:p>
        </w:tc>
        <w:tc>
          <w:tcPr>
            <w:tcW w:type="dxa" w:w="3518"/>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Estocástico</w:t>
            </w:r>
          </w:p>
        </w:tc>
      </w:tr>
      <w:tr>
        <w:tc>
          <w:tcPr>
            <w:tcW w:type="dxa" w:w="1984"/>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Coste por turno</w:t>
            </w:r>
          </w:p>
        </w:tc>
        <w:tc>
          <w:tcPr>
            <w:tcW w:type="dxa" w:w="3518"/>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Instantáneo</w:t>
            </w:r>
          </w:p>
        </w:tc>
        <w:tc>
          <w:tcPr>
            <w:tcW w:type="dxa" w:w="3518"/>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4–5 minutos</w:t>
            </w:r>
          </w:p>
        </w:tc>
      </w:tr>
      <w:tr>
        <w:tc>
          <w:tcPr>
            <w:tcW w:type="dxa" w:w="1984"/>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Decide qué se revisa</w:t>
            </w:r>
          </w:p>
        </w:tc>
        <w:tc>
          <w:tcPr>
            <w:tcW w:type="dxa" w:w="3518"/>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Sí</w:t>
            </w:r>
          </w:p>
        </w:tc>
        <w:tc>
          <w:tcPr>
            <w:tcW w:type="dxa" w:w="3518"/>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Solo en modo revisa</w:t>
            </w:r>
          </w:p>
        </w:tc>
      </w:tr>
    </w:tbl>
    <w:p>
      <w:pPr>
        <w:spacing w:after="120"/>
      </w:pPr>
    </w:p>
    <w:p>
      <w:pPr>
        <w:spacing w:after="120" w:before="0" w:line="276"/>
      </w:pPr>
      <w:r>
        <w:rPr>
          <w:rFonts w:ascii="Calibri" w:cs="Calibri" w:eastAsia="Calibri" w:hAnsi="Calibri"/>
          <w:sz w:val="20"/>
          <w:szCs w:val="20"/>
        </w:rPr>
        <w:t xml:space="preserve">La capa 1 puntúa las 32.791 transacciones de un turno en milisegundos y eleva a revisión las que superan un umbral. La capa 2 recibe únicamente ese expediente —entre 32 y 55 casos— y produce el informe. El coste de inferencia no depende del volumen de transacciones sino del número de casos elevados, y esa es la razón de que el sistema escale.</w:t>
      </w:r>
    </w:p>
    <w:p>
      <w:pPr>
        <w:pStyle w:val="Heading2"/>
        <w:spacing w:after="120" w:before="260"/>
      </w:pPr>
      <w:r>
        <w:rPr>
          <w:rFonts w:ascii="Calibri" w:cs="Calibri" w:eastAsia="Calibri" w:hAnsi="Calibri"/>
          <w:b/>
          <w:bCs/>
          <w:color w:val="2E5496"/>
          <w:sz w:val="24"/>
          <w:szCs w:val="24"/>
        </w:rPr>
        <w:t xml:space="preserve">Los dos modos de autoridad</w:t>
      </w:r>
    </w:p>
    <w:p>
      <w:pPr>
        <w:spacing w:after="120" w:before="0" w:line="276"/>
      </w:pPr>
      <w:r>
        <w:rPr>
          <w:rFonts w:ascii="Calibri" w:cs="Calibri" w:eastAsia="Calibri" w:hAnsi="Calibri"/>
          <w:sz w:val="20"/>
          <w:szCs w:val="20"/>
        </w:rPr>
        <w:t xml:space="preserve">El experimento central del trabajo consiste en variar cuánta autoridad se concede a la capa 2:</w:t>
      </w:r>
    </w:p>
    <w:p>
      <w:pPr>
        <w:pStyle w:val="ListParagraph"/>
        <w:numPr>
          <w:ilvl w:val="0"/>
          <w:numId w:val="2"/>
        </w:numPr>
        <w:spacing w:after="80" w:line="276"/>
      </w:pPr>
      <w:r>
        <w:rPr>
          <w:rFonts w:ascii="Calibri" w:cs="Calibri" w:eastAsia="Calibri" w:hAnsi="Calibri"/>
          <w:sz w:val="20"/>
          <w:szCs w:val="20"/>
        </w:rPr>
        <w:t xml:space="preserve">interpreta — el detector decide qué se eleva y el LLM solo explica. El recall del sistema coincide con el del detector por construcción.</w:t>
      </w:r>
    </w:p>
    <w:p>
      <w:pPr>
        <w:pStyle w:val="ListParagraph"/>
        <w:numPr>
          <w:ilvl w:val="0"/>
          <w:numId w:val="2"/>
        </w:numPr>
        <w:spacing w:after="80" w:line="276"/>
      </w:pPr>
      <w:r>
        <w:rPr>
          <w:rFonts w:ascii="Calibri" w:cs="Calibri" w:eastAsia="Calibri" w:hAnsi="Calibri"/>
          <w:sz w:val="20"/>
          <w:szCs w:val="20"/>
        </w:rPr>
        <w:t xml:space="preserve">revisa — el LLM puede retirar casos del informe. El recall del sistema puede bajar, nunca subir.</w:t>
      </w:r>
    </w:p>
    <w:p>
      <w:pPr>
        <w:pStyle w:val="Heading1"/>
        <w:spacing w:after="160" w:before="360"/>
      </w:pPr>
      <w:r>
        <w:rPr>
          <w:rFonts w:ascii="Calibri" w:cs="Calibri" w:eastAsia="Calibri" w:hAnsi="Calibri"/>
          <w:b/>
          <w:bCs/>
          <w:color w:val="1F3864"/>
          <w:sz w:val="30"/>
          <w:szCs w:val="30"/>
        </w:rPr>
        <w:t xml:space="preserve">2. La capa 1: el detector</w:t>
      </w:r>
    </w:p>
    <w:p>
      <w:pPr>
        <w:pStyle w:val="Heading2"/>
        <w:spacing w:after="120" w:before="260"/>
      </w:pPr>
      <w:r>
        <w:rPr>
          <w:rFonts w:ascii="Calibri" w:cs="Calibri" w:eastAsia="Calibri" w:hAnsi="Calibri"/>
          <w:b/>
          <w:bCs/>
          <w:color w:val="2E5496"/>
          <w:sz w:val="24"/>
          <w:szCs w:val="24"/>
        </w:rPr>
        <w:t xml:space="preserve">2.1 Rendimiento</w:t>
      </w:r>
    </w:p>
    <w:p>
      <w:pPr>
        <w:spacing w:after="120" w:before="0" w:line="276"/>
      </w:pPr>
      <w:r>
        <w:rPr>
          <w:rFonts w:ascii="Calibri" w:cs="Calibri" w:eastAsia="Calibri" w:hAnsi="Calibri"/>
          <w:sz w:val="20"/>
          <w:szCs w:val="20"/>
        </w:rPr>
        <w:t xml:space="preserve">Dos modelos y dos particiones. La partición aleatoria permite comparar con la literatura; la temporal —entrenar con el pasado y predecir el futuro— mide el rendimiento realista y es la que se usa en producción.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65"/>
        <w:gridCol w:w="1533"/>
        <w:gridCol w:w="1082"/>
        <w:gridCol w:w="1082"/>
        <w:gridCol w:w="1082"/>
        <w:gridCol w:w="1082"/>
        <w:gridCol w:w="992"/>
      </w:tblGrid>
      <w:tr>
        <w:trPr>
          <w:tblHeader/>
        </w:trPr>
        <w:tc>
          <w:tcPr>
            <w:tcW w:type="dxa" w:w="2165"/>
            <w:shd w:fill="1F3864" w:color="auto" w:val="clear"/>
            <w:tcMar>
              <w:top w:type="dxa" w:w="70"/>
              <w:left w:type="dxa" w:w="110"/>
              <w:bottom w:type="dxa" w:w="70"/>
              <w:right w:type="dxa" w:w="110"/>
            </w:tcMar>
          </w:tcPr>
          <w:p>
            <w:pPr>
              <w:spacing w:after="0" w:line="240"/>
              <w:jc w:val="left"/>
            </w:pPr>
            <w:r>
              <w:rPr>
                <w:rFonts w:ascii="Calibri" w:cs="Calibri" w:eastAsia="Calibri" w:hAnsi="Calibri"/>
                <w:b/>
                <w:bCs/>
                <w:color w:val="FFFFFF"/>
                <w:sz w:val="18"/>
                <w:szCs w:val="18"/>
              </w:rPr>
              <w:t xml:space="preserve">Modelo</w:t>
            </w:r>
          </w:p>
        </w:tc>
        <w:tc>
          <w:tcPr>
            <w:tcW w:type="dxa" w:w="1533"/>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Partición</w:t>
            </w:r>
          </w:p>
        </w:tc>
        <w:tc>
          <w:tcPr>
            <w:tcW w:type="dxa" w:w="1082"/>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AUC-PR</w:t>
            </w:r>
          </w:p>
        </w:tc>
        <w:tc>
          <w:tcPr>
            <w:tcW w:type="dxa" w:w="1082"/>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ROC-AUC</w:t>
            </w:r>
          </w:p>
        </w:tc>
        <w:tc>
          <w:tcPr>
            <w:tcW w:type="dxa" w:w="1082"/>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Precisión</w:t>
            </w:r>
          </w:p>
        </w:tc>
        <w:tc>
          <w:tcPr>
            <w:tcW w:type="dxa" w:w="1082"/>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Recall</w:t>
            </w:r>
          </w:p>
        </w:tc>
        <w:tc>
          <w:tcPr>
            <w:tcW w:type="dxa" w:w="992"/>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F1</w:t>
            </w:r>
          </w:p>
        </w:tc>
      </w:tr>
      <w:tr>
        <w:tc>
          <w:tcPr>
            <w:tcW w:type="dxa" w:w="2165"/>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XGBoost</w:t>
            </w:r>
          </w:p>
        </w:tc>
        <w:tc>
          <w:tcPr>
            <w:tcW w:type="dxa" w:w="153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aleatoria</w:t>
            </w:r>
          </w:p>
        </w:tc>
        <w:tc>
          <w:tcPr>
            <w:tcW w:type="dxa" w:w="1082"/>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0,883</w:t>
            </w:r>
          </w:p>
        </w:tc>
        <w:tc>
          <w:tcPr>
            <w:tcW w:type="dxa" w:w="1082"/>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0,981</w:t>
            </w:r>
          </w:p>
        </w:tc>
        <w:tc>
          <w:tcPr>
            <w:tcW w:type="dxa" w:w="1082"/>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0,872</w:t>
            </w:r>
          </w:p>
        </w:tc>
        <w:tc>
          <w:tcPr>
            <w:tcW w:type="dxa" w:w="1082"/>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0,837</w:t>
            </w:r>
          </w:p>
        </w:tc>
        <w:tc>
          <w:tcPr>
            <w:tcW w:type="dxa" w:w="992"/>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0,854</w:t>
            </w:r>
          </w:p>
        </w:tc>
      </w:tr>
      <w:tr>
        <w:tc>
          <w:tcPr>
            <w:tcW w:type="dxa" w:w="2165"/>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XGBoost</w:t>
            </w:r>
          </w:p>
        </w:tc>
        <w:tc>
          <w:tcPr>
            <w:tcW w:type="dxa" w:w="153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temporal</w:t>
            </w:r>
          </w:p>
        </w:tc>
        <w:tc>
          <w:tcPr>
            <w:tcW w:type="dxa" w:w="1082"/>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0,797</w:t>
            </w:r>
          </w:p>
        </w:tc>
        <w:tc>
          <w:tcPr>
            <w:tcW w:type="dxa" w:w="1082"/>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0,985</w:t>
            </w:r>
          </w:p>
        </w:tc>
        <w:tc>
          <w:tcPr>
            <w:tcW w:type="dxa" w:w="1082"/>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0,877</w:t>
            </w:r>
          </w:p>
        </w:tc>
        <w:tc>
          <w:tcPr>
            <w:tcW w:type="dxa" w:w="1082"/>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0,760</w:t>
            </w:r>
          </w:p>
        </w:tc>
        <w:tc>
          <w:tcPr>
            <w:tcW w:type="dxa" w:w="992"/>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0,814</w:t>
            </w:r>
          </w:p>
        </w:tc>
      </w:tr>
      <w:tr>
        <w:tc>
          <w:tcPr>
            <w:tcW w:type="dxa" w:w="2165"/>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Isolation Forest</w:t>
            </w:r>
          </w:p>
        </w:tc>
        <w:tc>
          <w:tcPr>
            <w:tcW w:type="dxa" w:w="153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aleatoria</w:t>
            </w:r>
          </w:p>
        </w:tc>
        <w:tc>
          <w:tcPr>
            <w:tcW w:type="dxa" w:w="1082"/>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0,152</w:t>
            </w:r>
          </w:p>
        </w:tc>
        <w:tc>
          <w:tcPr>
            <w:tcW w:type="dxa" w:w="1082"/>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0,951</w:t>
            </w:r>
          </w:p>
        </w:tc>
        <w:tc>
          <w:tcPr>
            <w:tcW w:type="dxa" w:w="1082"/>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0,253</w:t>
            </w:r>
          </w:p>
        </w:tc>
        <w:tc>
          <w:tcPr>
            <w:tcW w:type="dxa" w:w="1082"/>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0,255</w:t>
            </w:r>
          </w:p>
        </w:tc>
        <w:tc>
          <w:tcPr>
            <w:tcW w:type="dxa" w:w="992"/>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0,254</w:t>
            </w:r>
          </w:p>
        </w:tc>
      </w:tr>
      <w:tr>
        <w:tc>
          <w:tcPr>
            <w:tcW w:type="dxa" w:w="2165"/>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Isolation Forest</w:t>
            </w:r>
          </w:p>
        </w:tc>
        <w:tc>
          <w:tcPr>
            <w:tcW w:type="dxa" w:w="153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temporal</w:t>
            </w:r>
          </w:p>
        </w:tc>
        <w:tc>
          <w:tcPr>
            <w:tcW w:type="dxa" w:w="1082"/>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0,034</w:t>
            </w:r>
          </w:p>
        </w:tc>
        <w:tc>
          <w:tcPr>
            <w:tcW w:type="dxa" w:w="1082"/>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0,943</w:t>
            </w:r>
          </w:p>
        </w:tc>
        <w:tc>
          <w:tcPr>
            <w:tcW w:type="dxa" w:w="1082"/>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0,010</w:t>
            </w:r>
          </w:p>
        </w:tc>
        <w:tc>
          <w:tcPr>
            <w:tcW w:type="dxa" w:w="1082"/>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0,013</w:t>
            </w:r>
          </w:p>
        </w:tc>
        <w:tc>
          <w:tcPr>
            <w:tcW w:type="dxa" w:w="992"/>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0,011</w:t>
            </w:r>
          </w:p>
        </w:tc>
      </w:tr>
    </w:tbl>
    <w:p>
      <w:pPr>
        <w:pBdr>
          <w:left w:val="single" w:color="1F3864" w:sz="18" w:space="12"/>
        </w:pBdr>
        <w:spacing w:after="200" w:before="80" w:line="276"/>
        <w:ind w:left="180"/>
      </w:pPr>
      <w:r>
        <w:rPr>
          <w:rFonts w:ascii="Calibri" w:cs="Calibri" w:eastAsia="Calibri" w:hAnsi="Calibri"/>
          <w:i/>
          <w:iCs/>
          <w:color w:val="333333"/>
          <w:sz w:val="19"/>
          <w:szCs w:val="19"/>
        </w:rPr>
        <w:t xml:space="preserve">Fuente: reports/metricas_detector.json · 227.845 transacciones de entrenamiento, 56.962 de test, prevalencia 0,173 %.</w:t>
      </w:r>
    </w:p>
    <w:p>
      <w:pPr>
        <w:spacing w:after="120" w:before="0" w:line="276"/>
      </w:pPr>
      <w:r>
        <w:rPr>
          <w:rFonts w:ascii="Calibri" w:cs="Calibri" w:eastAsia="Calibri" w:hAnsi="Calibri"/>
          <w:sz w:val="20"/>
          <w:szCs w:val="20"/>
        </w:rPr>
        <w:t xml:space="preserve">Con una prevalencia del 0,173 %, la línea base de AUC-PR es 0,0017. Un AUC-PR de 0,797 está 469 veces por encima del azar.</w:t>
      </w:r>
    </w:p>
    <w:p>
      <w:pPr>
        <w:pStyle w:val="Heading2"/>
        <w:spacing w:after="120" w:before="260"/>
      </w:pPr>
      <w:r>
        <w:rPr>
          <w:rFonts w:ascii="Calibri" w:cs="Calibri" w:eastAsia="Calibri" w:hAnsi="Calibri"/>
          <w:b/>
          <w:bCs/>
          <w:color w:val="2E5496"/>
          <w:sz w:val="24"/>
          <w:szCs w:val="24"/>
        </w:rPr>
        <w:t xml:space="preserve">2.2 Por qué ROC-AUC engaña con clases desbalanceadas</w:t>
      </w:r>
    </w:p>
    <w:p>
      <w:pPr>
        <w:spacing w:after="120" w:before="0" w:line="276"/>
      </w:pPr>
      <w:r>
        <w:rPr>
          <w:rFonts w:ascii="Calibri" w:cs="Calibri" w:eastAsia="Calibri" w:hAnsi="Calibri"/>
          <w:sz w:val="20"/>
          <w:szCs w:val="20"/>
        </w:rPr>
        <w:t xml:space="preserve">El Isolation Forest en partición temporal obtiene ROC-AUC 0,943 y AUC-PR 0,034. El mismo modelo parece excelente con una métrica y desastroso con la otra. La explicación es que ROC-AUC premia ordenar bien las 56.887 transacciones legítimas entre sí, algo irrelevante, mientras AUC-PR solo atiende a la cabeza del ranking, que es lo único que un analista revisa.</w:t>
      </w:r>
    </w:p>
    <w:p>
      <w:pPr>
        <w:pBdr>
          <w:left w:val="single" w:color="1F3864" w:sz="18" w:space="12"/>
        </w:pBdr>
        <w:spacing w:after="200" w:before="80" w:line="276"/>
        <w:ind w:left="180"/>
      </w:pPr>
      <w:r>
        <w:rPr>
          <w:rFonts w:ascii="Calibri" w:cs="Calibri" w:eastAsia="Calibri" w:hAnsi="Calibri"/>
          <w:i/>
          <w:iCs/>
          <w:color w:val="333333"/>
          <w:sz w:val="19"/>
          <w:szCs w:val="19"/>
        </w:rPr>
        <w:t xml:space="preserve">Es una demostración empírica, con datos propios, de un problema metodológico bien documentado en la literatura. Material directo para el capítulo 4.</w:t>
      </w:r>
    </w:p>
    <w:p>
      <w:pPr>
        <w:spacing w:after="120" w:before="0" w:line="276"/>
      </w:pPr>
      <w:r>
        <w:rPr>
          <w:rFonts w:ascii="Calibri" w:cs="Calibri" w:eastAsia="Calibri" w:hAnsi="Calibri"/>
          <w:sz w:val="20"/>
          <w:szCs w:val="20"/>
        </w:rPr>
        <w:t xml:space="preserve">El resultado tiene además una lectura de fondo: el enfoque no supervisado, que era el del planteamiento original, rinde mal cuando existen etiquetas disponibles. Es un resultado negativo que justifica la incorporación de XGBoost.</w:t>
      </w:r>
    </w:p>
    <w:p>
      <w:pPr>
        <w:pStyle w:val="Heading2"/>
        <w:spacing w:after="120" w:before="260"/>
      </w:pPr>
      <w:r>
        <w:rPr>
          <w:rFonts w:ascii="Calibri" w:cs="Calibri" w:eastAsia="Calibri" w:hAnsi="Calibri"/>
          <w:b/>
          <w:bCs/>
          <w:color w:val="2E5496"/>
          <w:sz w:val="24"/>
          <w:szCs w:val="24"/>
        </w:rPr>
        <w:t xml:space="preserve">2.3 Búsqueda de hiperparámetros</w:t>
      </w:r>
    </w:p>
    <w:p>
      <w:pPr>
        <w:spacing w:after="120" w:before="0" w:line="276"/>
      </w:pPr>
      <w:r>
        <w:rPr>
          <w:rFonts w:ascii="Calibri" w:cs="Calibri" w:eastAsia="Calibri" w:hAnsi="Calibri"/>
          <w:sz w:val="20"/>
          <w:szCs w:val="20"/>
        </w:rPr>
        <w:t xml:space="preserve">Búsqueda aleatoria sobre el conjunto de entrenamiento, validada con validación cruzada, manteniendo el test intacto hasta la comparación final.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26"/>
        <w:gridCol w:w="2345"/>
        <w:gridCol w:w="2345"/>
        <w:gridCol w:w="1804"/>
      </w:tblGrid>
      <w:tr>
        <w:trPr>
          <w:tblHeader/>
        </w:trPr>
        <w:tc>
          <w:tcPr>
            <w:tcW w:type="dxa" w:w="2526"/>
            <w:shd w:fill="1F3864" w:color="auto" w:val="clear"/>
            <w:tcMar>
              <w:top w:type="dxa" w:w="70"/>
              <w:left w:type="dxa" w:w="110"/>
              <w:bottom w:type="dxa" w:w="70"/>
              <w:right w:type="dxa" w:w="110"/>
            </w:tcMar>
          </w:tcPr>
          <w:p>
            <w:pPr>
              <w:spacing w:after="0" w:line="240"/>
              <w:jc w:val="left"/>
            </w:pPr>
            <w:r>
              <w:rPr>
                <w:rFonts w:ascii="Calibri" w:cs="Calibri" w:eastAsia="Calibri" w:hAnsi="Calibri"/>
                <w:b/>
                <w:bCs/>
                <w:color w:val="FFFFFF"/>
                <w:sz w:val="18"/>
                <w:szCs w:val="18"/>
              </w:rPr>
              <w:t xml:space="preserve">Partición</w:t>
            </w:r>
          </w:p>
        </w:tc>
        <w:tc>
          <w:tcPr>
            <w:tcW w:type="dxa" w:w="2345"/>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AUC-PR referencia</w:t>
            </w:r>
          </w:p>
        </w:tc>
        <w:tc>
          <w:tcPr>
            <w:tcW w:type="dxa" w:w="2345"/>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AUC-PR ajustado</w:t>
            </w:r>
          </w:p>
        </w:tc>
        <w:tc>
          <w:tcPr>
            <w:tcW w:type="dxa" w:w="1804"/>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Δ</w:t>
            </w:r>
          </w:p>
        </w:tc>
      </w:tr>
      <w:tr>
        <w:tc>
          <w:tcPr>
            <w:tcW w:type="dxa" w:w="2526"/>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aleatoria</w:t>
            </w:r>
          </w:p>
        </w:tc>
        <w:tc>
          <w:tcPr>
            <w:tcW w:type="dxa" w:w="2345"/>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0,8832</w:t>
            </w:r>
          </w:p>
        </w:tc>
        <w:tc>
          <w:tcPr>
            <w:tcW w:type="dxa" w:w="2345"/>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0,8801</w:t>
            </w:r>
          </w:p>
        </w:tc>
        <w:tc>
          <w:tcPr>
            <w:tcW w:type="dxa" w:w="180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−0,0030</w:t>
            </w:r>
          </w:p>
        </w:tc>
      </w:tr>
      <w:tr>
        <w:tc>
          <w:tcPr>
            <w:tcW w:type="dxa" w:w="2526"/>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temporal</w:t>
            </w:r>
          </w:p>
        </w:tc>
        <w:tc>
          <w:tcPr>
            <w:tcW w:type="dxa" w:w="2345"/>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0,7972</w:t>
            </w:r>
          </w:p>
        </w:tc>
        <w:tc>
          <w:tcPr>
            <w:tcW w:type="dxa" w:w="2345"/>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0,8007</w:t>
            </w:r>
          </w:p>
        </w:tc>
        <w:tc>
          <w:tcPr>
            <w:tcW w:type="dxa" w:w="1804"/>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+0,0036</w:t>
            </w:r>
          </w:p>
        </w:tc>
      </w:tr>
    </w:tbl>
    <w:p>
      <w:pPr>
        <w:spacing w:after="120"/>
      </w:pPr>
    </w:p>
    <w:p>
      <w:pPr>
        <w:spacing w:after="120" w:before="0" w:line="276"/>
      </w:pPr>
      <w:r>
        <w:rPr>
          <w:rFonts w:ascii="Calibri" w:cs="Calibri" w:eastAsia="Calibri" w:hAnsi="Calibri"/>
          <w:b w:val="false"/>
          <w:bCs w:val="false"/>
          <w:sz w:val="20"/>
          <w:szCs w:val="20"/>
        </w:rPr>
        <w:t xml:space="preserve">La búsqueda no mejora el rendimiento: las variaciones están dentro del ruido. En la partición aleatoria la configuración ganadora en validación cruzada resultó peor en test, síntoma de sobreajuste al procedimiento de validación.</w:t>
      </w:r>
    </w:p>
    <w:p>
      <w:pPr>
        <w:pBdr>
          <w:left w:val="single" w:color="1F3864" w:sz="18" w:space="12"/>
        </w:pBdr>
        <w:spacing w:after="200" w:before="80" w:line="276"/>
        <w:ind w:left="180"/>
      </w:pPr>
      <w:r>
        <w:rPr>
          <w:rFonts w:ascii="Calibri" w:cs="Calibri" w:eastAsia="Calibri" w:hAnsi="Calibri"/>
          <w:i/>
          <w:iCs/>
          <w:color w:val="333333"/>
          <w:sz w:val="19"/>
          <w:szCs w:val="19"/>
        </w:rPr>
        <w:t xml:space="preserve">Resultado negativo, pero necesario: sin él no se puede afirmar que la configuración del detector esté justificada. Fuente: reports/hiperparametros.json</w:t>
      </w:r>
    </w:p>
    <w:p>
      <w:pPr>
        <w:pStyle w:val="Heading2"/>
        <w:spacing w:after="120" w:before="260"/>
      </w:pPr>
      <w:r>
        <w:rPr>
          <w:rFonts w:ascii="Calibri" w:cs="Calibri" w:eastAsia="Calibri" w:hAnsi="Calibri"/>
          <w:b/>
          <w:bCs/>
          <w:color w:val="2E5496"/>
          <w:sz w:val="24"/>
          <w:szCs w:val="24"/>
        </w:rPr>
        <w:t xml:space="preserve">2.4 Punto de operación</w:t>
      </w:r>
    </w:p>
    <w:p>
      <w:pPr>
        <w:spacing w:after="120" w:before="0" w:line="276"/>
      </w:pPr>
      <w:r>
        <w:rPr>
          <w:rFonts w:ascii="Calibri" w:cs="Calibri" w:eastAsia="Calibri" w:hAnsi="Calibri"/>
          <w:sz w:val="20"/>
          <w:szCs w:val="20"/>
        </w:rPr>
        <w:t xml:space="preserve">El umbral de 0,5 es una convención sin fundamento operativo. Lo que importa es cuántos casos se elevan y qué proporción de ellos es fraude. Sobre un turno real de 4 h con 54 fraudes: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43"/>
        <w:gridCol w:w="1353"/>
        <w:gridCol w:w="1353"/>
        <w:gridCol w:w="1533"/>
        <w:gridCol w:w="1624"/>
        <w:gridCol w:w="1714"/>
      </w:tblGrid>
      <w:tr>
        <w:trPr>
          <w:tblHeader/>
        </w:trPr>
        <w:tc>
          <w:tcPr>
            <w:tcW w:type="dxa" w:w="1443"/>
            <w:shd w:fill="1F3864" w:color="auto" w:val="clear"/>
            <w:tcMar>
              <w:top w:type="dxa" w:w="70"/>
              <w:left w:type="dxa" w:w="110"/>
              <w:bottom w:type="dxa" w:w="70"/>
              <w:right w:type="dxa" w:w="110"/>
            </w:tcMar>
          </w:tcPr>
          <w:p>
            <w:pPr>
              <w:spacing w:after="0" w:line="240"/>
              <w:jc w:val="left"/>
            </w:pPr>
            <w:r>
              <w:rPr>
                <w:rFonts w:ascii="Calibri" w:cs="Calibri" w:eastAsia="Calibri" w:hAnsi="Calibri"/>
                <w:b/>
                <w:bCs/>
                <w:color w:val="FFFFFF"/>
                <w:sz w:val="18"/>
                <w:szCs w:val="18"/>
              </w:rPr>
              <w:t xml:space="preserve">Umbral</w:t>
            </w:r>
          </w:p>
        </w:tc>
        <w:tc>
          <w:tcPr>
            <w:tcW w:type="dxa" w:w="1353"/>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Casos</w:t>
            </w:r>
          </w:p>
        </w:tc>
        <w:tc>
          <w:tcPr>
            <w:tcW w:type="dxa" w:w="1353"/>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Fraude</w:t>
            </w:r>
          </w:p>
        </w:tc>
        <w:tc>
          <w:tcPr>
            <w:tcW w:type="dxa" w:w="1533"/>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Recall</w:t>
            </w:r>
          </w:p>
        </w:tc>
        <w:tc>
          <w:tcPr>
            <w:tcW w:type="dxa" w:w="1624"/>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Precisión</w:t>
            </w:r>
          </w:p>
        </w:tc>
        <w:tc>
          <w:tcPr>
            <w:tcW w:type="dxa" w:w="1714"/>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Falsas alarmas</w:t>
            </w:r>
          </w:p>
        </w:tc>
      </w:tr>
      <w:tr>
        <w:tc>
          <w:tcPr>
            <w:tcW w:type="dxa" w:w="1443"/>
            <w:shd w:fill="FFF2CC" w:color="auto" w:val="clear"/>
            <w:tcMar>
              <w:top w:type="dxa" w:w="70"/>
              <w:left w:type="dxa" w:w="110"/>
              <w:bottom w:type="dxa" w:w="70"/>
              <w:right w:type="dxa" w:w="110"/>
            </w:tcMar>
          </w:tcPr>
          <w:p>
            <w:pPr>
              <w:spacing w:after="0" w:line="240"/>
              <w:jc w:val="left"/>
            </w:pPr>
            <w:r>
              <w:rPr>
                <w:rFonts w:ascii="Calibri" w:cs="Calibri" w:eastAsia="Calibri" w:hAnsi="Calibri"/>
                <w:b/>
                <w:bCs/>
                <w:sz w:val="18"/>
                <w:szCs w:val="18"/>
              </w:rPr>
              <w:t xml:space="preserve">0,80</w:t>
            </w:r>
          </w:p>
        </w:tc>
        <w:tc>
          <w:tcPr>
            <w:tcW w:type="dxa" w:w="1353"/>
            <w:shd w:fill="FFF2CC"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42</w:t>
            </w:r>
          </w:p>
        </w:tc>
        <w:tc>
          <w:tcPr>
            <w:tcW w:type="dxa" w:w="1353"/>
            <w:shd w:fill="FFF2CC"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41</w:t>
            </w:r>
          </w:p>
        </w:tc>
        <w:tc>
          <w:tcPr>
            <w:tcW w:type="dxa" w:w="1533"/>
            <w:shd w:fill="FFF2CC"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0,759</w:t>
            </w:r>
          </w:p>
        </w:tc>
        <w:tc>
          <w:tcPr>
            <w:tcW w:type="dxa" w:w="1624"/>
            <w:shd w:fill="FFF2CC"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0,976</w:t>
            </w:r>
          </w:p>
        </w:tc>
        <w:tc>
          <w:tcPr>
            <w:tcW w:type="dxa" w:w="1714"/>
            <w:shd w:fill="FFF2CC"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w:t>
            </w:r>
          </w:p>
        </w:tc>
      </w:tr>
      <w:tr>
        <w:tc>
          <w:tcPr>
            <w:tcW w:type="dxa" w:w="1443"/>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0,50</w:t>
            </w:r>
          </w:p>
        </w:tc>
        <w:tc>
          <w:tcPr>
            <w:tcW w:type="dxa" w:w="135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44</w:t>
            </w:r>
          </w:p>
        </w:tc>
        <w:tc>
          <w:tcPr>
            <w:tcW w:type="dxa" w:w="135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42</w:t>
            </w:r>
          </w:p>
        </w:tc>
        <w:tc>
          <w:tcPr>
            <w:tcW w:type="dxa" w:w="153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0,778</w:t>
            </w:r>
          </w:p>
        </w:tc>
        <w:tc>
          <w:tcPr>
            <w:tcW w:type="dxa" w:w="1624"/>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0,955</w:t>
            </w:r>
          </w:p>
        </w:tc>
        <w:tc>
          <w:tcPr>
            <w:tcW w:type="dxa" w:w="1714"/>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2</w:t>
            </w:r>
          </w:p>
        </w:tc>
      </w:tr>
      <w:tr>
        <w:tc>
          <w:tcPr>
            <w:tcW w:type="dxa" w:w="1443"/>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0,10</w:t>
            </w:r>
          </w:p>
        </w:tc>
        <w:tc>
          <w:tcPr>
            <w:tcW w:type="dxa" w:w="135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53</w:t>
            </w:r>
          </w:p>
        </w:tc>
        <w:tc>
          <w:tcPr>
            <w:tcW w:type="dxa" w:w="135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43</w:t>
            </w:r>
          </w:p>
        </w:tc>
        <w:tc>
          <w:tcPr>
            <w:tcW w:type="dxa" w:w="153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0,796</w:t>
            </w:r>
          </w:p>
        </w:tc>
        <w:tc>
          <w:tcPr>
            <w:tcW w:type="dxa" w:w="162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0,811</w:t>
            </w:r>
          </w:p>
        </w:tc>
        <w:tc>
          <w:tcPr>
            <w:tcW w:type="dxa" w:w="171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10</w:t>
            </w:r>
          </w:p>
        </w:tc>
      </w:tr>
      <w:tr>
        <w:tc>
          <w:tcPr>
            <w:tcW w:type="dxa" w:w="1443"/>
            <w:shd w:fill="E2EFDA" w:color="auto" w:val="clear"/>
            <w:tcMar>
              <w:top w:type="dxa" w:w="70"/>
              <w:left w:type="dxa" w:w="110"/>
              <w:bottom w:type="dxa" w:w="70"/>
              <w:right w:type="dxa" w:w="110"/>
            </w:tcMar>
          </w:tcPr>
          <w:p>
            <w:pPr>
              <w:spacing w:after="0" w:line="240"/>
              <w:jc w:val="left"/>
            </w:pPr>
            <w:r>
              <w:rPr>
                <w:rFonts w:ascii="Calibri" w:cs="Calibri" w:eastAsia="Calibri" w:hAnsi="Calibri"/>
                <w:b/>
                <w:bCs/>
                <w:sz w:val="18"/>
                <w:szCs w:val="18"/>
              </w:rPr>
              <w:t xml:space="preserve">0,05</w:t>
            </w:r>
          </w:p>
        </w:tc>
        <w:tc>
          <w:tcPr>
            <w:tcW w:type="dxa" w:w="1353"/>
            <w:shd w:fill="E2EFDA"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55</w:t>
            </w:r>
          </w:p>
        </w:tc>
        <w:tc>
          <w:tcPr>
            <w:tcW w:type="dxa" w:w="1353"/>
            <w:shd w:fill="E2EFDA"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44</w:t>
            </w:r>
          </w:p>
        </w:tc>
        <w:tc>
          <w:tcPr>
            <w:tcW w:type="dxa" w:w="1533"/>
            <w:shd w:fill="E2EFDA"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0,815</w:t>
            </w:r>
          </w:p>
        </w:tc>
        <w:tc>
          <w:tcPr>
            <w:tcW w:type="dxa" w:w="1624"/>
            <w:shd w:fill="E2EFDA"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0,800</w:t>
            </w:r>
          </w:p>
        </w:tc>
        <w:tc>
          <w:tcPr>
            <w:tcW w:type="dxa" w:w="1714"/>
            <w:shd w:fill="E2EFDA"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11</w:t>
            </w:r>
          </w:p>
        </w:tc>
      </w:tr>
      <w:tr>
        <w:tc>
          <w:tcPr>
            <w:tcW w:type="dxa" w:w="1443"/>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0,01</w:t>
            </w:r>
          </w:p>
        </w:tc>
        <w:tc>
          <w:tcPr>
            <w:tcW w:type="dxa" w:w="135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78</w:t>
            </w:r>
          </w:p>
        </w:tc>
        <w:tc>
          <w:tcPr>
            <w:tcW w:type="dxa" w:w="135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45</w:t>
            </w:r>
          </w:p>
        </w:tc>
        <w:tc>
          <w:tcPr>
            <w:tcW w:type="dxa" w:w="153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0,833</w:t>
            </w:r>
          </w:p>
        </w:tc>
        <w:tc>
          <w:tcPr>
            <w:tcW w:type="dxa" w:w="162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0,577</w:t>
            </w:r>
          </w:p>
        </w:tc>
        <w:tc>
          <w:tcPr>
            <w:tcW w:type="dxa" w:w="171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33</w:t>
            </w:r>
          </w:p>
        </w:tc>
      </w:tr>
      <w:tr>
        <w:tc>
          <w:tcPr>
            <w:tcW w:type="dxa" w:w="1443"/>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0,001</w:t>
            </w:r>
          </w:p>
        </w:tc>
        <w:tc>
          <w:tcPr>
            <w:tcW w:type="dxa" w:w="135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252</w:t>
            </w:r>
          </w:p>
        </w:tc>
        <w:tc>
          <w:tcPr>
            <w:tcW w:type="dxa" w:w="135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45</w:t>
            </w:r>
          </w:p>
        </w:tc>
        <w:tc>
          <w:tcPr>
            <w:tcW w:type="dxa" w:w="153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0,833</w:t>
            </w:r>
          </w:p>
        </w:tc>
        <w:tc>
          <w:tcPr>
            <w:tcW w:type="dxa" w:w="1624"/>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0,179</w:t>
            </w:r>
          </w:p>
        </w:tc>
        <w:tc>
          <w:tcPr>
            <w:tcW w:type="dxa" w:w="1714"/>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207</w:t>
            </w:r>
          </w:p>
        </w:tc>
      </w:tr>
    </w:tbl>
    <w:p>
      <w:pPr>
        <w:spacing w:after="120"/>
      </w:pPr>
    </w:p>
    <w:p>
      <w:pPr>
        <w:spacing w:after="120" w:before="0" w:line="276"/>
      </w:pPr>
      <w:r>
        <w:rPr>
          <w:rFonts w:ascii="Calibri" w:cs="Calibri" w:eastAsia="Calibri" w:hAnsi="Calibri"/>
          <w:sz w:val="20"/>
          <w:szCs w:val="20"/>
        </w:rPr>
        <w:t xml:space="preserve">Bajar de 0,80 a 0,05 captura tres fraudes más a cambio de diez revisiones adicionales: cada fraude recuperado cuesta cuatro revisiones. De 0,05 a 0,01 el trato empeora, y de 0,01 a 0,001 no se gana ni un fraude mientras el trabajo se triplica.</w:t>
      </w:r>
    </w:p>
    <w:p>
      <w:pPr>
        <w:pStyle w:val="Heading2"/>
        <w:spacing w:after="120" w:before="260"/>
      </w:pPr>
      <w:r>
        <w:rPr>
          <w:rFonts w:ascii="Calibri" w:cs="Calibri" w:eastAsia="Calibri" w:hAnsi="Calibri"/>
          <w:b/>
          <w:bCs/>
          <w:color w:val="2E5496"/>
          <w:sz w:val="24"/>
          <w:szCs w:val="24"/>
        </w:rPr>
        <w:t xml:space="preserve">2.5 El techo del detector</w:t>
      </w:r>
    </w:p>
    <w:p>
      <w:pPr>
        <w:spacing w:after="120" w:before="0" w:line="276"/>
      </w:pPr>
      <w:r>
        <w:rPr>
          <w:rFonts w:ascii="Calibri" w:cs="Calibri" w:eastAsia="Calibri" w:hAnsi="Calibri"/>
          <w:sz w:val="20"/>
          <w:szCs w:val="20"/>
        </w:rPr>
        <w:t xml:space="preserve">El recall se estanca en 0,833 por bajo que se ponga el umbral. Nueve de los 54 fraudes del turno reciben probabilidad prácticamente nula: son inalcanzables para este modelo. Ese es el límite real de la capa 1, y ninguna capa posterior puede recuperarlos, porque nunca llegan a verlos.</w:t>
      </w:r>
    </w:p>
    <w:p>
      <w:pPr>
        <w:pBdr>
          <w:left w:val="single" w:color="1F3864" w:sz="18" w:space="12"/>
        </w:pBdr>
        <w:spacing w:after="200" w:before="80" w:line="276"/>
        <w:ind w:left="180"/>
      </w:pPr>
      <w:r>
        <w:rPr>
          <w:rFonts w:ascii="Calibri" w:cs="Calibri" w:eastAsia="Calibri" w:hAnsi="Calibri"/>
          <w:i/>
          <w:iCs/>
          <w:color w:val="333333"/>
          <w:sz w:val="19"/>
          <w:szCs w:val="19"/>
        </w:rPr>
        <w:t xml:space="preserve">Limitación estructural que debe declararse: el sistema no puede recuperar falsos negativos del detector. Se mide en cada ejecución.</w:t>
      </w:r>
    </w:p>
    <w:p>
      <w:r>
        <w:br w:type="page"/>
      </w:r>
    </w:p>
    <w:p>
      <w:pPr>
        <w:pStyle w:val="Heading1"/>
        <w:spacing w:after="160" w:before="360"/>
      </w:pPr>
      <w:r>
        <w:rPr>
          <w:rFonts w:ascii="Calibri" w:cs="Calibri" w:eastAsia="Calibri" w:hAnsi="Calibri"/>
          <w:b/>
          <w:bCs/>
          <w:color w:val="1F3864"/>
          <w:sz w:val="30"/>
          <w:szCs w:val="30"/>
        </w:rPr>
        <w:t xml:space="preserve">3. El escenario de evaluación</w:t>
      </w:r>
    </w:p>
    <w:p>
      <w:pPr>
        <w:pStyle w:val="Heading2"/>
        <w:spacing w:after="120" w:before="260"/>
      </w:pPr>
      <w:r>
        <w:rPr>
          <w:rFonts w:ascii="Calibri" w:cs="Calibri" w:eastAsia="Calibri" w:hAnsi="Calibri"/>
          <w:b/>
          <w:bCs/>
          <w:color w:val="2E5496"/>
          <w:sz w:val="24"/>
          <w:szCs w:val="24"/>
        </w:rPr>
        <w:t xml:space="preserve">3.1 De lotes sintéticos a turnos reales</w:t>
      </w:r>
    </w:p>
    <w:p>
      <w:pPr>
        <w:spacing w:after="120" w:before="0" w:line="276"/>
      </w:pPr>
      <w:r>
        <w:rPr>
          <w:rFonts w:ascii="Calibri" w:cs="Calibri" w:eastAsia="Calibri" w:hAnsi="Calibri"/>
          <w:sz w:val="20"/>
          <w:szCs w:val="20"/>
        </w:rPr>
        <w:t xml:space="preserve">Los primeros experimentos usaban lotes de 500 transacciones con 5 fraudes inyectados. Ni el tamaño ni la proporción corresponden a nada real, y con 5 fraudes el recall solo puede tomar seis valores, de modo que se mueve a saltos de 0,2 y cualquier diferencia parece enorme.</w:t>
      </w:r>
    </w:p>
    <w:p>
      <w:pPr>
        <w:spacing w:after="120" w:before="0" w:line="276"/>
      </w:pPr>
      <w:r>
        <w:rPr>
          <w:rFonts w:ascii="Calibri" w:cs="Calibri" w:eastAsia="Calibri" w:hAnsi="Calibri"/>
          <w:sz w:val="20"/>
          <w:szCs w:val="20"/>
        </w:rPr>
        <w:t xml:space="preserve">El escenario actual extrae ventanas temporales contiguas del periodo de test: todas las transacciones de un intervalo, con la proporción de fraude que tenga la realidad. Un turno de 4 h son unas 32.000 transacciones.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45"/>
        <w:gridCol w:w="1624"/>
        <w:gridCol w:w="1173"/>
        <w:gridCol w:w="1353"/>
        <w:gridCol w:w="1173"/>
        <w:gridCol w:w="1353"/>
      </w:tblGrid>
      <w:tr>
        <w:trPr>
          <w:tblHeader/>
        </w:trPr>
        <w:tc>
          <w:tcPr>
            <w:tcW w:type="dxa" w:w="2345"/>
            <w:shd w:fill="1F3864" w:color="auto" w:val="clear"/>
            <w:tcMar>
              <w:top w:type="dxa" w:w="70"/>
              <w:left w:type="dxa" w:w="110"/>
              <w:bottom w:type="dxa" w:w="70"/>
              <w:right w:type="dxa" w:w="110"/>
            </w:tcMar>
          </w:tcPr>
          <w:p>
            <w:pPr>
              <w:spacing w:after="0" w:line="240"/>
              <w:jc w:val="left"/>
            </w:pPr>
            <w:r>
              <w:rPr>
                <w:rFonts w:ascii="Calibri" w:cs="Calibri" w:eastAsia="Calibri" w:hAnsi="Calibri"/>
                <w:b/>
                <w:bCs/>
                <w:color w:val="FFFFFF"/>
                <w:sz w:val="18"/>
                <w:szCs w:val="18"/>
              </w:rPr>
              <w:t xml:space="preserve">Turno (desplazamiento)</w:t>
            </w:r>
          </w:p>
        </w:tc>
        <w:tc>
          <w:tcPr>
            <w:tcW w:type="dxa" w:w="1624"/>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Transacciones</w:t>
            </w:r>
          </w:p>
        </w:tc>
        <w:tc>
          <w:tcPr>
            <w:tcW w:type="dxa" w:w="1173"/>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Fraudes</w:t>
            </w:r>
          </w:p>
        </w:tc>
        <w:tc>
          <w:tcPr>
            <w:tcW w:type="dxa" w:w="1353"/>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Expediente</w:t>
            </w:r>
          </w:p>
        </w:tc>
        <w:tc>
          <w:tcPr>
            <w:tcW w:type="dxa" w:w="1173"/>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Fraude</w:t>
            </w:r>
          </w:p>
        </w:tc>
        <w:tc>
          <w:tcPr>
            <w:tcW w:type="dxa" w:w="1353"/>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Falsos pos.</w:t>
            </w:r>
          </w:p>
        </w:tc>
      </w:tr>
      <w:tr>
        <w:tc>
          <w:tcPr>
            <w:tcW w:type="dxa" w:w="2345"/>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0 h</w:t>
            </w:r>
          </w:p>
        </w:tc>
        <w:tc>
          <w:tcPr>
            <w:tcW w:type="dxa" w:w="162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32.791</w:t>
            </w:r>
          </w:p>
        </w:tc>
        <w:tc>
          <w:tcPr>
            <w:tcW w:type="dxa" w:w="117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54</w:t>
            </w:r>
          </w:p>
        </w:tc>
        <w:tc>
          <w:tcPr>
            <w:tcW w:type="dxa" w:w="135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55</w:t>
            </w:r>
          </w:p>
        </w:tc>
        <w:tc>
          <w:tcPr>
            <w:tcW w:type="dxa" w:w="117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44</w:t>
            </w:r>
          </w:p>
        </w:tc>
        <w:tc>
          <w:tcPr>
            <w:tcW w:type="dxa" w:w="135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11</w:t>
            </w:r>
          </w:p>
        </w:tc>
      </w:tr>
      <w:tr>
        <w:tc>
          <w:tcPr>
            <w:tcW w:type="dxa" w:w="2345"/>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1 h</w:t>
            </w:r>
          </w:p>
        </w:tc>
        <w:tc>
          <w:tcPr>
            <w:tcW w:type="dxa" w:w="1624"/>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31.981</w:t>
            </w:r>
          </w:p>
        </w:tc>
        <w:tc>
          <w:tcPr>
            <w:tcW w:type="dxa" w:w="117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51</w:t>
            </w:r>
          </w:p>
        </w:tc>
        <w:tc>
          <w:tcPr>
            <w:tcW w:type="dxa" w:w="135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53</w:t>
            </w:r>
          </w:p>
        </w:tc>
        <w:tc>
          <w:tcPr>
            <w:tcW w:type="dxa" w:w="117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41</w:t>
            </w:r>
          </w:p>
        </w:tc>
        <w:tc>
          <w:tcPr>
            <w:tcW w:type="dxa" w:w="135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12</w:t>
            </w:r>
          </w:p>
        </w:tc>
      </w:tr>
      <w:tr>
        <w:tc>
          <w:tcPr>
            <w:tcW w:type="dxa" w:w="2345"/>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2 h</w:t>
            </w:r>
          </w:p>
        </w:tc>
        <w:tc>
          <w:tcPr>
            <w:tcW w:type="dxa" w:w="162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31.327</w:t>
            </w:r>
          </w:p>
        </w:tc>
        <w:tc>
          <w:tcPr>
            <w:tcW w:type="dxa" w:w="117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38</w:t>
            </w:r>
          </w:p>
        </w:tc>
        <w:tc>
          <w:tcPr>
            <w:tcW w:type="dxa" w:w="135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42</w:t>
            </w:r>
          </w:p>
        </w:tc>
        <w:tc>
          <w:tcPr>
            <w:tcW w:type="dxa" w:w="117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27</w:t>
            </w:r>
          </w:p>
        </w:tc>
        <w:tc>
          <w:tcPr>
            <w:tcW w:type="dxa" w:w="135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15</w:t>
            </w:r>
          </w:p>
        </w:tc>
      </w:tr>
      <w:tr>
        <w:tc>
          <w:tcPr>
            <w:tcW w:type="dxa" w:w="2345"/>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3 h</w:t>
            </w:r>
          </w:p>
        </w:tc>
        <w:tc>
          <w:tcPr>
            <w:tcW w:type="dxa" w:w="1624"/>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28.854</w:t>
            </w:r>
          </w:p>
        </w:tc>
        <w:tc>
          <w:tcPr>
            <w:tcW w:type="dxa" w:w="117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26</w:t>
            </w:r>
          </w:p>
        </w:tc>
        <w:tc>
          <w:tcPr>
            <w:tcW w:type="dxa" w:w="135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32</w:t>
            </w:r>
          </w:p>
        </w:tc>
        <w:tc>
          <w:tcPr>
            <w:tcW w:type="dxa" w:w="117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18</w:t>
            </w:r>
          </w:p>
        </w:tc>
        <w:tc>
          <w:tcPr>
            <w:tcW w:type="dxa" w:w="135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14</w:t>
            </w:r>
          </w:p>
        </w:tc>
      </w:tr>
    </w:tbl>
    <w:p>
      <w:pPr>
        <w:pBdr>
          <w:left w:val="single" w:color="1F3864" w:sz="18" w:space="12"/>
        </w:pBdr>
        <w:spacing w:after="200" w:before="80" w:line="276"/>
        <w:ind w:left="180"/>
      </w:pPr>
      <w:r>
        <w:rPr>
          <w:rFonts w:ascii="Calibri" w:cs="Calibri" w:eastAsia="Calibri" w:hAnsi="Calibri"/>
          <w:i/>
          <w:iCs/>
          <w:color w:val="333333"/>
          <w:sz w:val="19"/>
          <w:szCs w:val="19"/>
        </w:rPr>
        <w:t xml:space="preserve">Expediente calculado con umbral 0,05 y capacidad 60. El periodo de test dura 7,65 h, de modo que turnos de 4 h con desplazamientos distintos se solapan: no son muestras independientes, y así debe declararse.</w:t>
      </w:r>
    </w:p>
    <w:p>
      <w:pPr>
        <w:pStyle w:val="Heading2"/>
        <w:spacing w:after="120" w:before="260"/>
      </w:pPr>
      <w:r>
        <w:rPr>
          <w:rFonts w:ascii="Calibri" w:cs="Calibri" w:eastAsia="Calibri" w:hAnsi="Calibri"/>
          <w:b/>
          <w:bCs/>
          <w:color w:val="2E5496"/>
          <w:sz w:val="24"/>
          <w:szCs w:val="24"/>
        </w:rPr>
        <w:t xml:space="preserve">3.2 La capacidad de revisión es el cuello de botella</w:t>
      </w:r>
    </w:p>
    <w:p>
      <w:pPr>
        <w:spacing w:after="120" w:before="0" w:line="276"/>
      </w:pPr>
      <w:r>
        <w:rPr>
          <w:rFonts w:ascii="Calibri" w:cs="Calibri" w:eastAsia="Calibri" w:hAnsi="Calibri"/>
          <w:sz w:val="20"/>
          <w:szCs w:val="20"/>
        </w:rPr>
        <w:t xml:space="preserve">Un departamento real no revisa todo lo que el modelo marca: revisa lo que le da tiempo. Modelando esa restricción sobre el turno de 4 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55"/>
        <w:gridCol w:w="2435"/>
        <w:gridCol w:w="2435"/>
        <w:gridCol w:w="1894"/>
      </w:tblGrid>
      <w:tr>
        <w:trPr>
          <w:tblHeader/>
        </w:trPr>
        <w:tc>
          <w:tcPr>
            <w:tcW w:type="dxa" w:w="2255"/>
            <w:shd w:fill="1F3864" w:color="auto" w:val="clear"/>
            <w:tcMar>
              <w:top w:type="dxa" w:w="70"/>
              <w:left w:type="dxa" w:w="110"/>
              <w:bottom w:type="dxa" w:w="70"/>
              <w:right w:type="dxa" w:w="110"/>
            </w:tcMar>
          </w:tcPr>
          <w:p>
            <w:pPr>
              <w:spacing w:after="0" w:line="240"/>
              <w:jc w:val="left"/>
            </w:pPr>
            <w:r>
              <w:rPr>
                <w:rFonts w:ascii="Calibri" w:cs="Calibri" w:eastAsia="Calibri" w:hAnsi="Calibri"/>
                <w:b/>
                <w:bCs/>
                <w:color w:val="FFFFFF"/>
                <w:sz w:val="18"/>
                <w:szCs w:val="18"/>
              </w:rPr>
              <w:t xml:space="preserve">Capacidad</w:t>
            </w:r>
          </w:p>
        </w:tc>
        <w:tc>
          <w:tcPr>
            <w:tcW w:type="dxa" w:w="2435"/>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Casos elevados</w:t>
            </w:r>
          </w:p>
        </w:tc>
        <w:tc>
          <w:tcPr>
            <w:tcW w:type="dxa" w:w="2435"/>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Fraude capturado</w:t>
            </w:r>
          </w:p>
        </w:tc>
        <w:tc>
          <w:tcPr>
            <w:tcW w:type="dxa" w:w="1894"/>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Recall</w:t>
            </w:r>
          </w:p>
        </w:tc>
      </w:tr>
      <w:tr>
        <w:tc>
          <w:tcPr>
            <w:tcW w:type="dxa" w:w="2255"/>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5</w:t>
            </w:r>
          </w:p>
        </w:tc>
        <w:tc>
          <w:tcPr>
            <w:tcW w:type="dxa" w:w="2435"/>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5</w:t>
            </w:r>
          </w:p>
        </w:tc>
        <w:tc>
          <w:tcPr>
            <w:tcW w:type="dxa" w:w="2435"/>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5</w:t>
            </w:r>
          </w:p>
        </w:tc>
        <w:tc>
          <w:tcPr>
            <w:tcW w:type="dxa" w:w="189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0,093</w:t>
            </w:r>
          </w:p>
        </w:tc>
      </w:tr>
      <w:tr>
        <w:tc>
          <w:tcPr>
            <w:tcW w:type="dxa" w:w="2255"/>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10</w:t>
            </w:r>
          </w:p>
        </w:tc>
        <w:tc>
          <w:tcPr>
            <w:tcW w:type="dxa" w:w="2435"/>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10</w:t>
            </w:r>
          </w:p>
        </w:tc>
        <w:tc>
          <w:tcPr>
            <w:tcW w:type="dxa" w:w="2435"/>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10</w:t>
            </w:r>
          </w:p>
        </w:tc>
        <w:tc>
          <w:tcPr>
            <w:tcW w:type="dxa" w:w="1894"/>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0,185</w:t>
            </w:r>
          </w:p>
        </w:tc>
      </w:tr>
      <w:tr>
        <w:tc>
          <w:tcPr>
            <w:tcW w:type="dxa" w:w="2255"/>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15</w:t>
            </w:r>
          </w:p>
        </w:tc>
        <w:tc>
          <w:tcPr>
            <w:tcW w:type="dxa" w:w="2435"/>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15</w:t>
            </w:r>
          </w:p>
        </w:tc>
        <w:tc>
          <w:tcPr>
            <w:tcW w:type="dxa" w:w="2435"/>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15</w:t>
            </w:r>
          </w:p>
        </w:tc>
        <w:tc>
          <w:tcPr>
            <w:tcW w:type="dxa" w:w="189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0,278</w:t>
            </w:r>
          </w:p>
        </w:tc>
      </w:tr>
      <w:tr>
        <w:tc>
          <w:tcPr>
            <w:tcW w:type="dxa" w:w="2255"/>
            <w:shd w:fill="E2EFDA" w:color="auto" w:val="clear"/>
            <w:tcMar>
              <w:top w:type="dxa" w:w="70"/>
              <w:left w:type="dxa" w:w="110"/>
              <w:bottom w:type="dxa" w:w="70"/>
              <w:right w:type="dxa" w:w="110"/>
            </w:tcMar>
          </w:tcPr>
          <w:p>
            <w:pPr>
              <w:spacing w:after="0" w:line="240"/>
              <w:jc w:val="left"/>
            </w:pPr>
            <w:r>
              <w:rPr>
                <w:rFonts w:ascii="Calibri" w:cs="Calibri" w:eastAsia="Calibri" w:hAnsi="Calibri"/>
                <w:b/>
                <w:bCs/>
                <w:sz w:val="18"/>
                <w:szCs w:val="18"/>
              </w:rPr>
              <w:t xml:space="preserve">42</w:t>
            </w:r>
          </w:p>
        </w:tc>
        <w:tc>
          <w:tcPr>
            <w:tcW w:type="dxa" w:w="2435"/>
            <w:shd w:fill="E2EFDA"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42</w:t>
            </w:r>
          </w:p>
        </w:tc>
        <w:tc>
          <w:tcPr>
            <w:tcW w:type="dxa" w:w="2435"/>
            <w:shd w:fill="E2EFDA"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41</w:t>
            </w:r>
          </w:p>
        </w:tc>
        <w:tc>
          <w:tcPr>
            <w:tcW w:type="dxa" w:w="1894"/>
            <w:shd w:fill="E2EFDA"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0,759</w:t>
            </w:r>
          </w:p>
        </w:tc>
      </w:tr>
      <w:tr>
        <w:tc>
          <w:tcPr>
            <w:tcW w:type="dxa" w:w="2255"/>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60</w:t>
            </w:r>
          </w:p>
        </w:tc>
        <w:tc>
          <w:tcPr>
            <w:tcW w:type="dxa" w:w="2435"/>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42</w:t>
            </w:r>
          </w:p>
        </w:tc>
        <w:tc>
          <w:tcPr>
            <w:tcW w:type="dxa" w:w="2435"/>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41</w:t>
            </w:r>
          </w:p>
        </w:tc>
        <w:tc>
          <w:tcPr>
            <w:tcW w:type="dxa" w:w="189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0,759</w:t>
            </w:r>
          </w:p>
        </w:tc>
      </w:tr>
    </w:tbl>
    <w:p>
      <w:pPr>
        <w:spacing w:after="120"/>
      </w:pPr>
    </w:p>
    <w:p>
      <w:pPr>
        <w:spacing w:after="120" w:before="0" w:line="276"/>
      </w:pPr>
      <w:r>
        <w:rPr>
          <w:rFonts w:ascii="Calibri" w:cs="Calibri" w:eastAsia="Calibri" w:hAnsi="Calibri"/>
          <w:b/>
          <w:bCs/>
          <w:sz w:val="20"/>
          <w:szCs w:val="20"/>
        </w:rPr>
        <w:t xml:space="preserve">Pasar de 5 a 42 casos multiplica el recall por ocho. Cambiar de modelo de lenguaje lo mueve, como mucho, ±0,08. El margen de mejora del sistema no estaba en el modelo sino en la capacidad de revisión, y es el resultado más contraintuitivo del trabajo.</w:t>
      </w:r>
    </w:p>
    <w:p>
      <w:pPr>
        <w:spacing w:after="120" w:before="0" w:line="276"/>
      </w:pPr>
      <w:r>
        <w:rPr>
          <w:rFonts w:ascii="Calibri" w:cs="Calibri" w:eastAsia="Calibri" w:hAnsi="Calibri"/>
          <w:sz w:val="20"/>
          <w:szCs w:val="20"/>
        </w:rPr>
        <w:t xml:space="preserve">A partir de 42 la capacidad deja de importar porque solo hay 42 casos por encima del umbral ALTO: el límite pasa a ser el umbral, no el equipo.</w:t>
      </w:r>
    </w:p>
    <w:p>
      <w:r>
        <w:br w:type="page"/>
      </w:r>
    </w:p>
    <w:p>
      <w:pPr>
        <w:pStyle w:val="Heading1"/>
        <w:spacing w:after="160" w:before="360"/>
      </w:pPr>
      <w:r>
        <w:rPr>
          <w:rFonts w:ascii="Calibri" w:cs="Calibri" w:eastAsia="Calibri" w:hAnsi="Calibri"/>
          <w:b/>
          <w:bCs/>
          <w:color w:val="1F3864"/>
          <w:sz w:val="30"/>
          <w:szCs w:val="30"/>
        </w:rPr>
        <w:t xml:space="preserve">4. La capa 2: los agentes</w:t>
      </w:r>
    </w:p>
    <w:p>
      <w:pPr>
        <w:pStyle w:val="Heading2"/>
        <w:spacing w:after="120" w:before="260"/>
      </w:pPr>
      <w:r>
        <w:rPr>
          <w:rFonts w:ascii="Calibri" w:cs="Calibri" w:eastAsia="Calibri" w:hAnsi="Calibri"/>
          <w:b/>
          <w:bCs/>
          <w:color w:val="2E5496"/>
          <w:sz w:val="24"/>
          <w:szCs w:val="24"/>
        </w:rPr>
        <w:t xml:space="preserve">4.1 Comparativa de modelos locales</w:t>
      </w:r>
    </w:p>
    <w:p>
      <w:pPr>
        <w:spacing w:after="120" w:before="0" w:line="276"/>
      </w:pPr>
      <w:r>
        <w:rPr>
          <w:rFonts w:ascii="Calibri" w:cs="Calibri" w:eastAsia="Calibri" w:hAnsi="Calibri"/>
          <w:sz w:val="20"/>
          <w:szCs w:val="20"/>
        </w:rPr>
        <w:t xml:space="preserve">Cinco modelos ejecutados en local sobre una RTX 5060 Ti de 16 GB, dos modos de autoridad, seis lotes, dos repeticiones: 120 ejecuciones.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45"/>
        <w:gridCol w:w="1443"/>
        <w:gridCol w:w="1353"/>
        <w:gridCol w:w="1353"/>
        <w:gridCol w:w="1353"/>
        <w:gridCol w:w="1173"/>
      </w:tblGrid>
      <w:tr>
        <w:trPr>
          <w:tblHeader/>
        </w:trPr>
        <w:tc>
          <w:tcPr>
            <w:tcW w:type="dxa" w:w="2345"/>
            <w:shd w:fill="1F3864" w:color="auto" w:val="clear"/>
            <w:tcMar>
              <w:top w:type="dxa" w:w="70"/>
              <w:left w:type="dxa" w:w="110"/>
              <w:bottom w:type="dxa" w:w="70"/>
              <w:right w:type="dxa" w:w="110"/>
            </w:tcMar>
          </w:tcPr>
          <w:p>
            <w:pPr>
              <w:spacing w:after="0" w:line="240"/>
              <w:jc w:val="left"/>
            </w:pPr>
            <w:r>
              <w:rPr>
                <w:rFonts w:ascii="Calibri" w:cs="Calibri" w:eastAsia="Calibri" w:hAnsi="Calibri"/>
                <w:b/>
                <w:bCs/>
                <w:color w:val="FFFFFF"/>
                <w:sz w:val="18"/>
                <w:szCs w:val="18"/>
              </w:rPr>
              <w:t xml:space="preserve">Modelo</w:t>
            </w:r>
          </w:p>
        </w:tc>
        <w:tc>
          <w:tcPr>
            <w:tcW w:type="dxa" w:w="1443"/>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Recall interpreta</w:t>
            </w:r>
          </w:p>
        </w:tc>
        <w:tc>
          <w:tcPr>
            <w:tcW w:type="dxa" w:w="1353"/>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Recall revisa</w:t>
            </w:r>
          </w:p>
        </w:tc>
        <w:tc>
          <w:tcPr>
            <w:tcW w:type="dxa" w:w="1353"/>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Descarta fraude</w:t>
            </w:r>
          </w:p>
        </w:tc>
        <w:tc>
          <w:tcPr>
            <w:tcW w:type="dxa" w:w="1353"/>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Informes fiables</w:t>
            </w:r>
          </w:p>
        </w:tc>
        <w:tc>
          <w:tcPr>
            <w:tcW w:type="dxa" w:w="1173"/>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Tiempo</w:t>
            </w:r>
          </w:p>
        </w:tc>
      </w:tr>
      <w:tr>
        <w:tc>
          <w:tcPr>
            <w:tcW w:type="dxa" w:w="2345"/>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gpt-oss:20b</w:t>
            </w:r>
          </w:p>
        </w:tc>
        <w:tc>
          <w:tcPr>
            <w:tcW w:type="dxa" w:w="144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0,633</w:t>
            </w:r>
          </w:p>
        </w:tc>
        <w:tc>
          <w:tcPr>
            <w:tcW w:type="dxa" w:w="135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0,633</w:t>
            </w:r>
          </w:p>
        </w:tc>
        <w:tc>
          <w:tcPr>
            <w:tcW w:type="dxa" w:w="135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0/12</w:t>
            </w:r>
          </w:p>
        </w:tc>
        <w:tc>
          <w:tcPr>
            <w:tcW w:type="dxa" w:w="135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12/12</w:t>
            </w:r>
          </w:p>
        </w:tc>
        <w:tc>
          <w:tcPr>
            <w:tcW w:type="dxa" w:w="117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31 s</w:t>
            </w:r>
          </w:p>
        </w:tc>
      </w:tr>
      <w:tr>
        <w:tc>
          <w:tcPr>
            <w:tcW w:type="dxa" w:w="2345"/>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qwen2.5:14b</w:t>
            </w:r>
          </w:p>
        </w:tc>
        <w:tc>
          <w:tcPr>
            <w:tcW w:type="dxa" w:w="144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0,633</w:t>
            </w:r>
          </w:p>
        </w:tc>
        <w:tc>
          <w:tcPr>
            <w:tcW w:type="dxa" w:w="135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0,633</w:t>
            </w:r>
          </w:p>
        </w:tc>
        <w:tc>
          <w:tcPr>
            <w:tcW w:type="dxa" w:w="135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0/12</w:t>
            </w:r>
          </w:p>
        </w:tc>
        <w:tc>
          <w:tcPr>
            <w:tcW w:type="dxa" w:w="135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12/12</w:t>
            </w:r>
          </w:p>
        </w:tc>
        <w:tc>
          <w:tcPr>
            <w:tcW w:type="dxa" w:w="117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36 s</w:t>
            </w:r>
          </w:p>
        </w:tc>
      </w:tr>
      <w:tr>
        <w:tc>
          <w:tcPr>
            <w:tcW w:type="dxa" w:w="2345"/>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qwen2.5:14b-q6_K</w:t>
            </w:r>
          </w:p>
        </w:tc>
        <w:tc>
          <w:tcPr>
            <w:tcW w:type="dxa" w:w="144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0,633</w:t>
            </w:r>
          </w:p>
        </w:tc>
        <w:tc>
          <w:tcPr>
            <w:tcW w:type="dxa" w:w="135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0,633</w:t>
            </w:r>
          </w:p>
        </w:tc>
        <w:tc>
          <w:tcPr>
            <w:tcW w:type="dxa" w:w="135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0/12</w:t>
            </w:r>
          </w:p>
        </w:tc>
        <w:tc>
          <w:tcPr>
            <w:tcW w:type="dxa" w:w="135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12/12</w:t>
            </w:r>
          </w:p>
        </w:tc>
        <w:tc>
          <w:tcPr>
            <w:tcW w:type="dxa" w:w="117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50 s</w:t>
            </w:r>
          </w:p>
        </w:tc>
      </w:tr>
      <w:tr>
        <w:tc>
          <w:tcPr>
            <w:tcW w:type="dxa" w:w="2345"/>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qwen3:14b</w:t>
            </w:r>
          </w:p>
        </w:tc>
        <w:tc>
          <w:tcPr>
            <w:tcW w:type="dxa" w:w="144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0,633</w:t>
            </w:r>
          </w:p>
        </w:tc>
        <w:tc>
          <w:tcPr>
            <w:tcW w:type="dxa" w:w="135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0,633</w:t>
            </w:r>
          </w:p>
        </w:tc>
        <w:tc>
          <w:tcPr>
            <w:tcW w:type="dxa" w:w="135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0/12</w:t>
            </w:r>
          </w:p>
        </w:tc>
        <w:tc>
          <w:tcPr>
            <w:tcW w:type="dxa" w:w="135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7/12</w:t>
            </w:r>
          </w:p>
        </w:tc>
        <w:tc>
          <w:tcPr>
            <w:tcW w:type="dxa" w:w="117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73 s</w:t>
            </w:r>
          </w:p>
        </w:tc>
      </w:tr>
      <w:tr>
        <w:tc>
          <w:tcPr>
            <w:tcW w:type="dxa" w:w="2345"/>
            <w:shd w:fill="FCE4EC" w:color="auto" w:val="clear"/>
            <w:tcMar>
              <w:top w:type="dxa" w:w="70"/>
              <w:left w:type="dxa" w:w="110"/>
              <w:bottom w:type="dxa" w:w="70"/>
              <w:right w:type="dxa" w:w="110"/>
            </w:tcMar>
          </w:tcPr>
          <w:p>
            <w:pPr>
              <w:spacing w:after="0" w:line="240"/>
              <w:jc w:val="left"/>
            </w:pPr>
            <w:r>
              <w:rPr>
                <w:rFonts w:ascii="Calibri" w:cs="Calibri" w:eastAsia="Calibri" w:hAnsi="Calibri"/>
                <w:b/>
                <w:bCs/>
                <w:sz w:val="18"/>
                <w:szCs w:val="18"/>
              </w:rPr>
              <w:t xml:space="preserve">llama3.1:8b</w:t>
            </w:r>
          </w:p>
        </w:tc>
        <w:tc>
          <w:tcPr>
            <w:tcW w:type="dxa" w:w="1443"/>
            <w:shd w:fill="FCE4EC"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0,633</w:t>
            </w:r>
          </w:p>
        </w:tc>
        <w:tc>
          <w:tcPr>
            <w:tcW w:type="dxa" w:w="1353"/>
            <w:shd w:fill="FCE4EC"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0,533</w:t>
            </w:r>
          </w:p>
        </w:tc>
        <w:tc>
          <w:tcPr>
            <w:tcW w:type="dxa" w:w="1353"/>
            <w:shd w:fill="FCE4EC"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6/12</w:t>
            </w:r>
          </w:p>
        </w:tc>
        <w:tc>
          <w:tcPr>
            <w:tcW w:type="dxa" w:w="1353"/>
            <w:shd w:fill="FCE4EC"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12/12</w:t>
            </w:r>
          </w:p>
        </w:tc>
        <w:tc>
          <w:tcPr>
            <w:tcW w:type="dxa" w:w="1173"/>
            <w:shd w:fill="FCE4EC"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15 s</w:t>
            </w:r>
          </w:p>
        </w:tc>
      </w:tr>
    </w:tbl>
    <w:p>
      <w:pPr>
        <w:pBdr>
          <w:left w:val="single" w:color="1F3864" w:sz="18" w:space="12"/>
        </w:pBdr>
        <w:spacing w:after="200" w:before="80" w:line="276"/>
        <w:ind w:left="180"/>
      </w:pPr>
      <w:r>
        <w:rPr>
          <w:rFonts w:ascii="Calibri" w:cs="Calibri" w:eastAsia="Calibri" w:hAnsi="Calibri"/>
          <w:i/>
          <w:iCs/>
          <w:color w:val="333333"/>
          <w:sz w:val="19"/>
          <w:szCs w:val="19"/>
        </w:rPr>
        <w:t xml:space="preserve">Fuente: reports/experimento_20260728_1358.csv · 120 ejecuciones, 0 errores. Lotes sintéticos de 500 transacciones, configuración de 3 agentes.</w:t>
      </w:r>
    </w:p>
    <w:p>
      <w:pPr>
        <w:spacing w:after="120" w:before="0" w:line="276"/>
      </w:pPr>
      <w:r>
        <w:rPr>
          <w:rFonts w:ascii="Calibri" w:cs="Calibri" w:eastAsia="Calibri" w:hAnsi="Calibri"/>
          <w:sz w:val="20"/>
          <w:szCs w:val="20"/>
        </w:rPr>
        <w:t xml:space="preserve">Tres lecturas:</w:t>
      </w:r>
    </w:p>
    <w:p>
      <w:pPr>
        <w:pStyle w:val="ListParagraph"/>
        <w:numPr>
          <w:ilvl w:val="0"/>
          <w:numId w:val="2"/>
        </w:numPr>
        <w:spacing w:after="80" w:line="276"/>
      </w:pPr>
      <w:r>
        <w:rPr>
          <w:rFonts w:ascii="Calibri" w:cs="Calibri" w:eastAsia="Calibri" w:hAnsi="Calibri"/>
          <w:sz w:val="20"/>
          <w:szCs w:val="20"/>
        </w:rPr>
        <w:t xml:space="preserve">En modo interpreta los cinco modelos dan recall idéntico (0,633 ± 0,078). Mientras el detector decide, el modelo de lenguaje que se ponga encima es irrelevante para la detección. Esto valida empíricamente la arquitectura de dos capas.</w:t>
      </w:r>
    </w:p>
    <w:p>
      <w:pPr>
        <w:pStyle w:val="ListParagraph"/>
        <w:numPr>
          <w:ilvl w:val="0"/>
          <w:numId w:val="2"/>
        </w:numPr>
        <w:spacing w:after="80" w:line="276"/>
      </w:pPr>
      <w:r>
        <w:rPr>
          <w:rFonts w:ascii="Calibri" w:cs="Calibri" w:eastAsia="Calibri" w:hAnsi="Calibri"/>
          <w:sz w:val="20"/>
          <w:szCs w:val="20"/>
        </w:rPr>
        <w:t xml:space="preserve">Razonar no ayuda en esta tarea: qwen3:14b tarda casi cinco veces más que llama3.1:8b sin mejorar ninguna métrica, y produce el peor índice de informes fiables.</w:t>
      </w:r>
    </w:p>
    <w:p>
      <w:pPr>
        <w:pStyle w:val="ListParagraph"/>
        <w:numPr>
          <w:ilvl w:val="0"/>
          <w:numId w:val="2"/>
        </w:numPr>
        <w:spacing w:after="80" w:line="276"/>
      </w:pPr>
      <w:r>
        <w:rPr>
          <w:rFonts w:ascii="Calibri" w:cs="Calibri" w:eastAsia="Calibri" w:hAnsi="Calibri"/>
          <w:sz w:val="20"/>
          <w:szCs w:val="20"/>
        </w:rPr>
        <w:t xml:space="preserve">La cuantización más fina tampoco aporta: Q6 frente a Q4 da resultado idéntico un 40 % más lento.</w:t>
      </w:r>
    </w:p>
    <w:p>
      <w:pPr>
        <w:pBdr>
          <w:left w:val="single" w:color="1F3864" w:sz="18" w:space="12"/>
        </w:pBdr>
        <w:spacing w:after="200" w:before="80" w:line="276"/>
        <w:ind w:left="180"/>
      </w:pPr>
      <w:r>
        <w:rPr>
          <w:rFonts w:ascii="Calibri" w:cs="Calibri" w:eastAsia="Calibri" w:hAnsi="Calibri"/>
          <w:i/>
          <w:iCs/>
          <w:color w:val="333333"/>
          <w:sz w:val="19"/>
          <w:szCs w:val="19"/>
        </w:rPr>
        <w:t xml:space="preserve">Nota metodológica: esta comparativa se realizó con lotes sintéticos y 3 agentes. No se ha repetido bajo la configuración actual —turnos reales, 6 agentes, contexto ampliado—, y gpt-oss:20b resultó tan bueno como qwen2.5:14b y más rápido. Repetirla es el experimento pendiente más relevante.</w:t>
      </w:r>
    </w:p>
    <w:p>
      <w:pPr>
        <w:pStyle w:val="Heading2"/>
        <w:spacing w:after="120" w:before="260"/>
      </w:pPr>
      <w:r>
        <w:rPr>
          <w:rFonts w:ascii="Calibri" w:cs="Calibri" w:eastAsia="Calibri" w:hAnsi="Calibri"/>
          <w:b/>
          <w:bCs/>
          <w:color w:val="2E5496"/>
          <w:sz w:val="24"/>
          <w:szCs w:val="24"/>
        </w:rPr>
        <w:t xml:space="preserve">4.2 El umbral de capacidad, con contraste estadístico</w:t>
      </w:r>
    </w:p>
    <w:p>
      <w:pPr>
        <w:spacing w:after="120" w:before="0" w:line="276"/>
      </w:pPr>
      <w:r>
        <w:rPr>
          <w:rFonts w:ascii="Calibri" w:cs="Calibri" w:eastAsia="Calibri" w:hAnsi="Calibri"/>
          <w:sz w:val="20"/>
          <w:szCs w:val="20"/>
        </w:rPr>
        <w:t xml:space="preserve">El hallazgo más sólido del trabajo. En modo revisa, llama3.1:8b retiró fraude auténtico del informe en 6 de 18 ejecuciones; qwen2.5:14b en ninguna de 18. Ningún modelo de 14B o más falló nunca de este modo.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65"/>
        <w:gridCol w:w="4149"/>
        <w:gridCol w:w="2706"/>
      </w:tblGrid>
      <w:tr>
        <w:trPr>
          <w:tblHeader/>
        </w:trPr>
        <w:tc>
          <w:tcPr>
            <w:tcW w:type="dxa" w:w="2165"/>
            <w:shd w:fill="1F3864" w:color="auto" w:val="clear"/>
            <w:tcMar>
              <w:top w:type="dxa" w:w="70"/>
              <w:left w:type="dxa" w:w="110"/>
              <w:bottom w:type="dxa" w:w="70"/>
              <w:right w:type="dxa" w:w="110"/>
            </w:tcMar>
          </w:tcPr>
          <w:p>
            <w:pPr>
              <w:spacing w:after="0" w:line="240"/>
              <w:jc w:val="left"/>
            </w:pPr>
            <w:r>
              <w:rPr>
                <w:rFonts w:ascii="Calibri" w:cs="Calibri" w:eastAsia="Calibri" w:hAnsi="Calibri"/>
                <w:b/>
                <w:bCs/>
                <w:color w:val="FFFFFF"/>
                <w:sz w:val="18"/>
                <w:szCs w:val="18"/>
              </w:rPr>
              <w:t xml:space="preserve">Contraste</w:t>
            </w:r>
          </w:p>
        </w:tc>
        <w:tc>
          <w:tcPr>
            <w:tcW w:type="dxa" w:w="4149"/>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Qué compara</w:t>
            </w:r>
          </w:p>
        </w:tc>
        <w:tc>
          <w:tcPr>
            <w:tcW w:type="dxa" w:w="2706"/>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Resultado</w:t>
            </w:r>
          </w:p>
        </w:tc>
      </w:tr>
      <w:tr>
        <w:tc>
          <w:tcPr>
            <w:tcW w:type="dxa" w:w="2165"/>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Test exacto de Fisher</w:t>
            </w:r>
          </w:p>
        </w:tc>
        <w:tc>
          <w:tcPr>
            <w:tcW w:type="dxa" w:w="4149"/>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Frecuencia de descartes erróneos, 8B frente a 14B</w:t>
            </w:r>
          </w:p>
        </w:tc>
        <w:tc>
          <w:tcPr>
            <w:tcW w:type="dxa" w:w="2706"/>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p = 0,0191</w:t>
            </w:r>
          </w:p>
        </w:tc>
      </w:tr>
      <w:tr>
        <w:tc>
          <w:tcPr>
            <w:tcW w:type="dxa" w:w="2165"/>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Wilcoxon pareado</w:t>
            </w:r>
          </w:p>
        </w:tc>
        <w:tc>
          <w:tcPr>
            <w:tcW w:type="dxa" w:w="4149"/>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Efecto de dar autoridad al 8B sobre el recall</w:t>
            </w:r>
          </w:p>
        </w:tc>
        <w:tc>
          <w:tcPr>
            <w:tcW w:type="dxa" w:w="2706"/>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p = 0,0235</w:t>
            </w:r>
          </w:p>
        </w:tc>
      </w:tr>
    </w:tbl>
    <w:p>
      <w:pPr>
        <w:spacing w:after="120"/>
      </w:pPr>
    </w:p>
    <w:p>
      <w:pPr>
        <w:spacing w:after="120" w:before="0" w:line="276"/>
      </w:pPr>
      <w:r>
        <w:rPr>
          <w:rFonts w:ascii="Calibri" w:cs="Calibri" w:eastAsia="Calibri" w:hAnsi="Calibri"/>
          <w:sz w:val="20"/>
          <w:szCs w:val="20"/>
        </w:rPr>
        <w:t xml:space="preserve">Interpretación práctica: si el modelo no influyera, la probabilidad de observar un reparto tan desigual por azar sería del 1,9 %. Se emplean dos pruebas porque miden cosas distintas —Fisher cuenta sucesos, Wilcoxon compara magnitudes emparejadas— y su coincidencia refuerza la conclusión.</w:t>
      </w:r>
    </w:p>
    <w:p>
      <w:pPr>
        <w:pStyle w:val="Heading2"/>
        <w:spacing w:after="120" w:before="260"/>
      </w:pPr>
      <w:r>
        <w:rPr>
          <w:rFonts w:ascii="Calibri" w:cs="Calibri" w:eastAsia="Calibri" w:hAnsi="Calibri"/>
          <w:b/>
          <w:bCs/>
          <w:color w:val="2E5496"/>
          <w:sz w:val="24"/>
          <w:szCs w:val="24"/>
        </w:rPr>
        <w:t xml:space="preserve">El fallo del 8B no es determinista</w:t>
      </w:r>
    </w:p>
    <w:p>
      <w:pPr>
        <w:spacing w:after="120" w:before="0" w:line="276"/>
      </w:pPr>
      <w:r>
        <w:rPr>
          <w:rFonts w:ascii="Calibri" w:cs="Calibri" w:eastAsia="Calibri" w:hAnsi="Calibri"/>
          <w:sz w:val="20"/>
          <w:szCs w:val="20"/>
        </w:rPr>
        <w:t xml:space="preserve">Con el mismo lote y temperature = 0,1, tres ejecuciones idénticas dieron recall 0,60, 0,40 y 0,80. Un sistema antifraude que decide distinto ante el mismo caso es inauditable, y eso pesa más que el error medio.</w:t>
      </w:r>
    </w:p>
    <w:p>
      <w:pPr>
        <w:spacing w:after="120" w:before="0" w:line="276"/>
      </w:pPr>
      <w:r>
        <w:rPr>
          <w:rFonts w:ascii="Calibri" w:cs="Calibri" w:eastAsia="Calibri" w:hAnsi="Calibri"/>
          <w:b/>
          <w:bCs/>
          <w:sz w:val="20"/>
          <w:szCs w:val="20"/>
        </w:rPr>
        <w:t xml:space="preserve">El contraste con el 14B es rotundo: en el experimento con turnos reales, las cuatro repeticiones de cada turno produjeron recall exactamente idéntico.</w:t>
      </w:r>
    </w:p>
    <w:p>
      <w:pPr>
        <w:pStyle w:val="Heading2"/>
        <w:spacing w:after="120" w:before="260"/>
      </w:pPr>
      <w:r>
        <w:rPr>
          <w:rFonts w:ascii="Calibri" w:cs="Calibri" w:eastAsia="Calibri" w:hAnsi="Calibri"/>
          <w:b/>
          <w:bCs/>
          <w:color w:val="2E5496"/>
          <w:sz w:val="24"/>
          <w:szCs w:val="24"/>
        </w:rPr>
        <w:t xml:space="preserve">4.3 Arquitectura de investigación: iterativa frente a monolítica</w:t>
      </w:r>
    </w:p>
    <w:p>
      <w:pPr>
        <w:spacing w:after="120" w:before="0" w:line="276"/>
      </w:pPr>
      <w:r>
        <w:rPr>
          <w:rFonts w:ascii="Calibri" w:cs="Calibri" w:eastAsia="Calibri" w:hAnsi="Calibri"/>
          <w:sz w:val="20"/>
          <w:szCs w:val="20"/>
        </w:rPr>
        <w:t xml:space="preserve">La versión monolítica pide al modelo N párrafos en una sola respuesta; la iterativa lanza una tarea por caso.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45"/>
        <w:gridCol w:w="902"/>
        <w:gridCol w:w="2165"/>
        <w:gridCol w:w="1984"/>
        <w:gridCol w:w="1624"/>
      </w:tblGrid>
      <w:tr>
        <w:trPr>
          <w:tblHeader/>
        </w:trPr>
        <w:tc>
          <w:tcPr>
            <w:tcW w:type="dxa" w:w="2345"/>
            <w:shd w:fill="1F3864" w:color="auto" w:val="clear"/>
            <w:tcMar>
              <w:top w:type="dxa" w:w="70"/>
              <w:left w:type="dxa" w:w="110"/>
              <w:bottom w:type="dxa" w:w="70"/>
              <w:right w:type="dxa" w:w="110"/>
            </w:tcMar>
          </w:tcPr>
          <w:p>
            <w:pPr>
              <w:spacing w:after="0" w:line="240"/>
              <w:jc w:val="left"/>
            </w:pPr>
            <w:r>
              <w:rPr>
                <w:rFonts w:ascii="Calibri" w:cs="Calibri" w:eastAsia="Calibri" w:hAnsi="Calibri"/>
                <w:b/>
                <w:bCs/>
                <w:color w:val="FFFFFF"/>
                <w:sz w:val="18"/>
                <w:szCs w:val="18"/>
              </w:rPr>
              <w:t xml:space="preserve">Arquitectura</w:t>
            </w:r>
          </w:p>
        </w:tc>
        <w:tc>
          <w:tcPr>
            <w:tcW w:type="dxa" w:w="902"/>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n</w:t>
            </w:r>
          </w:p>
        </w:tc>
        <w:tc>
          <w:tcPr>
            <w:tcW w:type="dxa" w:w="2165"/>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Recall</w:t>
            </w:r>
          </w:p>
        </w:tc>
        <w:tc>
          <w:tcPr>
            <w:tcW w:type="dxa" w:w="1984"/>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Informes completos</w:t>
            </w:r>
          </w:p>
        </w:tc>
        <w:tc>
          <w:tcPr>
            <w:tcW w:type="dxa" w:w="1624"/>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Tiempo medio</w:t>
            </w:r>
          </w:p>
        </w:tc>
      </w:tr>
      <w:tr>
        <w:tc>
          <w:tcPr>
            <w:tcW w:type="dxa" w:w="2345"/>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Iterativa</w:t>
            </w:r>
          </w:p>
        </w:tc>
        <w:tc>
          <w:tcPr>
            <w:tcW w:type="dxa" w:w="902"/>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8</w:t>
            </w:r>
          </w:p>
        </w:tc>
        <w:tc>
          <w:tcPr>
            <w:tcW w:type="dxa" w:w="2165"/>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0,737 ± 0,039</w:t>
            </w:r>
          </w:p>
        </w:tc>
        <w:tc>
          <w:tcPr>
            <w:tcW w:type="dxa" w:w="198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8/8</w:t>
            </w:r>
          </w:p>
        </w:tc>
        <w:tc>
          <w:tcPr>
            <w:tcW w:type="dxa" w:w="162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272 s</w:t>
            </w:r>
          </w:p>
        </w:tc>
      </w:tr>
      <w:tr>
        <w:tc>
          <w:tcPr>
            <w:tcW w:type="dxa" w:w="2345"/>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Monolítica</w:t>
            </w:r>
          </w:p>
        </w:tc>
        <w:tc>
          <w:tcPr>
            <w:tcW w:type="dxa" w:w="902"/>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8</w:t>
            </w:r>
          </w:p>
        </w:tc>
        <w:tc>
          <w:tcPr>
            <w:tcW w:type="dxa" w:w="2165"/>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0,737 ± 0,039</w:t>
            </w:r>
          </w:p>
        </w:tc>
        <w:tc>
          <w:tcPr>
            <w:tcW w:type="dxa" w:w="1984"/>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5/8</w:t>
            </w:r>
          </w:p>
        </w:tc>
        <w:tc>
          <w:tcPr>
            <w:tcW w:type="dxa" w:w="1624"/>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187 s</w:t>
            </w:r>
          </w:p>
        </w:tc>
      </w:tr>
    </w:tbl>
    <w:p>
      <w:pPr>
        <w:spacing w:after="120"/>
      </w:pPr>
    </w:p>
    <w:p>
      <w:pPr>
        <w:spacing w:after="120" w:before="0" w:line="276"/>
      </w:pPr>
      <w:r>
        <w:rPr>
          <w:rFonts w:ascii="Calibri" w:cs="Calibri" w:eastAsia="Calibri" w:hAnsi="Calibri"/>
          <w:sz w:val="20"/>
          <w:szCs w:val="20"/>
        </w:rPr>
        <w:t xml:space="preserve">El recall es idéntico. La diferencia está en la completitud: la versión monolítica pierde casos al sintetizar. Pero el test exacto de Fisher sobre 8 frente a 5 aciertos da p = 0,20, de modo que con n = 8 no puede afirmarse la diferencia. Harían falta unas 16 repeticiones.</w:t>
      </w:r>
    </w:p>
    <w:p>
      <w:pPr>
        <w:pBdr>
          <w:left w:val="single" w:color="1F3864" w:sz="18" w:space="12"/>
        </w:pBdr>
        <w:spacing w:after="200" w:before="80" w:line="276"/>
        <w:ind w:left="180"/>
      </w:pPr>
      <w:r>
        <w:rPr>
          <w:rFonts w:ascii="Calibri" w:cs="Calibri" w:eastAsia="Calibri" w:hAnsi="Calibri"/>
          <w:i/>
          <w:iCs/>
          <w:color w:val="333333"/>
          <w:sz w:val="19"/>
          <w:szCs w:val="19"/>
        </w:rPr>
        <w:t xml:space="preserve">Es una limitación de potencia estadística, no un resultado negativo. Conviene declararlo así de forma explícita.</w:t>
      </w:r>
    </w:p>
    <w:p>
      <w:pPr>
        <w:pStyle w:val="Heading2"/>
        <w:spacing w:after="120" w:before="260"/>
      </w:pPr>
      <w:r>
        <w:rPr>
          <w:rFonts w:ascii="Calibri" w:cs="Calibri" w:eastAsia="Calibri" w:hAnsi="Calibri"/>
          <w:b/>
          <w:bCs/>
          <w:color w:val="2E5496"/>
          <w:sz w:val="24"/>
          <w:szCs w:val="24"/>
        </w:rPr>
        <w:t xml:space="preserve">4.4 Efecto de la capa 2 con umbral permisivo</w:t>
      </w:r>
    </w:p>
    <w:p>
      <w:pPr>
        <w:spacing w:after="120" w:before="0" w:line="276"/>
      </w:pPr>
      <w:r>
        <w:rPr>
          <w:rFonts w:ascii="Calibri" w:cs="Calibri" w:eastAsia="Calibri" w:hAnsi="Calibri"/>
          <w:sz w:val="20"/>
          <w:szCs w:val="20"/>
        </w:rPr>
        <w:t xml:space="preserve">Con umbral 0,80 el detector eleva un único falso positivo, así que la capa 2 no tenía nada que filtrar y solo podía estropear. Bajando el umbral a 0,05 aparecen entre 11 y 15 falsas alarmas por turno, y la pregunta pasa a ser si el LLM las retira sin destruir fraude.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93"/>
        <w:gridCol w:w="2004"/>
        <w:gridCol w:w="1549"/>
        <w:gridCol w:w="1276"/>
        <w:gridCol w:w="1822"/>
        <w:gridCol w:w="1276"/>
      </w:tblGrid>
      <w:tr>
        <w:trPr>
          <w:tblHeader/>
        </w:trPr>
        <w:tc>
          <w:tcPr>
            <w:tcW w:type="dxa" w:w="1093"/>
            <w:shd w:fill="1F3864" w:color="auto" w:val="clear"/>
            <w:tcMar>
              <w:top w:type="dxa" w:w="70"/>
              <w:left w:type="dxa" w:w="110"/>
              <w:bottom w:type="dxa" w:w="70"/>
              <w:right w:type="dxa" w:w="110"/>
            </w:tcMar>
          </w:tcPr>
          <w:p>
            <w:pPr>
              <w:spacing w:after="0" w:line="240"/>
              <w:jc w:val="left"/>
            </w:pPr>
            <w:r>
              <w:rPr>
                <w:rFonts w:ascii="Calibri" w:cs="Calibri" w:eastAsia="Calibri" w:hAnsi="Calibri"/>
                <w:b/>
                <w:bCs/>
                <w:color w:val="FFFFFF"/>
                <w:sz w:val="18"/>
                <w:szCs w:val="18"/>
              </w:rPr>
              <w:t xml:space="preserve">Turno</w:t>
            </w:r>
          </w:p>
        </w:tc>
        <w:tc>
          <w:tcPr>
            <w:tcW w:type="dxa" w:w="2004"/>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Expediente de entrada</w:t>
            </w:r>
          </w:p>
        </w:tc>
        <w:tc>
          <w:tcPr>
            <w:tcW w:type="dxa" w:w="1549"/>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Tras la capa 2</w:t>
            </w:r>
          </w:p>
        </w:tc>
        <w:tc>
          <w:tcPr>
            <w:tcW w:type="dxa" w:w="1276"/>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Recall</w:t>
            </w:r>
          </w:p>
        </w:tc>
        <w:tc>
          <w:tcPr>
            <w:tcW w:type="dxa" w:w="1822"/>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Umbral 0,80 sin LLM</w:t>
            </w:r>
          </w:p>
        </w:tc>
        <w:tc>
          <w:tcPr>
            <w:tcW w:type="dxa" w:w="1276"/>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Recall</w:t>
            </w:r>
          </w:p>
        </w:tc>
      </w:tr>
      <w:tr>
        <w:tc>
          <w:tcPr>
            <w:tcW w:type="dxa" w:w="1093"/>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0 h</w:t>
            </w:r>
          </w:p>
        </w:tc>
        <w:tc>
          <w:tcPr>
            <w:tcW w:type="dxa" w:w="200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55</w:t>
            </w:r>
          </w:p>
        </w:tc>
        <w:tc>
          <w:tcPr>
            <w:tcW w:type="dxa" w:w="1549"/>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43,2</w:t>
            </w:r>
          </w:p>
        </w:tc>
        <w:tc>
          <w:tcPr>
            <w:tcW w:type="dxa" w:w="1276"/>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0,778</w:t>
            </w:r>
          </w:p>
        </w:tc>
        <w:tc>
          <w:tcPr>
            <w:tcW w:type="dxa" w:w="1822"/>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42</w:t>
            </w:r>
          </w:p>
        </w:tc>
        <w:tc>
          <w:tcPr>
            <w:tcW w:type="dxa" w:w="1276"/>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0,759</w:t>
            </w:r>
          </w:p>
        </w:tc>
      </w:tr>
      <w:tr>
        <w:tc>
          <w:tcPr>
            <w:tcW w:type="dxa" w:w="1093"/>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1 h</w:t>
            </w:r>
          </w:p>
        </w:tc>
        <w:tc>
          <w:tcPr>
            <w:tcW w:type="dxa" w:w="2004"/>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53</w:t>
            </w:r>
          </w:p>
        </w:tc>
        <w:tc>
          <w:tcPr>
            <w:tcW w:type="dxa" w:w="1549"/>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43,0</w:t>
            </w:r>
          </w:p>
        </w:tc>
        <w:tc>
          <w:tcPr>
            <w:tcW w:type="dxa" w:w="1276"/>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0,784</w:t>
            </w:r>
          </w:p>
        </w:tc>
        <w:tc>
          <w:tcPr>
            <w:tcW w:type="dxa" w:w="1822"/>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43</w:t>
            </w:r>
          </w:p>
        </w:tc>
        <w:tc>
          <w:tcPr>
            <w:tcW w:type="dxa" w:w="1276"/>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0,784</w:t>
            </w:r>
          </w:p>
        </w:tc>
      </w:tr>
      <w:tr>
        <w:tc>
          <w:tcPr>
            <w:tcW w:type="dxa" w:w="1093"/>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2 h</w:t>
            </w:r>
          </w:p>
        </w:tc>
        <w:tc>
          <w:tcPr>
            <w:tcW w:type="dxa" w:w="200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42</w:t>
            </w:r>
          </w:p>
        </w:tc>
        <w:tc>
          <w:tcPr>
            <w:tcW w:type="dxa" w:w="1549"/>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32,0</w:t>
            </w:r>
          </w:p>
        </w:tc>
        <w:tc>
          <w:tcPr>
            <w:tcW w:type="dxa" w:w="1276"/>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0,711</w:t>
            </w:r>
          </w:p>
        </w:tc>
        <w:tc>
          <w:tcPr>
            <w:tcW w:type="dxa" w:w="1822"/>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32</w:t>
            </w:r>
          </w:p>
        </w:tc>
        <w:tc>
          <w:tcPr>
            <w:tcW w:type="dxa" w:w="1276"/>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0,711</w:t>
            </w:r>
          </w:p>
        </w:tc>
      </w:tr>
      <w:tr>
        <w:tc>
          <w:tcPr>
            <w:tcW w:type="dxa" w:w="1093"/>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3 h</w:t>
            </w:r>
          </w:p>
        </w:tc>
        <w:tc>
          <w:tcPr>
            <w:tcW w:type="dxa" w:w="2004"/>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32</w:t>
            </w:r>
          </w:p>
        </w:tc>
        <w:tc>
          <w:tcPr>
            <w:tcW w:type="dxa" w:w="1549"/>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24,0</w:t>
            </w:r>
          </w:p>
        </w:tc>
        <w:tc>
          <w:tcPr>
            <w:tcW w:type="dxa" w:w="1276"/>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0,692</w:t>
            </w:r>
          </w:p>
        </w:tc>
        <w:tc>
          <w:tcPr>
            <w:tcW w:type="dxa" w:w="1822"/>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24</w:t>
            </w:r>
          </w:p>
        </w:tc>
        <w:tc>
          <w:tcPr>
            <w:tcW w:type="dxa" w:w="1276"/>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0,692</w:t>
            </w:r>
          </w:p>
        </w:tc>
      </w:tr>
    </w:tbl>
    <w:p>
      <w:pPr>
        <w:pBdr>
          <w:left w:val="single" w:color="1F3864" w:sz="18" w:space="12"/>
        </w:pBdr>
        <w:spacing w:after="200" w:before="80" w:line="276"/>
        <w:ind w:left="180"/>
      </w:pPr>
      <w:r>
        <w:rPr>
          <w:rFonts w:ascii="Calibri" w:cs="Calibri" w:eastAsia="Calibri" w:hAnsi="Calibri"/>
          <w:i/>
          <w:iCs/>
          <w:color w:val="333333"/>
          <w:sz w:val="19"/>
          <w:szCs w:val="19"/>
        </w:rPr>
        <w:t xml:space="preserve">Fuente: reports/experimento_20260729_1859.csv · 16 ejecuciones.</w:t>
      </w:r>
    </w:p>
    <w:p>
      <w:pPr>
        <w:spacing w:after="120" w:before="0" w:line="276"/>
      </w:pPr>
      <w:r>
        <w:rPr>
          <w:rFonts w:ascii="Calibri" w:cs="Calibri" w:eastAsia="Calibri" w:hAnsi="Calibri"/>
          <w:sz w:val="20"/>
          <w:szCs w:val="20"/>
        </w:rPr>
        <w:t xml:space="preserve">La diferencia media es de +0,005 en recall y −0,001 en precisión: la capa 2 deja el sistema donde ya lo dejaba el umbral estricto. Ese resultado planteaba, sin embargo, una pregunta que no podía responderse con él: ¿el modelo razona sobre la evidencia, o se limita a leer la puntuación que el propio expediente le entrega?</w:t>
      </w:r>
    </w:p>
    <w:p>
      <w:pPr>
        <w:pStyle w:val="Heading2"/>
        <w:spacing w:after="120" w:before="260"/>
      </w:pPr>
      <w:r>
        <w:rPr>
          <w:rFonts w:ascii="Calibri" w:cs="Calibri" w:eastAsia="Calibri" w:hAnsi="Calibri"/>
          <w:b/>
          <w:bCs/>
          <w:color w:val="2E5496"/>
          <w:sz w:val="24"/>
          <w:szCs w:val="24"/>
        </w:rPr>
        <w:t xml:space="preserve">4.5 Ablación del expediente</w:t>
      </w:r>
    </w:p>
    <w:p>
      <w:pPr>
        <w:spacing w:after="120" w:before="0" w:line="276"/>
      </w:pPr>
      <w:r>
        <w:rPr>
          <w:rFonts w:ascii="Calibri" w:cs="Calibri" w:eastAsia="Calibri" w:hAnsi="Calibri"/>
          <w:sz w:val="20"/>
          <w:szCs w:val="20"/>
        </w:rPr>
        <w:t xml:space="preserve">El expediente que recibe cada agente incluía la probabilidad de fraude y el nivel de riesgo, este último calculado con el mismo umbral de 0,80. Para separar razonamiento de lectura de una etiqueta se repitió el experimento con tres niveles de información, retirando progresivamente la puntuación del detector y dejando intactas las contribuciones por variable, el importe y la hora.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63"/>
        <w:gridCol w:w="3067"/>
        <w:gridCol w:w="1263"/>
        <w:gridCol w:w="1263"/>
        <w:gridCol w:w="2165"/>
      </w:tblGrid>
      <w:tr>
        <w:trPr>
          <w:tblHeader/>
        </w:trPr>
        <w:tc>
          <w:tcPr>
            <w:tcW w:type="dxa" w:w="1263"/>
            <w:shd w:fill="1F3864" w:color="auto" w:val="clear"/>
            <w:tcMar>
              <w:top w:type="dxa" w:w="70"/>
              <w:left w:type="dxa" w:w="110"/>
              <w:bottom w:type="dxa" w:w="70"/>
              <w:right w:type="dxa" w:w="110"/>
            </w:tcMar>
          </w:tcPr>
          <w:p>
            <w:pPr>
              <w:spacing w:after="0" w:line="240"/>
              <w:jc w:val="left"/>
            </w:pPr>
            <w:r>
              <w:rPr>
                <w:rFonts w:ascii="Calibri" w:cs="Calibri" w:eastAsia="Calibri" w:hAnsi="Calibri"/>
                <w:b/>
                <w:bCs/>
                <w:color w:val="FFFFFF"/>
                <w:sz w:val="18"/>
                <w:szCs w:val="18"/>
              </w:rPr>
              <w:t xml:space="preserve">Nivel</w:t>
            </w:r>
          </w:p>
        </w:tc>
        <w:tc>
          <w:tcPr>
            <w:tcW w:type="dxa" w:w="3067"/>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Qué ve el modelo</w:t>
            </w:r>
          </w:p>
        </w:tc>
        <w:tc>
          <w:tcPr>
            <w:tcW w:type="dxa" w:w="1263"/>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Descarta</w:t>
            </w:r>
          </w:p>
        </w:tc>
        <w:tc>
          <w:tcPr>
            <w:tcW w:type="dxa" w:w="1263"/>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Acierta</w:t>
            </w:r>
          </w:p>
        </w:tc>
        <w:tc>
          <w:tcPr>
            <w:tcW w:type="dxa" w:w="2165"/>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Precisión del descarte</w:t>
            </w:r>
          </w:p>
        </w:tc>
      </w:tr>
      <w:tr>
        <w:tc>
          <w:tcPr>
            <w:tcW w:type="dxa" w:w="1263"/>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completo</w:t>
            </w:r>
          </w:p>
        </w:tc>
        <w:tc>
          <w:tcPr>
            <w:tcW w:type="dxa" w:w="3067"/>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Probabilidad y nivel de riesgo</w:t>
            </w:r>
          </w:p>
        </w:tc>
        <w:tc>
          <w:tcPr>
            <w:tcW w:type="dxa" w:w="126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9,9</w:t>
            </w:r>
          </w:p>
        </w:tc>
        <w:tc>
          <w:tcPr>
            <w:tcW w:type="dxa" w:w="126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9,2</w:t>
            </w:r>
          </w:p>
        </w:tc>
        <w:tc>
          <w:tcPr>
            <w:tcW w:type="dxa" w:w="2165"/>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92 %</w:t>
            </w:r>
          </w:p>
        </w:tc>
      </w:tr>
      <w:tr>
        <w:tc>
          <w:tcPr>
            <w:tcW w:type="dxa" w:w="1263"/>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sin_nivel</w:t>
            </w:r>
          </w:p>
        </w:tc>
        <w:tc>
          <w:tcPr>
            <w:tcW w:type="dxa" w:w="3067"/>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Solo probabilidad</w:t>
            </w:r>
          </w:p>
        </w:tc>
        <w:tc>
          <w:tcPr>
            <w:tcW w:type="dxa" w:w="126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9,4</w:t>
            </w:r>
          </w:p>
        </w:tc>
        <w:tc>
          <w:tcPr>
            <w:tcW w:type="dxa" w:w="126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8,5</w:t>
            </w:r>
          </w:p>
        </w:tc>
        <w:tc>
          <w:tcPr>
            <w:tcW w:type="dxa" w:w="2165"/>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90 %</w:t>
            </w:r>
          </w:p>
        </w:tc>
      </w:tr>
      <w:tr>
        <w:tc>
          <w:tcPr>
            <w:tcW w:type="dxa" w:w="1263"/>
            <w:shd w:fill="FFF2CC" w:color="auto" w:val="clear"/>
            <w:tcMar>
              <w:top w:type="dxa" w:w="70"/>
              <w:left w:type="dxa" w:w="110"/>
              <w:bottom w:type="dxa" w:w="70"/>
              <w:right w:type="dxa" w:w="110"/>
            </w:tcMar>
          </w:tcPr>
          <w:p>
            <w:pPr>
              <w:spacing w:after="0" w:line="240"/>
              <w:jc w:val="left"/>
            </w:pPr>
            <w:r>
              <w:rPr>
                <w:rFonts w:ascii="Calibri" w:cs="Calibri" w:eastAsia="Calibri" w:hAnsi="Calibri"/>
                <w:b/>
                <w:bCs/>
                <w:sz w:val="18"/>
                <w:szCs w:val="18"/>
              </w:rPr>
              <w:t xml:space="preserve">ciego</w:t>
            </w:r>
          </w:p>
        </w:tc>
        <w:tc>
          <w:tcPr>
            <w:tcW w:type="dxa" w:w="3067"/>
            <w:shd w:fill="FFF2CC"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Ni probabilidad ni nivel</w:t>
            </w:r>
          </w:p>
        </w:tc>
        <w:tc>
          <w:tcPr>
            <w:tcW w:type="dxa" w:w="1263"/>
            <w:shd w:fill="FFF2CC"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3,5</w:t>
            </w:r>
          </w:p>
        </w:tc>
        <w:tc>
          <w:tcPr>
            <w:tcW w:type="dxa" w:w="1263"/>
            <w:shd w:fill="FFF2CC"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2,9</w:t>
            </w:r>
          </w:p>
        </w:tc>
        <w:tc>
          <w:tcPr>
            <w:tcW w:type="dxa" w:w="2165"/>
            <w:shd w:fill="FFF2CC"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82 %</w:t>
            </w:r>
          </w:p>
        </w:tc>
      </w:tr>
    </w:tbl>
    <w:p>
      <w:pPr>
        <w:pBdr>
          <w:left w:val="single" w:color="1F3864" w:sz="18" w:space="12"/>
        </w:pBdr>
        <w:spacing w:after="200" w:before="80" w:line="276"/>
        <w:ind w:left="180"/>
      </w:pPr>
      <w:r>
        <w:rPr>
          <w:rFonts w:ascii="Calibri" w:cs="Calibri" w:eastAsia="Calibri" w:hAnsi="Calibri"/>
          <w:i/>
          <w:iCs/>
          <w:color w:val="333333"/>
          <w:sz w:val="19"/>
          <w:szCs w:val="19"/>
        </w:rPr>
        <w:t xml:space="preserve">48 ejecuciones, 16 por nivel: 4 turnos reales x 4 repeticiones, qwen2.5:14b, modo revisa, Investigador iterativo, umbral 0,05. Fuentes: reports/experimento_20260729_1859.csv, _20260731_1949.csv y _20260801_1935.csv.</w:t>
      </w:r>
    </w:p>
    <w:p>
      <w:pPr>
        <w:spacing w:after="120" w:before="0" w:line="276"/>
      </w:pPr>
      <w:r>
        <w:rPr>
          <w:rFonts w:ascii="Calibri" w:cs="Calibri" w:eastAsia="Calibri" w:hAnsi="Calibri"/>
          <w:sz w:val="20"/>
          <w:szCs w:val="20"/>
        </w:rPr>
        <w:t xml:space="preserve">El resultado separa dos magnitudes que el experimento anterior confundía.</w:t>
      </w:r>
    </w:p>
    <w:p>
      <w:pPr>
        <w:spacing w:after="120" w:before="0" w:line="276"/>
      </w:pPr>
      <w:r>
        <w:rPr>
          <w:rFonts w:ascii="Calibri" w:cs="Calibri" w:eastAsia="Calibri" w:hAnsi="Calibri"/>
          <w:b/>
          <w:bCs/>
          <w:sz w:val="20"/>
          <w:szCs w:val="20"/>
        </w:rPr>
        <w:t xml:space="preserve">El volumen de descartes se desploma</w:t>
      </w:r>
      <w:r>
        <w:rPr>
          <w:rFonts w:ascii="Calibri" w:cs="Calibri" w:eastAsia="Calibri" w:hAnsi="Calibri"/>
          <w:sz w:val="20"/>
          <w:szCs w:val="20"/>
        </w:rPr>
        <w:t xml:space="preserve"> al retirar la puntuación: de 9,9 casos a 3,5, un 65 % menos. </w:t>
      </w:r>
      <w:r>
        <w:rPr>
          <w:rFonts w:ascii="Calibri" w:cs="Calibri" w:eastAsia="Calibri" w:hAnsi="Calibri"/>
          <w:b/>
          <w:bCs/>
          <w:sz w:val="20"/>
          <w:szCs w:val="20"/>
        </w:rPr>
        <w:t xml:space="preserve">La calidad, en cambio, apenas cae</w:t>
      </w:r>
      <w:r>
        <w:rPr>
          <w:rFonts w:ascii="Calibri" w:cs="Calibri" w:eastAsia="Calibri" w:hAnsi="Calibri"/>
          <w:sz w:val="20"/>
          <w:szCs w:val="20"/>
        </w:rPr>
        <w:t xml:space="preserve">: el modelo acierta el 82 % de sus descartes frente al 92 %, y sigue siendo unas 2,8 veces mejor que elegir al azar, frente a las 3,1 veces del nivel completo.</w:t>
      </w:r>
    </w:p>
    <w:p>
      <w:pPr>
        <w:spacing w:after="120" w:before="0" w:line="276"/>
      </w:pPr>
      <w:r>
        <w:rPr>
          <w:rFonts w:ascii="Calibri" w:cs="Calibri" w:eastAsia="Calibri" w:hAnsi="Calibri"/>
          <w:b/>
          <w:bCs/>
          <w:sz w:val="20"/>
          <w:szCs w:val="20"/>
        </w:rPr>
        <w:t xml:space="preserve">La lectura es que la puntuación del detector no aporta al modelo capacidad de discriminar, sino confianza para decidir. El modelo extrae señal real de las contribuciones por variable por sí solo; lo que le falta sin la puntuación no es criterio, es atrevimiento, y pasa a confirmar casi todo lo que se le presenta.</w:t>
      </w:r>
    </w:p>
    <w:p>
      <w:pPr>
        <w:spacing w:after="120" w:before="0" w:line="276"/>
      </w:pPr>
      <w:r>
        <w:rPr>
          <w:rFonts w:ascii="Calibri" w:cs="Calibri" w:eastAsia="Calibri" w:hAnsi="Calibri"/>
          <w:sz w:val="20"/>
          <w:szCs w:val="20"/>
        </w:rPr>
        <w:t xml:space="preserve">Conviene precisar el alcance de esa señal: un 82 % de precisión en los descartes es muy superior al azar y muy insuficiente para operar. Incluso con el 92 % del nivel completo, la capa 2 destruyó doce casos de fraude auténtico a lo largo de dieciséis ejecuciones.</w:t>
      </w:r>
    </w:p>
    <w:p>
      <w:pPr>
        <w:pBdr>
          <w:left w:val="single" w:color="1F3864" w:sz="18" w:space="12"/>
        </w:pBdr>
        <w:spacing w:after="200" w:before="80" w:line="276"/>
        <w:ind w:left="180"/>
      </w:pPr>
      <w:r>
        <w:rPr>
          <w:rFonts w:ascii="Calibri" w:cs="Calibri" w:eastAsia="Calibri" w:hAnsi="Calibri"/>
          <w:i/>
          <w:iCs/>
          <w:color w:val="333333"/>
          <w:sz w:val="19"/>
          <w:szCs w:val="19"/>
        </w:rPr>
        <w:t xml:space="preserve">Una primera ejecución aislada en nivel ciego sugirió que el modelo perdía por completo la capacidad de discriminar. Con las 48 ejecuciones esa conclusión no se sostiene: lo que pierde es volumen, no criterio. Es el tercer caso en este trabajo en que una sola muestra apunta en una dirección que los datos completos no confirman.</w:t>
      </w:r>
    </w:p>
    <w:p>
      <w:pPr>
        <w:pStyle w:val="Heading2"/>
        <w:spacing w:after="120" w:before="260"/>
      </w:pPr>
      <w:r>
        <w:rPr>
          <w:rFonts w:ascii="Calibri" w:cs="Calibri" w:eastAsia="Calibri" w:hAnsi="Calibri"/>
          <w:b/>
          <w:bCs/>
          <w:color w:val="2E5496"/>
          <w:sz w:val="24"/>
          <w:szCs w:val="24"/>
        </w:rPr>
        <w:t xml:space="preserve">4.6 Determinismo</w:t>
      </w:r>
    </w:p>
    <w:p>
      <w:pPr>
        <w:spacing w:after="120" w:before="0" w:line="276"/>
      </w:pPr>
      <w:r>
        <w:rPr>
          <w:rFonts w:ascii="Calibri" w:cs="Calibri" w:eastAsia="Calibri" w:hAnsi="Calibri"/>
          <w:sz w:val="20"/>
          <w:szCs w:val="20"/>
        </w:rPr>
        <w:t xml:space="preserve">La reproducibilidad entre ejecuciones idénticas resultó depender de la información del expediente, y no solo del modelo.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6"/>
        <w:gridCol w:w="6314"/>
      </w:tblGrid>
      <w:tr>
        <w:trPr>
          <w:tblHeader/>
        </w:trPr>
        <w:tc>
          <w:tcPr>
            <w:tcW w:type="dxa" w:w="2706"/>
            <w:shd w:fill="1F3864" w:color="auto" w:val="clear"/>
            <w:tcMar>
              <w:top w:type="dxa" w:w="70"/>
              <w:left w:type="dxa" w:w="110"/>
              <w:bottom w:type="dxa" w:w="70"/>
              <w:right w:type="dxa" w:w="110"/>
            </w:tcMar>
          </w:tcPr>
          <w:p>
            <w:pPr>
              <w:spacing w:after="0" w:line="240"/>
              <w:jc w:val="left"/>
            </w:pPr>
            <w:r>
              <w:rPr>
                <w:rFonts w:ascii="Calibri" w:cs="Calibri" w:eastAsia="Calibri" w:hAnsi="Calibri"/>
                <w:b/>
                <w:bCs/>
                <w:color w:val="FFFFFF"/>
                <w:sz w:val="18"/>
                <w:szCs w:val="18"/>
              </w:rPr>
              <w:t xml:space="preserve">Nivel</w:t>
            </w:r>
          </w:p>
        </w:tc>
        <w:tc>
          <w:tcPr>
            <w:tcW w:type="dxa" w:w="6314"/>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Turnos con las 4 repeticiones idénticas</w:t>
            </w:r>
          </w:p>
        </w:tc>
      </w:tr>
      <w:tr>
        <w:tc>
          <w:tcPr>
            <w:tcW w:type="dxa" w:w="2706"/>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completo</w:t>
            </w:r>
          </w:p>
        </w:tc>
        <w:tc>
          <w:tcPr>
            <w:tcW w:type="dxa" w:w="631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 de 4</w:t>
            </w:r>
          </w:p>
        </w:tc>
      </w:tr>
      <w:tr>
        <w:tc>
          <w:tcPr>
            <w:tcW w:type="dxa" w:w="2706"/>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sin_nivel</w:t>
            </w:r>
          </w:p>
        </w:tc>
        <w:tc>
          <w:tcPr>
            <w:tcW w:type="dxa" w:w="6314"/>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3 de 4</w:t>
            </w:r>
          </w:p>
        </w:tc>
      </w:tr>
      <w:tr>
        <w:tc>
          <w:tcPr>
            <w:tcW w:type="dxa" w:w="2706"/>
            <w:shd w:fill="FCE4EC" w:color="auto" w:val="clear"/>
            <w:tcMar>
              <w:top w:type="dxa" w:w="70"/>
              <w:left w:type="dxa" w:w="110"/>
              <w:bottom w:type="dxa" w:w="70"/>
              <w:right w:type="dxa" w:w="110"/>
            </w:tcMar>
          </w:tcPr>
          <w:p>
            <w:pPr>
              <w:spacing w:after="0" w:line="240"/>
              <w:jc w:val="left"/>
            </w:pPr>
            <w:r>
              <w:rPr>
                <w:rFonts w:ascii="Calibri" w:cs="Calibri" w:eastAsia="Calibri" w:hAnsi="Calibri"/>
                <w:b/>
                <w:bCs/>
                <w:sz w:val="18"/>
                <w:szCs w:val="18"/>
              </w:rPr>
              <w:t xml:space="preserve">ciego</w:t>
            </w:r>
          </w:p>
        </w:tc>
        <w:tc>
          <w:tcPr>
            <w:tcW w:type="dxa" w:w="6314"/>
            <w:shd w:fill="FCE4EC"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 de 4</w:t>
            </w:r>
          </w:p>
        </w:tc>
      </w:tr>
    </w:tbl>
    <w:p>
      <w:pPr>
        <w:spacing w:after="120"/>
      </w:pPr>
    </w:p>
    <w:p>
      <w:pPr>
        <w:spacing w:after="120" w:before="0" w:line="276"/>
      </w:pPr>
      <w:r>
        <w:rPr>
          <w:rFonts w:ascii="Calibri" w:cs="Calibri" w:eastAsia="Calibri" w:hAnsi="Calibri"/>
          <w:sz w:val="20"/>
          <w:szCs w:val="20"/>
        </w:rPr>
        <w:t xml:space="preserve">Es el hallazgo de mayor alcance práctico de esta serie. La reproducibilidad perfecta del modelo de catorce mil millones de parámetros, que constituía su principal ventaja frente al de ocho mil millones, </w:t>
      </w:r>
      <w:r>
        <w:rPr>
          <w:rFonts w:ascii="Calibri" w:cs="Calibri" w:eastAsia="Calibri" w:hAnsi="Calibri"/>
          <w:b/>
          <w:bCs/>
          <w:sz w:val="20"/>
          <w:szCs w:val="20"/>
        </w:rPr>
        <w:t xml:space="preserve">no era una propiedad del modelo: era consecuencia de recibir un número en el prompt</w:t>
      </w:r>
      <w:r>
        <w:rPr>
          <w:rFonts w:ascii="Calibri" w:cs="Calibri" w:eastAsia="Calibri" w:hAnsi="Calibri"/>
          <w:sz w:val="20"/>
          <w:szCs w:val="20"/>
        </w:rPr>
        <w:t xml:space="preserve">. Retirada la puntuación, decide distinto ante la misma entrada, igual que hacía el modelo menor.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788"/>
        <w:gridCol w:w="5232"/>
      </w:tblGrid>
      <w:tr>
        <w:trPr>
          <w:tblHeader/>
        </w:trPr>
        <w:tc>
          <w:tcPr>
            <w:tcW w:type="dxa" w:w="3788"/>
            <w:shd w:fill="1F3864" w:color="auto" w:val="clear"/>
            <w:tcMar>
              <w:top w:type="dxa" w:w="70"/>
              <w:left w:type="dxa" w:w="110"/>
              <w:bottom w:type="dxa" w:w="70"/>
              <w:right w:type="dxa" w:w="110"/>
            </w:tcMar>
          </w:tcPr>
          <w:p>
            <w:pPr>
              <w:spacing w:after="0" w:line="240"/>
              <w:jc w:val="left"/>
            </w:pPr>
            <w:r>
              <w:rPr>
                <w:rFonts w:ascii="Calibri" w:cs="Calibri" w:eastAsia="Calibri" w:hAnsi="Calibri"/>
                <w:b/>
                <w:bCs/>
                <w:color w:val="FFFFFF"/>
                <w:sz w:val="18"/>
                <w:szCs w:val="18"/>
              </w:rPr>
              <w:t xml:space="preserve">Configuración</w:t>
            </w:r>
          </w:p>
        </w:tc>
        <w:tc>
          <w:tcPr>
            <w:tcW w:type="dxa" w:w="5232"/>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Recall observado en ejecuciones idénticas</w:t>
            </w:r>
          </w:p>
        </w:tc>
      </w:tr>
      <w:tr>
        <w:tc>
          <w:tcPr>
            <w:tcW w:type="dxa" w:w="3788"/>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qwen2.5:14b, expediente completo</w:t>
            </w:r>
          </w:p>
        </w:tc>
        <w:tc>
          <w:tcPr>
            <w:tcW w:type="dxa" w:w="5232"/>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Idéntico en los cuatro turnos</w:t>
            </w:r>
          </w:p>
        </w:tc>
      </w:tr>
      <w:tr>
        <w:tc>
          <w:tcPr>
            <w:tcW w:type="dxa" w:w="3788"/>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qwen2.5:14b, expediente ciego</w:t>
            </w:r>
          </w:p>
        </w:tc>
        <w:tc>
          <w:tcPr>
            <w:tcW w:type="dxa" w:w="5232"/>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Varía en tres de los cuatro turnos</w:t>
            </w:r>
          </w:p>
        </w:tc>
      </w:tr>
      <w:tr>
        <w:tc>
          <w:tcPr>
            <w:tcW w:type="dxa" w:w="3788"/>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llama3.1:8b, expediente completo</w:t>
            </w:r>
          </w:p>
        </w:tc>
        <w:tc>
          <w:tcPr>
            <w:tcW w:type="dxa" w:w="5232"/>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0,60 / 0,40 / 0,80 sobre el mismo lote</w:t>
            </w:r>
          </w:p>
        </w:tc>
      </w:tr>
    </w:tbl>
    <w:p>
      <w:pPr>
        <w:spacing w:after="120"/>
      </w:pPr>
    </w:p>
    <w:p>
      <w:pPr>
        <w:spacing w:after="120" w:before="0" w:line="276"/>
      </w:pPr>
      <w:r>
        <w:rPr>
          <w:rFonts w:ascii="Calibri" w:cs="Calibri" w:eastAsia="Calibri" w:hAnsi="Calibri"/>
          <w:sz w:val="20"/>
          <w:szCs w:val="20"/>
        </w:rPr>
        <w:t xml:space="preserve">Para un sistema auditable la conclusión es de diseño: la trazabilidad de las decisiones no procedía de la capacidad del modelo de lenguaje, sino de haberlas anclado a la salida determinista del detector.</w:t>
      </w:r>
    </w:p>
    <w:p>
      <w:r>
        <w:br w:type="page"/>
      </w:r>
    </w:p>
    <w:p>
      <w:pPr>
        <w:pStyle w:val="Heading1"/>
        <w:spacing w:after="160" w:before="360"/>
      </w:pPr>
      <w:r>
        <w:rPr>
          <w:rFonts w:ascii="Calibri" w:cs="Calibri" w:eastAsia="Calibri" w:hAnsi="Calibri"/>
          <w:b/>
          <w:bCs/>
          <w:color w:val="1F3864"/>
          <w:sz w:val="30"/>
          <w:szCs w:val="30"/>
        </w:rPr>
        <w:t xml:space="preserve">5. Modos de fallo detectados</w:t>
      </w:r>
    </w:p>
    <w:p>
      <w:pPr>
        <w:spacing w:after="120" w:before="0" w:line="276"/>
      </w:pPr>
      <w:r>
        <w:rPr>
          <w:rFonts w:ascii="Calibri" w:cs="Calibri" w:eastAsia="Calibri" w:hAnsi="Calibri"/>
          <w:sz w:val="20"/>
          <w:szCs w:val="20"/>
        </w:rPr>
        <w:t xml:space="preserve">Todos comparten una propiedad: no producen errores. Producen informes de aspecto impecable. Documentarlos es una aportación del trabajo tan relevante como las métricas.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
        <w:gridCol w:w="1984"/>
        <w:gridCol w:w="4059"/>
        <w:gridCol w:w="2526"/>
      </w:tblGrid>
      <w:tr>
        <w:trPr>
          <w:tblHeader/>
        </w:trPr>
        <w:tc>
          <w:tcPr>
            <w:tcW w:type="dxa" w:w="451"/>
            <w:shd w:fill="1F3864" w:color="auto" w:val="clear"/>
            <w:tcMar>
              <w:top w:type="dxa" w:w="70"/>
              <w:left w:type="dxa" w:w="110"/>
              <w:bottom w:type="dxa" w:w="70"/>
              <w:right w:type="dxa" w:w="110"/>
            </w:tcMar>
          </w:tcPr>
          <w:p>
            <w:pPr>
              <w:spacing w:after="0" w:line="240"/>
              <w:jc w:val="left"/>
            </w:pPr>
            <w:r>
              <w:rPr>
                <w:rFonts w:ascii="Calibri" w:cs="Calibri" w:eastAsia="Calibri" w:hAnsi="Calibri"/>
                <w:b/>
                <w:bCs/>
                <w:color w:val="FFFFFF"/>
                <w:sz w:val="18"/>
                <w:szCs w:val="18"/>
              </w:rPr>
              <w:t xml:space="preserve">#</w:t>
            </w:r>
          </w:p>
        </w:tc>
        <w:tc>
          <w:tcPr>
            <w:tcW w:type="dxa" w:w="1984"/>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Fallo</w:t>
            </w:r>
          </w:p>
        </w:tc>
        <w:tc>
          <w:tcPr>
            <w:tcW w:type="dxa" w:w="4059"/>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Qué ocurrió</w:t>
            </w:r>
          </w:p>
        </w:tc>
        <w:tc>
          <w:tcPr>
            <w:tcW w:type="dxa" w:w="2526"/>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Corrección</w:t>
            </w:r>
          </w:p>
        </w:tc>
      </w:tr>
      <w:tr>
        <w:tc>
          <w:tcPr>
            <w:tcW w:type="dxa" w:w="451"/>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1</w:t>
            </w:r>
          </w:p>
        </w:tc>
        <w:tc>
          <w:tcPr>
            <w:tcW w:type="dxa" w:w="198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Identificadores fabricados</w:t>
            </w:r>
          </w:p>
        </w:tc>
        <w:tc>
          <w:tcPr>
            <w:tcW w:type="dxa" w:w="4059"/>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Informe recomendando bloquear cinco transacciones inexistentes; los identificadores viajaban entre agentes por el texto generado</w:t>
            </w:r>
          </w:p>
        </w:tc>
        <w:tc>
          <w:tcPr>
            <w:tcW w:type="dxa" w:w="2526"/>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Expediente determinista inyectado en el prompt</w:t>
            </w:r>
          </w:p>
        </w:tc>
      </w:tr>
      <w:tr>
        <w:tc>
          <w:tcPr>
            <w:tcW w:type="dxa" w:w="451"/>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2</w:t>
            </w:r>
          </w:p>
        </w:tc>
        <w:tc>
          <w:tcPr>
            <w:tcW w:type="dxa" w:w="1984"/>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Invención semántica</w:t>
            </w:r>
          </w:p>
        </w:tc>
        <w:tc>
          <w:tcPr>
            <w:tcW w:type="dxa" w:w="4059"/>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Atribuía a las transacciones país de origen, comercio e historial de cliente, datos que no existen en el dataset</w:t>
            </w:r>
          </w:p>
        </w:tc>
        <w:tc>
          <w:tcPr>
            <w:tcW w:type="dxa" w:w="2526"/>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Auditoría de conceptos prohibidos</w:t>
            </w:r>
          </w:p>
        </w:tc>
      </w:tr>
      <w:tr>
        <w:tc>
          <w:tcPr>
            <w:tcW w:type="dxa" w:w="451"/>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3</w:t>
            </w:r>
          </w:p>
        </w:tc>
        <w:tc>
          <w:tcPr>
            <w:tcW w:type="dxa" w:w="198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Truncamiento silencioso</w:t>
            </w:r>
          </w:p>
        </w:tc>
        <w:tc>
          <w:tcPr>
            <w:tcW w:type="dxa" w:w="4059"/>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El contexto por defecto de 4.096 tokens cortaba el expediente sin avisar</w:t>
            </w:r>
          </w:p>
        </w:tc>
        <w:tc>
          <w:tcPr>
            <w:tcW w:type="dxa" w:w="2526"/>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Modelfile con num_ctx = 16384</w:t>
            </w:r>
          </w:p>
        </w:tc>
      </w:tr>
      <w:tr>
        <w:tc>
          <w:tcPr>
            <w:tcW w:type="dxa" w:w="451"/>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4</w:t>
            </w:r>
          </w:p>
        </w:tc>
        <w:tc>
          <w:tcPr>
            <w:tcW w:type="dxa" w:w="1984"/>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Pérdida al sintetizar</w:t>
            </w:r>
          </w:p>
        </w:tc>
        <w:tc>
          <w:tcPr>
            <w:tcW w:type="dxa" w:w="4059"/>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Investigación completa al 100 % pero informe final con solo el 29 % de los casos</w:t>
            </w:r>
          </w:p>
        </w:tc>
        <w:tc>
          <w:tcPr>
            <w:tcW w:type="dxa" w:w="2526"/>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Auditoría separada de investigación e informe</w:t>
            </w:r>
          </w:p>
        </w:tc>
      </w:tr>
      <w:tr>
        <w:tc>
          <w:tcPr>
            <w:tcW w:type="dxa" w:w="451"/>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5</w:t>
            </w:r>
          </w:p>
        </w:tc>
        <w:tc>
          <w:tcPr>
            <w:tcW w:type="dxa" w:w="198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Deriva de idioma</w:t>
            </w:r>
          </w:p>
        </w:tc>
        <w:tc>
          <w:tcPr>
            <w:tcW w:type="dxa" w:w="4059"/>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El informe salió en inglés; todos los patrones del auditor eran regex en castellano, de modo que la comprobación de invención quedó ciega</w:t>
            </w:r>
          </w:p>
        </w:tc>
        <w:tc>
          <w:tcPr>
            <w:tcW w:type="dxa" w:w="2526"/>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Instrucción de idioma en los agentes y patrones duplicados en inglés</w:t>
            </w:r>
          </w:p>
        </w:tc>
      </w:tr>
    </w:tbl>
    <w:p>
      <w:pPr>
        <w:spacing w:after="120"/>
      </w:pPr>
    </w:p>
    <w:p>
      <w:pPr>
        <w:spacing w:after="120" w:before="0" w:line="276"/>
      </w:pPr>
      <w:r>
        <w:rPr>
          <w:rFonts w:ascii="Calibri" w:cs="Calibri" w:eastAsia="Calibri" w:hAnsi="Calibri"/>
          <w:sz w:val="20"/>
          <w:szCs w:val="20"/>
        </w:rPr>
        <w:t xml:space="preserve">El quinto es el más sutil de todos: los cuatro primeros producen texto falso; este produce texto correcto y desactiva al vigilante. Se verificó que la frase «originates from a high-risk country and the merchant is unusual in the customer's transaction history» se auditaba como FIABLE, mientras su traducción literal al castellano se marcaba como NO FIABLE.</w:t>
      </w:r>
    </w:p>
    <w:p>
      <w:pPr>
        <w:pStyle w:val="Heading2"/>
        <w:spacing w:after="120" w:before="260"/>
      </w:pPr>
      <w:r>
        <w:rPr>
          <w:rFonts w:ascii="Calibri" w:cs="Calibri" w:eastAsia="Calibri" w:hAnsi="Calibri"/>
          <w:b/>
          <w:bCs/>
          <w:color w:val="2E5496"/>
          <w:sz w:val="24"/>
          <w:szCs w:val="24"/>
        </w:rPr>
        <w:t xml:space="preserve">5.1 El Reportero tiene un cupo fijo de catorce casos</w:t>
      </w:r>
    </w:p>
    <w:p>
      <w:pPr>
        <w:spacing w:after="120" w:before="0" w:line="276"/>
      </w:pPr>
      <w:r>
        <w:rPr>
          <w:rFonts w:ascii="Calibri" w:cs="Calibri" w:eastAsia="Calibri" w:hAnsi="Calibri"/>
          <w:sz w:val="20"/>
          <w:szCs w:val="20"/>
        </w:rPr>
        <w:t xml:space="preserve">En las dieciséis ejecuciones del último experimento la auditoría marcó 0/16 informes como fiables, todos por cobertura incompleta. El análisis revela que no se trata de una degradación sino de un tope constante: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1443"/>
        <w:gridCol w:w="2526"/>
        <w:gridCol w:w="2165"/>
        <w:gridCol w:w="1804"/>
      </w:tblGrid>
      <w:tr>
        <w:trPr>
          <w:tblHeader/>
        </w:trPr>
        <w:tc>
          <w:tcPr>
            <w:tcW w:type="dxa" w:w="1082"/>
            <w:shd w:fill="1F3864" w:color="auto" w:val="clear"/>
            <w:tcMar>
              <w:top w:type="dxa" w:w="70"/>
              <w:left w:type="dxa" w:w="110"/>
              <w:bottom w:type="dxa" w:w="70"/>
              <w:right w:type="dxa" w:w="110"/>
            </w:tcMar>
          </w:tcPr>
          <w:p>
            <w:pPr>
              <w:spacing w:after="0" w:line="240"/>
              <w:jc w:val="left"/>
            </w:pPr>
            <w:r>
              <w:rPr>
                <w:rFonts w:ascii="Calibri" w:cs="Calibri" w:eastAsia="Calibri" w:hAnsi="Calibri"/>
                <w:b/>
                <w:bCs/>
                <w:color w:val="FFFFFF"/>
                <w:sz w:val="18"/>
                <w:szCs w:val="18"/>
              </w:rPr>
              <w:t xml:space="preserve">Turno</w:t>
            </w:r>
          </w:p>
        </w:tc>
        <w:tc>
          <w:tcPr>
            <w:tcW w:type="dxa" w:w="1443"/>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Expediente</w:t>
            </w:r>
          </w:p>
        </w:tc>
        <w:tc>
          <w:tcPr>
            <w:tcW w:type="dxa" w:w="2526"/>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Cobertura de la investigación</w:t>
            </w:r>
          </w:p>
        </w:tc>
        <w:tc>
          <w:tcPr>
            <w:tcW w:type="dxa" w:w="2165"/>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Cobertura del informe</w:t>
            </w:r>
          </w:p>
        </w:tc>
        <w:tc>
          <w:tcPr>
            <w:tcW w:type="dxa" w:w="1804"/>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Casos cubiertos</w:t>
            </w:r>
          </w:p>
        </w:tc>
      </w:tr>
      <w:tr>
        <w:tc>
          <w:tcPr>
            <w:tcW w:type="dxa" w:w="1082"/>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0 h</w:t>
            </w:r>
          </w:p>
        </w:tc>
        <w:tc>
          <w:tcPr>
            <w:tcW w:type="dxa" w:w="144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55</w:t>
            </w:r>
          </w:p>
        </w:tc>
        <w:tc>
          <w:tcPr>
            <w:tcW w:type="dxa" w:w="2526"/>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100 %</w:t>
            </w:r>
          </w:p>
        </w:tc>
        <w:tc>
          <w:tcPr>
            <w:tcW w:type="dxa" w:w="2165"/>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26 %</w:t>
            </w:r>
          </w:p>
        </w:tc>
        <w:tc>
          <w:tcPr>
            <w:tcW w:type="dxa" w:w="180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14,2</w:t>
            </w:r>
          </w:p>
        </w:tc>
      </w:tr>
      <w:tr>
        <w:tc>
          <w:tcPr>
            <w:tcW w:type="dxa" w:w="1082"/>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1 h</w:t>
            </w:r>
          </w:p>
        </w:tc>
        <w:tc>
          <w:tcPr>
            <w:tcW w:type="dxa" w:w="144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53</w:t>
            </w:r>
          </w:p>
        </w:tc>
        <w:tc>
          <w:tcPr>
            <w:tcW w:type="dxa" w:w="2526"/>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100 %</w:t>
            </w:r>
          </w:p>
        </w:tc>
        <w:tc>
          <w:tcPr>
            <w:tcW w:type="dxa" w:w="2165"/>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27 %</w:t>
            </w:r>
          </w:p>
        </w:tc>
        <w:tc>
          <w:tcPr>
            <w:tcW w:type="dxa" w:w="1804"/>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14,5</w:t>
            </w:r>
          </w:p>
        </w:tc>
      </w:tr>
      <w:tr>
        <w:tc>
          <w:tcPr>
            <w:tcW w:type="dxa" w:w="1082"/>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2 h</w:t>
            </w:r>
          </w:p>
        </w:tc>
        <w:tc>
          <w:tcPr>
            <w:tcW w:type="dxa" w:w="1443"/>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42</w:t>
            </w:r>
          </w:p>
        </w:tc>
        <w:tc>
          <w:tcPr>
            <w:tcW w:type="dxa" w:w="2526"/>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100 %</w:t>
            </w:r>
          </w:p>
        </w:tc>
        <w:tc>
          <w:tcPr>
            <w:tcW w:type="dxa" w:w="2165"/>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35 %</w:t>
            </w:r>
          </w:p>
        </w:tc>
        <w:tc>
          <w:tcPr>
            <w:tcW w:type="dxa" w:w="1804"/>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14,5</w:t>
            </w:r>
          </w:p>
        </w:tc>
      </w:tr>
      <w:tr>
        <w:tc>
          <w:tcPr>
            <w:tcW w:type="dxa" w:w="1082"/>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3 h</w:t>
            </w:r>
          </w:p>
        </w:tc>
        <w:tc>
          <w:tcPr>
            <w:tcW w:type="dxa" w:w="1443"/>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32</w:t>
            </w:r>
          </w:p>
        </w:tc>
        <w:tc>
          <w:tcPr>
            <w:tcW w:type="dxa" w:w="2526"/>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100 %</w:t>
            </w:r>
          </w:p>
        </w:tc>
        <w:tc>
          <w:tcPr>
            <w:tcW w:type="dxa" w:w="2165"/>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45 %</w:t>
            </w:r>
          </w:p>
        </w:tc>
        <w:tc>
          <w:tcPr>
            <w:tcW w:type="dxa" w:w="1804"/>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14,5</w:t>
            </w:r>
          </w:p>
        </w:tc>
      </w:tr>
    </w:tbl>
    <w:p>
      <w:pPr>
        <w:spacing w:after="120"/>
      </w:pPr>
    </w:p>
    <w:p>
      <w:pPr>
        <w:spacing w:after="120" w:before="0" w:line="276"/>
      </w:pPr>
      <w:r>
        <w:rPr>
          <w:rFonts w:ascii="Calibri" w:cs="Calibri" w:eastAsia="Calibri" w:hAnsi="Calibri"/>
          <w:b/>
          <w:bCs/>
          <w:sz w:val="20"/>
          <w:szCs w:val="20"/>
        </w:rPr>
        <w:t xml:space="preserve">El expediente varía en un factor de 1,7 y el informe final cubre siempre 14,4 ± 2,3 casos. La investigación, en cambio, alcanza el 100 % en las dieciséis ejecuciones.</w:t>
      </w:r>
    </w:p>
    <w:p>
      <w:pPr>
        <w:spacing w:after="120" w:before="0" w:line="276"/>
      </w:pPr>
      <w:r>
        <w:rPr>
          <w:rFonts w:ascii="Calibri" w:cs="Calibri" w:eastAsia="Calibri" w:hAnsi="Calibri"/>
          <w:sz w:val="20"/>
          <w:szCs w:val="20"/>
        </w:rPr>
        <w:t xml:space="preserve">Dividir la investigación en una tarea por caso resolvió la cobertura de la investigación, pero desplazó el cuello de botella a la síntesis final en lugar de eliminarlo. Las métricas de detección siguen siendo válidas, porque los veredictos se extraen de la salida del Investigador y no del informe, pero el informe es el entregable y el defecto debe corregirse.</w:t>
      </w:r>
    </w:p>
    <w:p>
      <w:pPr>
        <w:pBdr>
          <w:left w:val="single" w:color="1F3864" w:sz="18" w:space="12"/>
        </w:pBdr>
        <w:spacing w:after="200" w:before="80" w:line="276"/>
        <w:ind w:left="180"/>
      </w:pPr>
      <w:r>
        <w:rPr>
          <w:rFonts w:ascii="Calibri" w:cs="Calibri" w:eastAsia="Calibri" w:hAnsi="Calibri"/>
          <w:i/>
          <w:iCs/>
          <w:color w:val="333333"/>
          <w:sz w:val="19"/>
          <w:szCs w:val="19"/>
        </w:rPr>
        <w:t xml:space="preserve">Corrección propuesta: redactar el informe por bloques, o sustituir la síntesis narrativa por una tabla generada de forma determinista con un comentario breve por caso. Pendiente.</w:t>
      </w:r>
    </w:p>
    <w:p>
      <w:pPr>
        <w:pStyle w:val="Heading2"/>
        <w:spacing w:after="120" w:before="260"/>
      </w:pPr>
      <w:r>
        <w:rPr>
          <w:rFonts w:ascii="Calibri" w:cs="Calibri" w:eastAsia="Calibri" w:hAnsi="Calibri"/>
          <w:b/>
          <w:bCs/>
          <w:color w:val="2E5496"/>
          <w:sz w:val="24"/>
          <w:szCs w:val="24"/>
        </w:rPr>
        <w:t xml:space="preserve">5.2 Calibrar el auditor fue más difícil que construirlo</w:t>
      </w:r>
    </w:p>
    <w:p>
      <w:pPr>
        <w:spacing w:after="120" w:before="0" w:line="276"/>
      </w:pPr>
      <w:r>
        <w:rPr>
          <w:rFonts w:ascii="Calibri" w:cs="Calibri" w:eastAsia="Calibri" w:hAnsi="Calibri"/>
          <w:sz w:val="20"/>
          <w:szCs w:val="20"/>
        </w:rPr>
        <w:t xml:space="preserve">El auditor marcó 10 informes como no fiables sobre 120 ejecuciones. Los diez eran falsos positivos. Penalizaba frases como «sin acceso a historial de cliente», es decir, castigaba a los modelos por reconocer los límites de lo que saben.</w:t>
      </w:r>
    </w:p>
    <w:p>
      <w:pPr>
        <w:spacing w:after="120" w:before="0" w:line="276"/>
      </w:pPr>
      <w:r>
        <w:rPr>
          <w:rFonts w:ascii="Calibri" w:cs="Calibri" w:eastAsia="Calibri" w:hAnsi="Calibri"/>
          <w:sz w:val="20"/>
          <w:szCs w:val="20"/>
        </w:rPr>
        <w:t xml:space="preserve">Un modelo prudente y uno fabulador usan el mismo vocabulario; la diferencia está en la polaridad. Hicieron falta seis iteraciones y una batería de diez casos de regresión, todos ellos fallos reales encontrados durante el desarrollo.</w:t>
      </w:r>
    </w:p>
    <w:p>
      <w:pPr>
        <w:pStyle w:val="Heading2"/>
        <w:spacing w:after="120" w:before="260"/>
      </w:pPr>
      <w:r>
        <w:rPr>
          <w:rFonts w:ascii="Calibri" w:cs="Calibri" w:eastAsia="Calibri" w:hAnsi="Calibri"/>
          <w:b/>
          <w:bCs/>
          <w:color w:val="2E5496"/>
          <w:sz w:val="24"/>
          <w:szCs w:val="24"/>
        </w:rPr>
        <w:t xml:space="preserve">5.3 Reproducibilidad</w:t>
      </w:r>
    </w:p>
    <w:p>
      <w:pPr>
        <w:spacing w:after="120" w:before="0" w:line="276"/>
      </w:pPr>
      <w:r>
        <w:rPr>
          <w:rFonts w:ascii="Calibri" w:cs="Calibri" w:eastAsia="Calibri" w:hAnsi="Calibri"/>
          <w:sz w:val="20"/>
          <w:szCs w:val="20"/>
        </w:rPr>
        <w:t xml:space="preserve">El 56 % de las transacciones del dataset comparten valor de Time, y la ordenación por defecto de pandas no es estable: desempata de forma distinta según versión y tamaño del array, desplazando 158.467 filas. Como los turnos reindexan tras ordenar, los identificadores de caso no eran reproducibles entre entornos.</w:t>
      </w:r>
    </w:p>
    <w:p>
      <w:pPr>
        <w:spacing w:after="120" w:before="0" w:line="276"/>
      </w:pPr>
      <w:r>
        <w:rPr>
          <w:rFonts w:ascii="Calibri" w:cs="Calibri" w:eastAsia="Calibri" w:hAnsi="Calibri"/>
          <w:sz w:val="20"/>
          <w:szCs w:val="20"/>
        </w:rPr>
        <w:t xml:space="preserve">Corregido forzando ordenación estable. Las métricas agregadas no se ven afectadas, porque el conjunto del turno se define por rango temporal y no por el orden, pero la incidencia debe declararse en la memoria.</w:t>
      </w:r>
    </w:p>
    <w:p>
      <w:pPr>
        <w:pStyle w:val="Heading1"/>
        <w:spacing w:after="160" w:before="360"/>
      </w:pPr>
      <w:r>
        <w:rPr>
          <w:rFonts w:ascii="Calibri" w:cs="Calibri" w:eastAsia="Calibri" w:hAnsi="Calibri"/>
          <w:b/>
          <w:bCs/>
          <w:color w:val="1F3864"/>
          <w:sz w:val="30"/>
          <w:szCs w:val="30"/>
        </w:rPr>
        <w:t xml:space="preserve">6. El dominio: economía del fraude</w:t>
      </w:r>
    </w:p>
    <w:p>
      <w:pPr>
        <w:spacing w:after="120" w:before="0" w:line="276"/>
      </w:pPr>
      <w:r>
        <w:rPr>
          <w:rFonts w:ascii="Calibri" w:cs="Calibri" w:eastAsia="Calibri" w:hAnsi="Calibri"/>
          <w:sz w:val="20"/>
          <w:szCs w:val="20"/>
        </w:rPr>
        <w:t xml:space="preserve">Datos del conjunto completo, útiles para justificar decisiones de diseño y para el capítulo de contexto.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592"/>
        <w:gridCol w:w="3428"/>
      </w:tblGrid>
      <w:tr>
        <w:trPr>
          <w:tblHeader/>
        </w:trPr>
        <w:tc>
          <w:tcPr>
            <w:tcW w:type="dxa" w:w="5592"/>
            <w:shd w:fill="1F3864" w:color="auto" w:val="clear"/>
            <w:tcMar>
              <w:top w:type="dxa" w:w="70"/>
              <w:left w:type="dxa" w:w="110"/>
              <w:bottom w:type="dxa" w:w="70"/>
              <w:right w:type="dxa" w:w="110"/>
            </w:tcMar>
          </w:tcPr>
          <w:p>
            <w:pPr>
              <w:spacing w:after="0" w:line="240"/>
              <w:jc w:val="left"/>
            </w:pPr>
            <w:r>
              <w:rPr>
                <w:rFonts w:ascii="Calibri" w:cs="Calibri" w:eastAsia="Calibri" w:hAnsi="Calibri"/>
                <w:b/>
                <w:bCs/>
                <w:color w:val="FFFFFF"/>
                <w:sz w:val="18"/>
                <w:szCs w:val="18"/>
              </w:rPr>
              <w:t xml:space="preserve">Magnitud</w:t>
            </w:r>
          </w:p>
        </w:tc>
        <w:tc>
          <w:tcPr>
            <w:tcW w:type="dxa" w:w="3428"/>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Valor</w:t>
            </w:r>
          </w:p>
        </w:tc>
      </w:tr>
      <w:tr>
        <w:tc>
          <w:tcPr>
            <w:tcW w:type="dxa" w:w="5592"/>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Transacciones</w:t>
            </w:r>
          </w:p>
        </w:tc>
        <w:tc>
          <w:tcPr>
            <w:tcW w:type="dxa" w:w="3428"/>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284.807</w:t>
            </w:r>
          </w:p>
        </w:tc>
      </w:tr>
      <w:tr>
        <w:tc>
          <w:tcPr>
            <w:tcW w:type="dxa" w:w="5592"/>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Fraudes</w:t>
            </w:r>
          </w:p>
        </w:tc>
        <w:tc>
          <w:tcPr>
            <w:tcW w:type="dxa" w:w="3428"/>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492 (0,173 %)</w:t>
            </w:r>
          </w:p>
        </w:tc>
      </w:tr>
      <w:tr>
        <w:tc>
          <w:tcPr>
            <w:tcW w:type="dxa" w:w="5592"/>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Proporción del importe total que es fraude</w:t>
            </w:r>
          </w:p>
        </w:tc>
        <w:tc>
          <w:tcPr>
            <w:tcW w:type="dxa" w:w="3428"/>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0,239 %</w:t>
            </w:r>
          </w:p>
        </w:tc>
      </w:tr>
      <w:tr>
        <w:tc>
          <w:tcPr>
            <w:tcW w:type="dxa" w:w="5592"/>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Importe medio de un fraude</w:t>
            </w:r>
          </w:p>
        </w:tc>
        <w:tc>
          <w:tcPr>
            <w:tcW w:type="dxa" w:w="3428"/>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122,21 EUR</w:t>
            </w:r>
          </w:p>
        </w:tc>
      </w:tr>
      <w:tr>
        <w:tc>
          <w:tcPr>
            <w:tcW w:type="dxa" w:w="5592"/>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Importe mediano de un fraude</w:t>
            </w:r>
          </w:p>
        </w:tc>
        <w:tc>
          <w:tcPr>
            <w:tcW w:type="dxa" w:w="3428"/>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9,25 EUR</w:t>
            </w:r>
          </w:p>
        </w:tc>
      </w:tr>
      <w:tr>
        <w:tc>
          <w:tcPr>
            <w:tcW w:type="dxa" w:w="5592"/>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Importe medio de una transacción legítima</w:t>
            </w:r>
          </w:p>
        </w:tc>
        <w:tc>
          <w:tcPr>
            <w:tcW w:type="dxa" w:w="3428"/>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88,29 EUR</w:t>
            </w:r>
          </w:p>
        </w:tc>
      </w:tr>
      <w:tr>
        <w:tc>
          <w:tcPr>
            <w:tcW w:type="dxa" w:w="5592"/>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Fraudes por debajo de 5 EUR</w:t>
            </w:r>
          </w:p>
        </w:tc>
        <w:tc>
          <w:tcPr>
            <w:tcW w:type="dxa" w:w="3428"/>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221 (44,9 %)</w:t>
            </w:r>
          </w:p>
        </w:tc>
      </w:tr>
      <w:tr>
        <w:tc>
          <w:tcPr>
            <w:tcW w:type="dxa" w:w="5592"/>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Fraudes por debajo de 1 EUR</w:t>
            </w:r>
          </w:p>
        </w:tc>
        <w:tc>
          <w:tcPr>
            <w:tcW w:type="dxa" w:w="3428"/>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68 (13,8 %)</w:t>
            </w:r>
          </w:p>
        </w:tc>
      </w:tr>
      <w:tr>
        <w:tc>
          <w:tcPr>
            <w:tcW w:type="dxa" w:w="5592"/>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Fraudes de exactamente 0,00 EUR</w:t>
            </w:r>
          </w:p>
        </w:tc>
        <w:tc>
          <w:tcPr>
            <w:tcW w:type="dxa" w:w="3428"/>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27</w:t>
            </w:r>
          </w:p>
        </w:tc>
      </w:tr>
    </w:tbl>
    <w:p>
      <w:pPr>
        <w:spacing w:after="120"/>
      </w:pPr>
    </w:p>
    <w:p>
      <w:pPr>
        <w:spacing w:after="120" w:before="0" w:line="276"/>
      </w:pPr>
      <w:r>
        <w:rPr>
          <w:rFonts w:ascii="Calibri" w:cs="Calibri" w:eastAsia="Calibri" w:hAnsi="Calibri"/>
          <w:sz w:val="20"/>
          <w:szCs w:val="20"/>
        </w:rPr>
        <w:t xml:space="preserve">La diferencia entre la media (122,21 EUR) y la mediana (9,25 EUR) describe la operativa: muchas transacciones diminutas de comprobación de tarjeta y unas pocas de importe alto. Los 27 cargos de cero euros son validaciones puras.</w:t>
      </w:r>
    </w:p>
    <w:p>
      <w:pPr>
        <w:pBdr>
          <w:left w:val="single" w:color="1F3864" w:sz="18" w:space="12"/>
        </w:pBdr>
        <w:spacing w:after="200" w:before="80" w:line="276"/>
        <w:ind w:left="180"/>
      </w:pPr>
      <w:r>
        <w:rPr>
          <w:rFonts w:ascii="Calibri" w:cs="Calibri" w:eastAsia="Calibri" w:hAnsi="Calibri"/>
          <w:i/>
          <w:iCs/>
          <w:color w:val="333333"/>
          <w:sz w:val="19"/>
          <w:szCs w:val="19"/>
        </w:rPr>
        <w:t xml:space="preserve">Esto explica un fallo real observado: el modelo de lenguaje descartó varios casos «por importe reducido». En este dominio esa intuición está invertida, y el error procede del conocimiento previo del modelo, no de los datos que se le entregaron.</w:t>
      </w:r>
    </w:p>
    <w:p>
      <w:r>
        <w:br w:type="page"/>
      </w:r>
    </w:p>
    <w:p>
      <w:pPr>
        <w:pStyle w:val="Heading1"/>
        <w:spacing w:after="160" w:before="360"/>
      </w:pPr>
      <w:r>
        <w:rPr>
          <w:rFonts w:ascii="Calibri" w:cs="Calibri" w:eastAsia="Calibri" w:hAnsi="Calibri"/>
          <w:b/>
          <w:bCs/>
          <w:color w:val="1F3864"/>
          <w:sz w:val="30"/>
          <w:szCs w:val="30"/>
        </w:rPr>
        <w:t xml:space="preserve">7. Limitaciones</w:t>
      </w:r>
    </w:p>
    <w:p>
      <w:pPr>
        <w:spacing w:after="120" w:before="0" w:line="276"/>
      </w:pPr>
      <w:r>
        <w:rPr>
          <w:rFonts w:ascii="Calibri" w:cs="Calibri" w:eastAsia="Calibri" w:hAnsi="Calibri"/>
          <w:sz w:val="20"/>
          <w:szCs w:val="20"/>
        </w:rPr>
        <w:t xml:space="preserve">Declaradas de forma explícita. Un tribunal disculpa una limitación reconocida y penaliza una encubierta.</w:t>
      </w:r>
    </w:p>
    <w:p>
      <w:pPr>
        <w:pStyle w:val="ListParagraph"/>
        <w:numPr>
          <w:ilvl w:val="0"/>
          <w:numId w:val="2"/>
        </w:numPr>
        <w:spacing w:after="80" w:line="276"/>
      </w:pPr>
      <w:r>
        <w:rPr>
          <w:rFonts w:ascii="Calibri" w:cs="Calibri" w:eastAsia="Calibri" w:hAnsi="Calibri"/>
          <w:sz w:val="20"/>
          <w:szCs w:val="20"/>
        </w:rPr>
        <w:t xml:space="preserve">El sistema no puede recuperar falsos negativos del detector: el techo de recall medido es 0,833 y nueve fraudes por turno son inalcanzables.</w:t>
      </w:r>
    </w:p>
    <w:p>
      <w:pPr>
        <w:pStyle w:val="ListParagraph"/>
        <w:numPr>
          <w:ilvl w:val="0"/>
          <w:numId w:val="2"/>
        </w:numPr>
        <w:spacing w:after="80" w:line="276"/>
      </w:pPr>
      <w:r>
        <w:rPr>
          <w:rFonts w:ascii="Calibri" w:cs="Calibri" w:eastAsia="Calibri" w:hAnsi="Calibri"/>
          <w:sz w:val="20"/>
          <w:szCs w:val="20"/>
        </w:rPr>
        <w:t xml:space="preserve">La capa de agentes no mejora la detección, y por diseño no puede hacerlo mientras el detector conserve la decisión.</w:t>
      </w:r>
    </w:p>
    <w:p>
      <w:pPr>
        <w:pStyle w:val="ListParagraph"/>
        <w:numPr>
          <w:ilvl w:val="0"/>
          <w:numId w:val="2"/>
        </w:numPr>
        <w:spacing w:after="80" w:line="276"/>
      </w:pPr>
      <w:r>
        <w:rPr>
          <w:rFonts w:ascii="Calibri" w:cs="Calibri" w:eastAsia="Calibri" w:hAnsi="Calibri"/>
          <w:sz w:val="20"/>
          <w:szCs w:val="20"/>
        </w:rPr>
        <w:t xml:space="preserve">La ablación del expediente se ha realizado con un solo modelo. No puede afirmarse que la dependencia de la puntuación sea general a todos los modelos locales.</w:t>
      </w:r>
    </w:p>
    <w:p>
      <w:pPr>
        <w:pStyle w:val="ListParagraph"/>
        <w:numPr>
          <w:ilvl w:val="0"/>
          <w:numId w:val="2"/>
        </w:numPr>
        <w:spacing w:after="80" w:line="276"/>
      </w:pPr>
      <w:r>
        <w:rPr>
          <w:rFonts w:ascii="Calibri" w:cs="Calibri" w:eastAsia="Calibri" w:hAnsi="Calibri"/>
          <w:sz w:val="20"/>
          <w:szCs w:val="20"/>
        </w:rPr>
        <w:t xml:space="preserve">Los turnos de 4 h se solapan, porque el periodo de test dura 7,65 h. No son muestras independientes.</w:t>
      </w:r>
    </w:p>
    <w:p>
      <w:pPr>
        <w:pStyle w:val="ListParagraph"/>
        <w:numPr>
          <w:ilvl w:val="0"/>
          <w:numId w:val="2"/>
        </w:numPr>
        <w:spacing w:after="80" w:line="276"/>
      </w:pPr>
      <w:r>
        <w:rPr>
          <w:rFonts w:ascii="Calibri" w:cs="Calibri" w:eastAsia="Calibri" w:hAnsi="Calibri"/>
          <w:sz w:val="20"/>
          <w:szCs w:val="20"/>
        </w:rPr>
        <w:t xml:space="preserve">La comparativa de arquitecturas no alcanza significación estadística con n = 8 (p = 0,20).</w:t>
      </w:r>
    </w:p>
    <w:p>
      <w:pPr>
        <w:pStyle w:val="ListParagraph"/>
        <w:numPr>
          <w:ilvl w:val="0"/>
          <w:numId w:val="2"/>
        </w:numPr>
        <w:spacing w:after="80" w:line="276"/>
      </w:pPr>
      <w:r>
        <w:rPr>
          <w:rFonts w:ascii="Calibri" w:cs="Calibri" w:eastAsia="Calibri" w:hAnsi="Calibri"/>
          <w:sz w:val="20"/>
          <w:szCs w:val="20"/>
        </w:rPr>
        <w:t xml:space="preserve">El proceso jerárquico se descartó con un modelo de 8B y no se ha reevaluado con modelos de 14B o más.</w:t>
      </w:r>
    </w:p>
    <w:p>
      <w:pPr>
        <w:pStyle w:val="ListParagraph"/>
        <w:numPr>
          <w:ilvl w:val="0"/>
          <w:numId w:val="2"/>
        </w:numPr>
        <w:spacing w:after="80" w:line="276"/>
      </w:pPr>
      <w:r>
        <w:rPr>
          <w:rFonts w:ascii="Calibri" w:cs="Calibri" w:eastAsia="Calibri" w:hAnsi="Calibri"/>
          <w:sz w:val="20"/>
          <w:szCs w:val="20"/>
        </w:rPr>
        <w:t xml:space="preserve">La comparativa de modelos se hizo con lotes sintéticos y no se ha repetido sobre turnos reales.</w:t>
      </w:r>
    </w:p>
    <w:p>
      <w:pPr>
        <w:pStyle w:val="ListParagraph"/>
        <w:numPr>
          <w:ilvl w:val="0"/>
          <w:numId w:val="2"/>
        </w:numPr>
        <w:spacing w:after="80" w:line="276"/>
      </w:pPr>
      <w:r>
        <w:rPr>
          <w:rFonts w:ascii="Calibri" w:cs="Calibri" w:eastAsia="Calibri" w:hAnsi="Calibri"/>
          <w:sz w:val="20"/>
          <w:szCs w:val="20"/>
        </w:rPr>
        <w:t xml:space="preserve">El valor explicativo de la capa 2 no está cuantificado: es una afirmación cualitativa.</w:t>
      </w:r>
    </w:p>
    <w:p>
      <w:pPr>
        <w:pStyle w:val="ListParagraph"/>
        <w:numPr>
          <w:ilvl w:val="0"/>
          <w:numId w:val="2"/>
        </w:numPr>
        <w:spacing w:after="80" w:line="276"/>
      </w:pPr>
      <w:r>
        <w:rPr>
          <w:rFonts w:ascii="Calibri" w:cs="Calibri" w:eastAsia="Calibri" w:hAnsi="Calibri"/>
          <w:sz w:val="20"/>
          <w:szCs w:val="20"/>
        </w:rPr>
        <w:t xml:space="preserve">Un único conjunto de datos, europeo, de 2013 y anonimizado por PCA. El valor está en el método, no en el modelo entrenado.</w:t>
      </w:r>
    </w:p>
    <w:p>
      <w:pPr>
        <w:pStyle w:val="Heading1"/>
        <w:spacing w:after="160" w:before="360"/>
      </w:pPr>
      <w:r>
        <w:rPr>
          <w:rFonts w:ascii="Calibri" w:cs="Calibri" w:eastAsia="Calibri" w:hAnsi="Calibri"/>
          <w:b/>
          <w:bCs/>
          <w:color w:val="1F3864"/>
          <w:sz w:val="30"/>
          <w:szCs w:val="30"/>
        </w:rPr>
        <w:t xml:space="preserve">8. Trabajo pendiente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3428"/>
        <w:gridCol w:w="4510"/>
      </w:tblGrid>
      <w:tr>
        <w:trPr>
          <w:tblHeader/>
        </w:trPr>
        <w:tc>
          <w:tcPr>
            <w:tcW w:type="dxa" w:w="1082"/>
            <w:shd w:fill="1F3864" w:color="auto" w:val="clear"/>
            <w:tcMar>
              <w:top w:type="dxa" w:w="70"/>
              <w:left w:type="dxa" w:w="110"/>
              <w:bottom w:type="dxa" w:w="70"/>
              <w:right w:type="dxa" w:w="110"/>
            </w:tcMar>
          </w:tcPr>
          <w:p>
            <w:pPr>
              <w:spacing w:after="0" w:line="240"/>
              <w:jc w:val="left"/>
            </w:pPr>
            <w:r>
              <w:rPr>
                <w:rFonts w:ascii="Calibri" w:cs="Calibri" w:eastAsia="Calibri" w:hAnsi="Calibri"/>
                <w:b/>
                <w:bCs/>
                <w:color w:val="FFFFFF"/>
                <w:sz w:val="18"/>
                <w:szCs w:val="18"/>
              </w:rPr>
              <w:t xml:space="preserve">Prioridad</w:t>
            </w:r>
          </w:p>
        </w:tc>
        <w:tc>
          <w:tcPr>
            <w:tcW w:type="dxa" w:w="3428"/>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Tarea</w:t>
            </w:r>
          </w:p>
        </w:tc>
        <w:tc>
          <w:tcPr>
            <w:tcW w:type="dxa" w:w="4510"/>
            <w:shd w:fill="1F3864"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8"/>
                <w:szCs w:val="18"/>
              </w:rPr>
              <w:t xml:space="preserve">Justificación</w:t>
            </w:r>
          </w:p>
        </w:tc>
      </w:tr>
      <w:tr>
        <w:tc>
          <w:tcPr>
            <w:tcW w:type="dxa" w:w="1082"/>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Alta</w:t>
            </w:r>
          </w:p>
        </w:tc>
        <w:tc>
          <w:tcPr>
            <w:tcW w:type="dxa" w:w="3428"/>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Comparativa de modelos sobre turnos reales</w:t>
            </w:r>
          </w:p>
        </w:tc>
        <w:tc>
          <w:tcPr>
            <w:tcW w:type="dxa" w:w="4510"/>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gpt-oss:20b igualó al 14B y fue más rápido; nunca se ha probado en la configuración actual. Es el núcleo del objetivo del TFG</w:t>
            </w:r>
          </w:p>
        </w:tc>
      </w:tr>
      <w:tr>
        <w:tc>
          <w:tcPr>
            <w:tcW w:type="dxa" w:w="1082"/>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Alta</w:t>
            </w:r>
          </w:p>
        </w:tc>
        <w:tc>
          <w:tcPr>
            <w:tcW w:type="dxa" w:w="3428"/>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Repetir la ablación del expediente con otros modelos</w:t>
            </w:r>
          </w:p>
        </w:tc>
        <w:tc>
          <w:tcPr>
            <w:tcW w:type="dxa" w:w="4510"/>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Comprobar si la dependencia de la puntuación del detector es general o propia de qwen2.5:14b</w:t>
            </w:r>
          </w:p>
        </w:tc>
      </w:tr>
      <w:tr>
        <w:tc>
          <w:tcPr>
            <w:tcW w:type="dxa" w:w="1082"/>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Alta</w:t>
            </w:r>
          </w:p>
        </w:tc>
        <w:tc>
          <w:tcPr>
            <w:tcW w:type="dxa" w:w="3428"/>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Corregir el cupo de 14 casos del Reportero</w:t>
            </w:r>
          </w:p>
        </w:tc>
        <w:tc>
          <w:tcPr>
            <w:tcW w:type="dxa" w:w="4510"/>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El informe final, que es el entregable, cubre menos de la mitad del expediente en todos los casos</w:t>
            </w:r>
          </w:p>
        </w:tc>
      </w:tr>
      <w:tr>
        <w:tc>
          <w:tcPr>
            <w:tcW w:type="dxa" w:w="1082"/>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Media</w:t>
            </w:r>
          </w:p>
        </w:tc>
        <w:tc>
          <w:tcPr>
            <w:tcW w:type="dxa" w:w="3428"/>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Repetir iterativa frente a monolítica con n = 16</w:t>
            </w:r>
          </w:p>
        </w:tc>
        <w:tc>
          <w:tcPr>
            <w:tcW w:type="dxa" w:w="4510"/>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Resolver la p = 0,20 actual</w:t>
            </w:r>
          </w:p>
        </w:tc>
      </w:tr>
      <w:tr>
        <w:tc>
          <w:tcPr>
            <w:tcW w:type="dxa" w:w="1082"/>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Media</w:t>
            </w:r>
          </w:p>
        </w:tc>
        <w:tc>
          <w:tcPr>
            <w:tcW w:type="dxa" w:w="3428"/>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Comparativa con modelos comerciales vía API gratuita</w:t>
            </w:r>
          </w:p>
        </w:tc>
        <w:tc>
          <w:tcPr>
            <w:tcW w:type="dxa" w:w="4510"/>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Cuantificar cuánto se pierde por la restricción de ejecución local</w:t>
            </w:r>
          </w:p>
        </w:tc>
      </w:tr>
      <w:tr>
        <w:tc>
          <w:tcPr>
            <w:tcW w:type="dxa" w:w="1082"/>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Media</w:t>
            </w:r>
          </w:p>
        </w:tc>
        <w:tc>
          <w:tcPr>
            <w:tcW w:type="dxa" w:w="3428"/>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Proceso jerárquico con modelos de 14B o más</w:t>
            </w:r>
          </w:p>
        </w:tc>
        <w:tc>
          <w:tcPr>
            <w:tcW w:type="dxa" w:w="4510"/>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Se descartó con un 8B; la conclusión no es extrapolable</w:t>
            </w:r>
          </w:p>
        </w:tc>
      </w:tr>
      <w:tr>
        <w:tc>
          <w:tcPr>
            <w:tcW w:type="dxa" w:w="1082"/>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Baja</w:t>
            </w:r>
          </w:p>
        </w:tc>
        <w:tc>
          <w:tcPr>
            <w:tcW w:type="dxa" w:w="3428"/>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Ablación de la variable Hour y de SMOTE</w:t>
            </w:r>
          </w:p>
        </w:tc>
        <w:tc>
          <w:tcPr>
            <w:tcW w:type="dxa" w:w="4510"/>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Justificar decisiones de diseño del detector</w:t>
            </w:r>
          </w:p>
        </w:tc>
      </w:tr>
      <w:tr>
        <w:tc>
          <w:tcPr>
            <w:tcW w:type="dxa" w:w="1082"/>
            <w:shd w:fill="F2F2F2" w:color="auto" w:val="clear"/>
            <w:tcMar>
              <w:top w:type="dxa" w:w="70"/>
              <w:left w:type="dxa" w:w="110"/>
              <w:bottom w:type="dxa" w:w="70"/>
              <w:right w:type="dxa" w:w="110"/>
            </w:tcMar>
          </w:tcPr>
          <w:p>
            <w:pPr>
              <w:spacing w:after="0" w:line="240"/>
              <w:jc w:val="left"/>
            </w:pPr>
            <w:r>
              <w:rPr>
                <w:rFonts w:ascii="Calibri" w:cs="Calibri" w:eastAsia="Calibri" w:hAnsi="Calibri"/>
                <w:b w:val="false"/>
                <w:bCs w:val="false"/>
                <w:sz w:val="18"/>
                <w:szCs w:val="18"/>
              </w:rPr>
              <w:t xml:space="preserve">Baja</w:t>
            </w:r>
          </w:p>
        </w:tc>
        <w:tc>
          <w:tcPr>
            <w:tcW w:type="dxa" w:w="3428"/>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Extrapolación a entorno empresarial</w:t>
            </w:r>
          </w:p>
        </w:tc>
        <w:tc>
          <w:tcPr>
            <w:tcW w:type="dxa" w:w="4510"/>
            <w:shd w:fill="F2F2F2" w:color="auto" w:val="clear"/>
            <w:tcMar>
              <w:top w:type="dxa" w:w="70"/>
              <w:left w:type="dxa" w:w="110"/>
              <w:bottom w:type="dxa" w:w="70"/>
              <w:right w:type="dxa" w:w="110"/>
            </w:tcMar>
          </w:tcPr>
          <w:p>
            <w:pPr>
              <w:spacing w:after="0" w:line="240"/>
              <w:jc w:val="right"/>
            </w:pPr>
            <w:r>
              <w:rPr>
                <w:rFonts w:ascii="Calibri" w:cs="Calibri" w:eastAsia="Calibri" w:hAnsi="Calibri"/>
                <w:b w:val="false"/>
                <w:bCs w:val="false"/>
                <w:sz w:val="18"/>
                <w:szCs w:val="18"/>
              </w:rPr>
              <w:t xml:space="preserve">Dimensionado de hardware y encaje operativo</w:t>
            </w:r>
          </w:p>
        </w:tc>
      </w:tr>
    </w:tbl>
    <w:p>
      <w:pPr>
        <w:spacing w:after="120"/>
      </w:pPr>
    </w:p>
    <w:p>
      <w:pPr>
        <w:spacing w:after="120" w:before="0" w:line="276"/>
      </w:pPr>
      <w:r>
        <w:rPr>
          <w:rFonts w:ascii="Calibri" w:cs="Calibri" w:eastAsia="Calibri" w:hAnsi="Calibri"/>
          <w:sz w:val="20"/>
          <w:szCs w:val="20"/>
        </w:rPr>
        <w:t xml:space="preserve">Con la entrega fijada el 7 de octubre de 2026, el calendario es holgado: el sistema está construido y lo que queda es experimentación y redacción.</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Estado de resultados — TFG</dc:title>
  <dc:creator>Adrián Muriel Bautista</dc:creator>
  <cp:lastModifiedBy>Un-named</cp:lastModifiedBy>
  <cp:revision>1</cp:revision>
  <dcterms:created xsi:type="dcterms:W3CDTF">2026-08-01T22:59:50.904Z</dcterms:created>
  <dcterms:modified xsi:type="dcterms:W3CDTF">2026-08-01T22:59:50.904Z</dcterms:modified>
</cp:coreProperties>
</file>

<file path=docProps/custom.xml><?xml version="1.0" encoding="utf-8"?>
<Properties xmlns="http://schemas.openxmlformats.org/officeDocument/2006/custom-properties" xmlns:vt="http://schemas.openxmlformats.org/officeDocument/2006/docPropsVTypes"/>
</file>