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500"/>
        <w:jc w:val="center"/>
      </w:pPr>
      <w:r>
        <w:drawing>
          <wp:inline distT="0" distB="0" distL="0" distR="0">
            <wp:extent cx="80962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09625" cy="714375"/>
                    </a:xfrm>
                    <a:prstGeom prst="rect">
                      <a:avLst/>
                    </a:prstGeom>
                  </pic:spPr>
                </pic:pic>
              </a:graphicData>
            </a:graphic>
          </wp:inline>
        </w:drawing>
      </w:r>
      <w:r>
        <w:rPr>
          <w:rFonts w:ascii="Arial" w:cs="Arial" w:eastAsia="Arial" w:hAnsi="Arial"/>
          <w:sz w:val="22"/>
          <w:szCs w:val="22"/>
        </w:rPr>
        <w:t xml:space="preserve">     </w:t>
      </w:r>
      <w:r>
        <w:drawing>
          <wp:inline distT="0" distB="0" distL="0" distR="0">
            <wp:extent cx="53625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62575" cy="714375"/>
                    </a:xfrm>
                    <a:prstGeom prst="rect">
                      <a:avLst/>
                    </a:prstGeom>
                  </pic:spPr>
                </pic:pic>
              </a:graphicData>
            </a:graphic>
          </wp:inline>
        </w:drawing>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p>
      <w:pPr>
        <w:spacing w:after="80" w:before="240"/>
        <w:jc w:val="center"/>
      </w:pPr>
      <w:r>
        <w:drawing>
          <wp:inline distT="0" distB="0" distL="0" distR="0">
            <wp:extent cx="5400675"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5276850"/>
                    </a:xfrm>
                    <a:prstGeom prst="rect">
                      <a:avLst/>
                    </a:prstGeom>
                  </pic:spPr>
                </pic:pic>
              </a:graphicData>
            </a:graphic>
          </wp:inline>
        </w:drawing>
      </w:r>
    </w:p>
    <w:p>
      <w:pPr>
        <w:spacing w:after="240"/>
        <w:jc w:val="center"/>
      </w:pPr>
      <w:r>
        <w:rPr>
          <w:i/>
          <w:iCs/>
          <w:sz w:val="20"/>
          <w:szCs w:val="20"/>
        </w:rPr>
        <w:t xml:space="preserve">Figura 1. Verificación del entorno: versión de Python, GPU, servidor de modelos y conjunto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ind w:firstLine="425"/>
        <w:jc w:val="both"/>
      </w:pPr>
      <w:r>
        <w:rPr>
          <w:rFonts w:ascii="Arial" w:cs="Arial" w:eastAsia="Arial" w:hAnsi="Arial"/>
          <w:sz w:val="22"/>
          <w:szCs w:val="22"/>
        </w:rPr>
        <w:t xml:space="preserve">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ind w:firstLine="425"/>
        <w:jc w:val="both"/>
      </w:pPr>
      <w:r>
        <w:rPr>
          <w:rFonts w:ascii="Arial" w:cs="Arial" w:eastAsia="Arial" w:hAnsi="Arial"/>
          <w:sz w:val="22"/>
          <w:szCs w:val="22"/>
        </w:rPr>
        <w:t xml:space="preserve">De esa diferencia de planteamiento se sigue la línea de trabajo futuro propuesta en 6.4, hacia dominios con contenido semántico como las transferencias o la prevención de blanqueo de capitales. Conviene declarar que </w:t>
      </w:r>
      <w:r>
        <w:rPr>
          <w:rFonts w:ascii="Arial" w:cs="Arial" w:eastAsia="Arial" w:hAnsi="Arial"/>
          <w:b/>
          <w:bCs/>
          <w:sz w:val="22"/>
          <w:szCs w:val="22"/>
        </w:rPr>
        <w:t xml:space="preserve">esa propuesta se apoya en el razonamiento desarrollado en esta memoria y no en una referencia que lo establezca</w:t>
      </w:r>
      <w:r>
        <w:rPr>
          <w:rFonts w:ascii="Arial" w:cs="Arial" w:eastAsia="Arial" w:hAnsi="Arial"/>
          <w:sz w:val="22"/>
          <w:szCs w:val="22"/>
        </w:rPr>
        <w:t xml:space="preserve">. El argumento es que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ind w:firstLine="425"/>
        <w:jc w:val="both"/>
      </w:pPr>
      <w:r>
        <w:rPr>
          <w:rFonts w:ascii="Arial" w:cs="Arial" w:eastAsia="Arial" w:hAnsi="Arial"/>
          <w:sz w:val="22"/>
          <w:szCs w:val="22"/>
        </w:rPr>
        <w:t xml:space="preserve">De ambos trabajos se recogen aquí sus conclusiones declaradas, y no los detalles de su montaje experimental. En particular, </w:t>
      </w:r>
      <w:r>
        <w:rPr>
          <w:rFonts w:ascii="Arial" w:cs="Arial" w:eastAsia="Arial" w:hAnsi="Arial"/>
          <w:b/>
          <w:bCs/>
          <w:sz w:val="22"/>
          <w:szCs w:val="22"/>
        </w:rPr>
        <w:t xml:space="preserve">no se afirma nada sobre los tamaños de los modelos evaluados en ellos</w:t>
      </w:r>
      <w:r>
        <w:rPr>
          <w:rFonts w:ascii="Arial" w:cs="Arial" w:eastAsia="Arial" w:hAnsi="Arial"/>
          <w:sz w:val="22"/>
          <w:szCs w:val="22"/>
        </w:rPr>
        <w:t xml:space="preserve">,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ind w:firstLine="425"/>
        <w:jc w:val="both"/>
      </w:pPr>
      <w:r>
        <w:rPr>
          <w:rFonts w:ascii="Arial" w:cs="Arial" w:eastAsia="Arial" w:hAnsi="Arial"/>
          <w:sz w:val="22"/>
          <w:szCs w:val="22"/>
        </w:rPr>
        <w:t xml:space="preserve">Se hace constar, por último, que esta memoria </w:t>
      </w:r>
      <w:r>
        <w:rPr>
          <w:rFonts w:ascii="Arial" w:cs="Arial" w:eastAsia="Arial" w:hAnsi="Arial"/>
          <w:b/>
          <w:bCs/>
          <w:sz w:val="22"/>
          <w:szCs w:val="22"/>
        </w:rPr>
        <w:t xml:space="preserve">no recoge la afirmación, frecuente en la divulgación técnica, de que exista un umbral en torno a los siete mil millones de parámetros</w:t>
      </w:r>
      <w:r>
        <w:rPr>
          <w:rFonts w:ascii="Arial" w:cs="Arial" w:eastAsia="Arial" w:hAnsi="Arial"/>
          <w:sz w:val="22"/>
          <w:szCs w:val="22"/>
        </w:rP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2.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p>
      <w:pPr>
        <w:spacing w:after="160" w:line="360" w:lineRule="auto"/>
        <w:ind w:firstLine="425"/>
        <w:jc w:val="both"/>
      </w:pPr>
      <w:r>
        <w:rPr>
          <w:rFonts w:ascii="Arial" w:cs="Arial" w:eastAsia="Arial" w:hAnsi="Arial"/>
          <w:sz w:val="22"/>
          <w:szCs w:val="22"/>
        </w:rPr>
        <w:t xml:space="preserve">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Evidencia</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Reunión de definición y adjudicación registrada</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trabajo</w:t>
            </w:r>
          </w:p>
        </w:tc>
      </w:tr>
      <w:tr>
        <w:tc>
          <w:tcPr>
            <w:tcW w:type="dxa" w:w="1800"/>
          </w:tcPr>
          <w:p>
            <w:pPr>
              <w:spacing w:after="0"/>
            </w:pPr>
            <w:r>
              <w:rPr>
                <w:rFonts w:ascii="Arial" w:cs="Arial" w:eastAsia="Arial" w:hAnsi="Arial"/>
                <w:b w:val="false"/>
                <w:bCs w:val="false"/>
                <w:sz w:val="20"/>
                <w:szCs w:val="20"/>
              </w:rPr>
              <w:t xml:space="preserve">7 jul – 26 jul</w:t>
            </w:r>
          </w:p>
        </w:tc>
        <w:tc>
          <w:tcPr>
            <w:tcW w:type="dxa" w:w="1800"/>
          </w:tcPr>
          <w:p>
            <w:pPr>
              <w:spacing w:after="0"/>
            </w:pPr>
            <w:r>
              <w:rPr>
                <w:rFonts w:ascii="Arial" w:cs="Arial" w:eastAsia="Arial" w:hAnsi="Arial"/>
                <w:b w:val="false"/>
                <w:bCs w:val="false"/>
                <w:sz w:val="20"/>
                <w:szCs w:val="20"/>
              </w:rPr>
              <w:t xml:space="preserve">20</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70 h</w:t>
            </w:r>
          </w:p>
        </w:tc>
        <w:tc>
          <w:tcPr>
            <w:tcW w:type="dxa" w:w="1800"/>
          </w:tcPr>
          <w:p>
            <w:pPr>
              <w:spacing w:after="0"/>
            </w:pPr>
            <w:r>
              <w:rPr>
                <w:rFonts w:ascii="Arial" w:cs="Arial" w:eastAsia="Arial" w:hAnsi="Arial"/>
                <w:b w:val="false"/>
                <w:bCs w:val="false"/>
                <w:sz w:val="20"/>
                <w:szCs w:val="20"/>
              </w:rPr>
              <w:t xml:space="preserve">Instalación del entorno, bloqueo y reorientación</w:t>
            </w:r>
          </w:p>
        </w:tc>
      </w:tr>
      <w:tr>
        <w:tc>
          <w:tcPr>
            <w:tcW w:type="dxa" w:w="1800"/>
          </w:tcPr>
          <w:p>
            <w:pPr>
              <w:spacing w:after="0"/>
            </w:pPr>
            <w:r>
              <w:rPr>
                <w:rFonts w:ascii="Arial" w:cs="Arial" w:eastAsia="Arial" w:hAnsi="Arial"/>
                <w:b w:val="false"/>
                <w:bCs w:val="false"/>
                <w:sz w:val="20"/>
                <w:szCs w:val="20"/>
              </w:rPr>
              <w:t xml:space="preserve">27 jul – 31 jul</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8 entregas y 44 ficheros de resultados</w:t>
            </w:r>
          </w:p>
        </w:tc>
      </w:tr>
      <w:tr>
        <w:tc>
          <w:tcPr>
            <w:tcW w:type="dxa" w:w="1800"/>
          </w:tcPr>
          <w:p>
            <w:pPr>
              <w:spacing w:after="0"/>
            </w:pPr>
            <w:r>
              <w:rPr>
                <w:rFonts w:ascii="Arial" w:cs="Arial" w:eastAsia="Arial" w:hAnsi="Arial"/>
                <w:b w:val="false"/>
                <w:bCs w:val="false"/>
                <w:sz w:val="20"/>
                <w:szCs w:val="20"/>
              </w:rPr>
              <w:t xml:space="preserve">1 ago – 14 ago</w:t>
            </w:r>
          </w:p>
        </w:tc>
        <w:tc>
          <w:tcPr>
            <w:tcW w:type="dxa" w:w="1800"/>
          </w:tcPr>
          <w:p>
            <w:pPr>
              <w:spacing w:after="0"/>
            </w:pPr>
            <w:r>
              <w:rPr>
                <w:rFonts w:ascii="Arial" w:cs="Arial" w:eastAsia="Arial" w:hAnsi="Arial"/>
                <w:b w:val="false"/>
                <w:bCs w:val="false"/>
                <w:sz w:val="20"/>
                <w:szCs w:val="20"/>
              </w:rPr>
              <w:t xml:space="preserve">14</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56 h</w:t>
            </w:r>
          </w:p>
        </w:tc>
        <w:tc>
          <w:tcPr>
            <w:tcW w:type="dxa" w:w="1800"/>
          </w:tcPr>
          <w:p>
            <w:pPr>
              <w:spacing w:after="0"/>
            </w:pPr>
            <w:r>
              <w:rPr>
                <w:rFonts w:ascii="Arial" w:cs="Arial" w:eastAsia="Arial" w:hAnsi="Arial"/>
                <w:b w:val="false"/>
                <w:bCs w:val="false"/>
                <w:sz w:val="20"/>
                <w:szCs w:val="20"/>
              </w:rPr>
              <w:t xml:space="preserve">14 entregas, 64 ficheros de resultados, 13.831 líneas</w:t>
            </w:r>
          </w:p>
        </w:tc>
      </w:tr>
      <w:tr>
        <w:tc>
          <w:tcPr>
            <w:tcW w:type="dxa" w:w="1800"/>
          </w:tcPr>
          <w:p>
            <w:pPr>
              <w:spacing w:after="0"/>
            </w:pPr>
            <w:r>
              <w:rPr>
                <w:rFonts w:ascii="Arial" w:cs="Arial" w:eastAsia="Arial" w:hAnsi="Arial"/>
                <w:b w:val="false"/>
                <w:bCs w:val="false"/>
                <w:sz w:val="20"/>
                <w:szCs w:val="20"/>
              </w:rPr>
              <w:t xml:space="preserve">15 ago – 30 ago</w:t>
            </w:r>
          </w:p>
        </w:tc>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141 h</w:t>
            </w:r>
          </w:p>
        </w:tc>
        <w:tc>
          <w:tcPr>
            <w:tcW w:type="dxa" w:w="1800"/>
          </w:tcPr>
          <w:p>
            <w:pPr>
              <w:spacing w:after="0"/>
            </w:pPr>
            <w:r>
              <w:rPr>
                <w:rFonts w:ascii="Arial" w:cs="Arial" w:eastAsia="Arial" w:hAnsi="Arial"/>
                <w:b w:val="false"/>
                <w:bCs w:val="false"/>
                <w:sz w:val="20"/>
                <w:szCs w:val="20"/>
              </w:rPr>
              <w:t xml:space="preserve">Demostrador web, 19 capturas, dataset Sparkov, ajuste QLoRA, comparativa con AirLLM, búsqueda y lectura de la literatura del capítulo 2, y redacción y revisión de los capítulos 4, 5 y 6</w:t>
            </w:r>
          </w:p>
        </w:tc>
      </w:tr>
      <w:tr>
        <w:tc>
          <w:tcPr>
            <w:tcW w:type="dxa" w:w="1800"/>
          </w:tcPr>
          <w:p>
            <w:pPr>
              <w:spacing w:after="0"/>
            </w:pPr>
            <w:r>
              <w:rPr>
                <w:rFonts w:ascii="Arial" w:cs="Arial" w:eastAsia="Arial" w:hAnsi="Arial"/>
                <w:b w:val="false"/>
                <w:bCs w:val="false"/>
                <w:sz w:val="20"/>
                <w:szCs w:val="20"/>
              </w:rPr>
              <w:t xml:space="preserve">1 sep – 10 sep</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Relectura completa de la memoria, capítulos 1 a 4</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**135**</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**312 h**</w:t>
            </w:r>
          </w:p>
        </w:tc>
        <w:tc>
          <w:tcPr>
            <w:tcW w:type="dxa" w:w="1800"/>
          </w:tcPr>
          <w:p>
            <w:pPr>
              <w:spacing w:after="0"/>
            </w:pPr>
            <w:r>
              <w:rPr>
                <w:rFonts w:ascii="Arial" w:cs="Arial" w:eastAsia="Arial" w:hAnsi="Arial"/>
                <w:b w:val="false"/>
                <w:bCs w:val="false"/>
                <w:sz w:val="20"/>
                <w:szCs w:val="20"/>
              </w:rPr>
              <w:t xml:space="preserve">**104 %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Las franjas horarias que registran los ficheros de resultados delimitan las jornadas del tramo de agosto: entre el 2 y el 6 hay actividad desde las 00:57 hasta las 21:31 según el día. En ese periodo se cerró el objetivo específico 4 —incluida una ejecución desatendida de siete horas y cuarenta minutos—, se construyeron dos guiones de experimentación completos, se leyeron cinco trabajos de la literatura y se redactó la memoria.</w:t>
      </w:r>
    </w:p>
    <w:p>
      <w:pPr>
        <w:spacing w:after="160" w:line="360" w:lineRule="auto"/>
        <w:ind w:firstLine="425"/>
        <w:jc w:val="both"/>
      </w:pPr>
      <w:r>
        <w:rPr>
          <w:rFonts w:ascii="Arial" w:cs="Arial" w:eastAsia="Arial" w:hAnsi="Arial"/>
          <w:sz w:val="22"/>
          <w:szCs w:val="22"/>
        </w:rPr>
        <w:t xml:space="preserve">El tramo del 15 al 30 de agosto agrupa trabajo de naturaleza distinta que ocurrió en paralelo durante esas dos semanas: la construcción del demostrador y las 19 capturas, la preparación y el ajuste del dataset Sparkov, el entrenamiento y la evaluación de QLoRA, la comparación con AirLLM, la búsqueda y lectura de los ocho trabajos del capítulo 2, y la redacción y revisión de los capítulos 4, 5 y 6. La evidencia documental (commits del 18, 20, 21, 25 y 26 de agosto; entrenamiento QLoRA de 29,6 horas, con dos apagones del equipo de por medio; ejecución de AirLLM de 2 h 28 min) confirma en qué días hubo trabajo; a diferencia de los tramos anteriores, el cómputo de horas de este tramo no procede de sumar entregas o ficheros de resultados uno a uno, sino del propio autor.</w:t>
      </w:r>
    </w:p>
    <w:p>
      <w:pPr>
        <w:spacing w:after="160" w:line="360" w:lineRule="auto"/>
        <w:ind w:firstLine="425"/>
        <w:jc w:val="both"/>
      </w:pPr>
      <w:r>
        <w:rPr>
          <w:rFonts w:ascii="Arial" w:cs="Arial" w:eastAsia="Arial" w:hAnsi="Arial"/>
          <w:sz w:val="22"/>
          <w:szCs w:val="22"/>
        </w:rPr>
        <w:t xml:space="preserve">El tramo del 1 al 10 de septiembre corresponde a la relectura completa de la memoria, iniciada tras cerrar la redacción del capítulo 5: una revisión de principio a fin en busca de imprecisiones, pasajes que corregir y contenido que ajustar antes de la entrega.</w:t>
      </w:r>
    </w:p>
    <w:p>
      <w:pPr>
        <w:pStyle w:val="Heading3"/>
        <w:spacing w:after="200" w:before="360"/>
      </w:pPr>
      <w:r>
        <w:rPr>
          <w:rFonts w:ascii="Arial" w:cs="Arial" w:eastAsia="Arial" w:hAnsi="Arial"/>
          <w:b/>
          <w:bCs/>
          <w:color w:val="000000"/>
          <w:sz w:val="24"/>
          <w:szCs w:val="24"/>
        </w:rPr>
        <w:t xml:space="preserve">Sobre la desviación</w:t>
      </w:r>
    </w:p>
    <w:p>
      <w:pPr>
        <w:spacing w:after="160" w:line="360" w:lineRule="auto"/>
        <w:ind w:firstLine="425"/>
        <w:jc w:val="both"/>
      </w:pPr>
      <w:r>
        <w:rPr>
          <w:rFonts w:ascii="Arial" w:cs="Arial" w:eastAsia="Arial" w:hAnsi="Arial"/>
          <w:sz w:val="22"/>
          <w:szCs w:val="22"/>
        </w:rPr>
        <w:t xml:space="preserve">El proyecto supera ya la dedicación nominal de 300 h (312 h, 104 %), con la fase experimental y las dos extensiones exploratorias (Sparkov, QLoRA) cerradas y la relectura final en curso. La explicación de que el desarrollo técnico ocupara menos tiempo del previsto sin que el total se resienta está en el capítulo 4: al desaparecer la dependencia del entorno externo, el desarrollo que la planificación inicial situaba en cuatro meses se resolvió en poco más de dos semanas, y ese margen se ha destinado a redactar, revisar y ampliar la memoria más allá de lo previsto. La reorientación, que fue el mayor contratiempo del proyecto, redujo su coste de ejecución sin reducir el esfuerzo total dedicado al trabajo.</w:t>
      </w:r>
    </w:p>
    <w:p>
      <w:pPr>
        <w:spacing w:after="160" w:line="360" w:lineRule="auto"/>
        <w:ind w:firstLine="425"/>
        <w:jc w:val="both"/>
      </w:pPr>
      <w:r>
        <w:rPr>
          <w:rFonts w:ascii="Arial" w:cs="Arial" w:eastAsia="Arial" w:hAnsi="Arial"/>
          <w:sz w:val="22"/>
          <w:szCs w:val="22"/>
        </w:rPr>
        <w:t xml:space="preserve">El esfuerzo restante se destina a terminar la relectura de los capítulos 5 y 6, y a la preparación de la defensa, descritas en 3.7.</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3.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p>
      <w:pPr>
        <w:spacing w:after="160" w:line="360" w:lineRule="auto"/>
        <w:ind w:firstLine="425"/>
        <w:jc w:val="both"/>
      </w:pPr>
      <w:r>
        <w:rPr>
          <w:rFonts w:ascii="Arial" w:cs="Arial" w:eastAsia="Arial" w:hAnsi="Arial"/>
          <w:sz w:val="22"/>
          <w:szCs w:val="22"/>
        </w:rPr>
        <w:t xml:space="preserve">La relectura completa de la memoria, iniciada el 1 de septiembre, ha cubierto ya los capítulos 1 a 4; los capítulos 5 y 6 quedan pendientes. De ella han surgido y seguirán surgiendo dudas y correcciones puntuales de contenido, que se resuelven sobre la marcha y quedan recogidas en el propio texto. Queda además por confirmar si la defensa exige una presentación aparte, que en ese caso se sumaría al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80" w:before="240"/>
        <w:jc w:val="center"/>
      </w:pPr>
      <w:r>
        <w:drawing>
          <wp:inline distT="0" distB="0" distL="0" distR="0">
            <wp:extent cx="5400675" cy="1233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12334875"/>
                    </a:xfrm>
                    <a:prstGeom prst="rect">
                      <a:avLst/>
                    </a:prstGeom>
                  </pic:spPr>
                </pic:pic>
              </a:graphicData>
            </a:graphic>
          </wp:inline>
        </w:drawing>
      </w:r>
    </w:p>
    <w:p>
      <w:pPr>
        <w:spacing w:after="240"/>
        <w:jc w:val="center"/>
      </w:pPr>
      <w:r>
        <w:rPr>
          <w:i/>
          <w:iCs/>
          <w:sz w:val="20"/>
          <w:szCs w:val="20"/>
        </w:rPr>
        <w:t xml:space="preserve">Figura 4. Arquitectura del sistema y recorrido completo de un turno. En azul los componentes deterministas, en rojo los estocásticos y en verde la comprobación automática.</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80" w:before="240"/>
        <w:jc w:val="center"/>
      </w:pPr>
      <w:r>
        <w:drawing>
          <wp:inline distT="0" distB="0" distL="0" distR="0">
            <wp:extent cx="5400675"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7181850"/>
                    </a:xfrm>
                    <a:prstGeom prst="rect">
                      <a:avLst/>
                    </a:prstGeom>
                  </pic:spPr>
                </pic:pic>
              </a:graphicData>
            </a:graphic>
          </wp:inline>
        </w:drawing>
      </w:r>
    </w:p>
    <w:p>
      <w:pPr>
        <w:spacing w:after="240"/>
        <w:jc w:val="center"/>
      </w:pPr>
      <w:r>
        <w:rPr>
          <w:i/>
          <w:iCs/>
          <w:sz w:val="20"/>
          <w:szCs w:val="20"/>
        </w:rPr>
        <w:t xml:space="preserve">Figura 5. Recorrido de un caso individual. El Investigador produce dos salidas, el párrafo explicativo y el veredicto, que alimentan destinos distintos: la sección 5.12 muestra que no se corresponden entre sí.</w:t>
      </w:r>
    </w:p>
    <w:p>
      <w:pPr>
        <w:spacing w:after="80" w:before="240"/>
        <w:jc w:val="center"/>
      </w:pPr>
      <w:r>
        <w:drawing>
          <wp:inline distT="0" distB="0" distL="0" distR="0">
            <wp:extent cx="54006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4419600"/>
                    </a:xfrm>
                    <a:prstGeom prst="rect">
                      <a:avLst/>
                    </a:prstGeom>
                  </pic:spPr>
                </pic:pic>
              </a:graphicData>
            </a:graphic>
          </wp:inline>
        </w:drawing>
      </w:r>
    </w:p>
    <w:p>
      <w:pPr>
        <w:spacing w:after="240"/>
        <w:jc w:val="center"/>
      </w:pPr>
      <w:r>
        <w:rPr>
          <w:i/>
          <w:iCs/>
          <w:sz w:val="20"/>
          <w:szCs w:val="20"/>
        </w:rPr>
        <w:t xml:space="preserve">Figura 6. El caso 55 en el demostrador: a la izquierda, lo que calcula el detector; a la derecha, el dossier literal que recibe el modelo. Probabilidad 0,067, importe 2,22 EUR, y es fraude real.</w:t>
      </w: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7. Distribución de importes por clase sobre el conjunto completo. El escalón vertical del panel izquierdo corresponde a las transacciones de exactamente un euro: un tercio de los fraudes lo son.</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spacing w:after="80" w:before="240"/>
        <w:jc w:val="center"/>
      </w:pPr>
      <w:r>
        <w:drawing>
          <wp:inline distT="0" distB="0" distL="0" distR="0">
            <wp:extent cx="54006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1914525"/>
                    </a:xfrm>
                    <a:prstGeom prst="rect">
                      <a:avLst/>
                    </a:prstGeom>
                  </pic:spPr>
                </pic:pic>
              </a:graphicData>
            </a:graphic>
          </wp:inline>
        </w:drawing>
      </w:r>
    </w:p>
    <w:p>
      <w:pPr>
        <w:spacing w:after="240"/>
        <w:jc w:val="center"/>
      </w:pPr>
      <w:r>
        <w:rPr>
          <w:i/>
          <w:iCs/>
          <w:sz w:val="20"/>
          <w:szCs w:val="20"/>
        </w:rPr>
        <w:t xml:space="preserve">Figura 8. Métricas de los tres detectores en ambas particiones, reimpresas desde el fichero de resultados del entrenamiento.</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spacing w:after="160" w:line="360" w:lineRule="auto"/>
        <w:ind w:firstLine="425"/>
        <w:jc w:val="both"/>
      </w:pPr>
      <w:r>
        <w:rPr>
          <w:rFonts w:ascii="Arial" w:cs="Arial" w:eastAsia="Arial" w:hAnsi="Arial"/>
          <w:b/>
          <w:bCs/>
          <w:sz w:val="22"/>
          <w:szCs w:val="22"/>
        </w:rPr>
        <w:t xml:space="preserve">Conviene precisar qué modelo opera realmente el sistema, porque los tres se entrenan y ninguna sección lo dice de forma explícita hasta ahora: XGBoost, y solo XGBoost.</w:t>
      </w:r>
      <w:r>
        <w:rPr>
          <w:rFonts w:ascii="Arial" w:cs="Arial" w:eastAsia="Arial" w:hAnsi="Arial"/>
          <w:sz w:val="22"/>
          <w:szCs w:val="22"/>
        </w:rPr>
        <w:t xml:space="preserve"> Es el que puntúa cada transacción y el que calcula, mediante Shapley, las contribuciones por variable que se inyectan en el expediente de los agentes. El Isolation Forest se calcula en cada puntuación pero su resultado no llega a la capa 2. Random Forest no se carga en ningún momento del flujo operativo: existe únicamente como término de comparación, aquí y en 5.1, para justificar o matizar con datos la elección de XGBoost, no como una alternativa desplegada.</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spacing w:after="80" w:before="240"/>
        <w:jc w:val="center"/>
      </w:pPr>
      <w:r>
        <w:drawing>
          <wp:inline distT="0" distB="0" distL="0" distR="0">
            <wp:extent cx="54006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2695575"/>
                    </a:xfrm>
                    <a:prstGeom prst="rect">
                      <a:avLst/>
                    </a:prstGeom>
                  </pic:spPr>
                </pic:pic>
              </a:graphicData>
            </a:graphic>
          </wp:inline>
        </w:drawing>
      </w:r>
    </w:p>
    <w:p>
      <w:pPr>
        <w:spacing w:after="240"/>
        <w:jc w:val="center"/>
      </w:pPr>
      <w:r>
        <w:rPr>
          <w:i/>
          <w:iCs/>
          <w:sz w:val="20"/>
          <w:szCs w:val="20"/>
        </w:rPr>
        <w:t xml:space="preserve">Figura 9. Traza de CrewAI durante una ejecución: el Coordinador entrega su resumen del lote y el Analista de datos toma el turno.</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80" w:before="24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4781550"/>
                    </a:xfrm>
                    <a:prstGeom prst="rect">
                      <a:avLst/>
                    </a:prstGeom>
                  </pic:spPr>
                </pic:pic>
              </a:graphicData>
            </a:graphic>
          </wp:inline>
        </w:drawing>
      </w:r>
    </w:p>
    <w:p>
      <w:pPr>
        <w:spacing w:after="240"/>
        <w:jc w:val="center"/>
      </w:pPr>
      <w:r>
        <w:rPr>
          <w:i/>
          <w:iCs/>
          <w:sz w:val="20"/>
          <w:szCs w:val="20"/>
        </w:rPr>
        <w:t xml:space="preserve">Figura 10. Construcción y puntuación del turno de evaluación: 32.791 transacciones y 54 fraudes, de los que el detector eleva 55 casos con 44 fraudes en 268 ms.</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p>
      <w:pPr>
        <w:spacing w:after="160" w:line="360" w:lineRule="auto"/>
        <w:ind w:firstLine="425"/>
        <w:jc w:val="both"/>
      </w:pPr>
      <w:r>
        <w:rPr>
          <w:rFonts w:ascii="Arial" w:cs="Arial" w:eastAsia="Arial" w:hAnsi="Arial"/>
          <w:sz w:val="22"/>
          <w:szCs w:val="22"/>
        </w:rPr>
        <w:t xml:space="preserve">Cada turno se identifica por su </w:t>
      </w:r>
      <w:r>
        <w:rPr>
          <w:rFonts w:ascii="Arial" w:cs="Arial" w:eastAsia="Arial" w:hAnsi="Arial"/>
          <w:b/>
          <w:bCs/>
          <w:sz w:val="22"/>
          <w:szCs w:val="22"/>
        </w:rPr>
        <w:t xml:space="preserve">desplazamiento</w:t>
      </w:r>
      <w:r>
        <w:rPr>
          <w:rFonts w:ascii="Arial" w:cs="Arial" w:eastAsia="Arial" w:hAnsi="Arial"/>
          <w:sz w:val="22"/>
          <w:szCs w:val="22"/>
        </w:rPr>
        <w:t xml:space="preserve"> respecto al inicio del periodo de prueba, no por una hora del día: el turno de 0 h cubre las cuatro primeras horas del periodo, el de 1 h va de la hora 1 a la 5, el de 2 h de la 2 a la 6, y así sucesivamente. Como el periodo de prueba dura menos de ocho horas en total, turnos consecutivos comparten aproximadamente la mitad de sus transacciones.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Desplazamiento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Al solaparse, los cuatro turnos no constituyen muestras independientes entre sí. Es una limitación declarada en el capítulo 6, junto a la relacionada con las repeticiones dentro de cada turno: con temperatura 0,1 son casi idénticas entre sí, de modo que el número de observaciones verdaderamente independientes en las comparativas del capítulo 5 es más cercano a cuatro que al total de ejecuciones.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80" w:before="24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5314950"/>
                    </a:xfrm>
                    <a:prstGeom prst="rect">
                      <a:avLst/>
                    </a:prstGeom>
                  </pic:spPr>
                </pic:pic>
              </a:graphicData>
            </a:graphic>
          </wp:inline>
        </w:drawing>
      </w:r>
    </w:p>
    <w:p>
      <w:pPr>
        <w:spacing w:after="240"/>
        <w:jc w:val="center"/>
      </w:pPr>
      <w:r>
        <w:rPr>
          <w:i/>
          <w:iCs/>
          <w:sz w:val="20"/>
          <w:szCs w:val="20"/>
        </w:rPr>
        <w:t xml:space="preserve">Figura 11. Auditoría de un informe en modo revisa: cobertura del 98 % y aviso de que 21 casos quedaron sin veredicto y conservan la decisión del detector.</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4.7 Demostrador web</w:t>
      </w:r>
    </w:p>
    <w:p>
      <w:pPr>
        <w:spacing w:after="160" w:line="360" w:lineRule="auto"/>
        <w:ind w:firstLine="425"/>
        <w:jc w:val="both"/>
      </w:pPr>
      <w:r>
        <w:rPr>
          <w:rFonts w:ascii="Arial" w:cs="Arial" w:eastAsia="Arial" w:hAnsi="Arial"/>
          <w:sz w:val="22"/>
          <w:szCs w:val="22"/>
        </w:rPr>
        <w:t xml:space="preserve">El sistema se acompaña de una aplicación web local, construida sobre FastAPI, que hace visible lo que los capítulos 5 y 6 miden. No reimplementa nada: invoca las mismas funciones que los guiones de experimentación, de modo que lo que se muestra en pantalla es el sistema y no una maqueta que pudiera divergir de él.</w:t>
      </w:r>
    </w:p>
    <w:p>
      <w:pPr>
        <w:spacing w:after="160" w:line="360" w:lineRule="auto"/>
        <w:ind w:firstLine="425"/>
        <w:jc w:val="both"/>
      </w:pPr>
      <w:r>
        <w:rPr>
          <w:rFonts w:ascii="Arial" w:cs="Arial" w:eastAsia="Arial" w:hAnsi="Arial"/>
          <w:sz w:val="22"/>
          <w:szCs w:val="22"/>
        </w:rPr>
        <w:t xml:space="preserve">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pPr>
        <w:spacing w:after="80" w:before="240"/>
        <w:jc w:val="center"/>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114550"/>
                    </a:xfrm>
                    <a:prstGeom prst="rect">
                      <a:avLst/>
                    </a:prstGeom>
                  </pic:spPr>
                </pic:pic>
              </a:graphicData>
            </a:graphic>
          </wp:inline>
        </w:drawing>
      </w:r>
    </w:p>
    <w:p>
      <w:pPr>
        <w:spacing w:after="240"/>
        <w:jc w:val="center"/>
      </w:pPr>
      <w:r>
        <w:rPr>
          <w:i/>
          <w:iCs/>
          <w:sz w:val="20"/>
          <w:szCs w:val="20"/>
        </w:rPr>
        <w:t xml:space="preserve">Figura 12. Pantalla inicial del demostrador, con los indicadores de entorno y las cuatro etapas del recorrido.</w:t>
      </w:r>
    </w:p>
    <w:p>
      <w:pPr>
        <w:pStyle w:val="Heading3"/>
        <w:spacing w:after="200" w:before="360"/>
      </w:pPr>
      <w:r>
        <w:rPr>
          <w:rFonts w:ascii="Arial" w:cs="Arial" w:eastAsia="Arial" w:hAnsi="Arial"/>
          <w:b/>
          <w:bCs/>
          <w:color w:val="000000"/>
          <w:sz w:val="24"/>
          <w:szCs w:val="24"/>
        </w:rPr>
        <w:t xml:space="preserve">Lo que su construcción enseñó</w:t>
      </w:r>
    </w:p>
    <w:p>
      <w:pPr>
        <w:spacing w:after="160" w:line="360" w:lineRule="auto"/>
        <w:ind w:firstLine="425"/>
        <w:jc w:val="both"/>
      </w:pPr>
      <w:r>
        <w:rPr>
          <w:rFonts w:ascii="Arial" w:cs="Arial" w:eastAsia="Arial" w:hAnsi="Arial"/>
          <w:sz w:val="22"/>
          <w:szCs w:val="22"/>
        </w:rPr>
        <w:t xml:space="preserve">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pPr>
        <w:spacing w:after="160" w:line="360" w:lineRule="auto"/>
        <w:ind w:firstLine="425"/>
        <w:jc w:val="both"/>
      </w:pPr>
      <w:r>
        <w:rPr>
          <w:rFonts w:ascii="Arial" w:cs="Arial" w:eastAsia="Arial" w:hAnsi="Arial"/>
          <w:sz w:val="22"/>
          <w:szCs w:val="22"/>
        </w:rPr>
        <w:t xml:space="preserve">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pPr>
        <w:spacing w:after="160" w:line="360" w:lineRule="auto"/>
        <w:ind w:firstLine="425"/>
        <w:jc w:val="both"/>
      </w:pPr>
      <w:r>
        <w:rPr>
          <w:rFonts w:ascii="Arial" w:cs="Arial" w:eastAsia="Arial" w:hAnsi="Arial"/>
          <w:sz w:val="22"/>
          <w:szCs w:val="22"/>
        </w:rPr>
        <w:t xml:space="preserve">El auditor de informes recibía identificadores reales de transacción cuando el informe cita números de caso, y un informe perfectamente válido aparecía con cobertura nula y cincuenta y cinco citas marcadas como inexistentes.</w:t>
      </w:r>
    </w:p>
    <w:p>
      <w:pPr>
        <w:spacing w:after="160" w:line="360" w:lineRule="auto"/>
        <w:ind w:firstLine="425"/>
        <w:jc w:val="both"/>
      </w:pPr>
      <w:r>
        <w:rPr>
          <w:rFonts w:ascii="Arial" w:cs="Arial" w:eastAsia="Arial" w:hAnsi="Arial"/>
          <w:sz w:val="22"/>
          <w:szCs w:val="22"/>
        </w:rPr>
        <w:t xml:space="preserve">Y una respuesta truncada por el límite de tokens resultaba indistinguible de una respuesta en la que el modelo hubiera omitido el veredicto, hasta que se incorporó la lectura del motivo de parada que el servidor de modelos declara.</w:t>
      </w:r>
    </w:p>
    <w:p>
      <w:pPr>
        <w:spacing w:after="160" w:line="360" w:lineRule="auto"/>
        <w:ind w:firstLine="425"/>
        <w:jc w:val="both"/>
      </w:pPr>
      <w:r>
        <w:rPr>
          <w:rFonts w:ascii="Arial" w:cs="Arial" w:eastAsia="Arial" w:hAnsi="Arial"/>
          <w:sz w:val="22"/>
          <w:szCs w:val="22"/>
        </w:rPr>
        <w:t xml:space="preserve">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pPr>
        <w:pStyle w:val="Heading2"/>
        <w:spacing w:after="200" w:before="360"/>
      </w:pPr>
      <w:r>
        <w:rPr>
          <w:rFonts w:ascii="Arial" w:cs="Arial" w:eastAsia="Arial" w:hAnsi="Arial"/>
          <w:b/>
          <w:bCs/>
          <w:color w:val="000000"/>
          <w:sz w:val="26"/>
          <w:szCs w:val="26"/>
        </w:rPr>
        <w:t xml:space="preserve">4.8 Seguimiento del desarrollo</w:t>
      </w:r>
    </w:p>
    <w:p>
      <w:pPr>
        <w:spacing w:after="80" w:before="240"/>
        <w:jc w:val="center"/>
      </w:pPr>
      <w:r>
        <w:drawing>
          <wp:inline distT="0" distB="0" distL="0" distR="0">
            <wp:extent cx="54006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2762250"/>
                    </a:xfrm>
                    <a:prstGeom prst="rect">
                      <a:avLst/>
                    </a:prstGeom>
                  </pic:spPr>
                </pic:pic>
              </a:graphicData>
            </a:graphic>
          </wp:inline>
        </w:drawing>
      </w:r>
    </w:p>
    <w:p>
      <w:pPr>
        <w:spacing w:after="240"/>
        <w:jc w:val="center"/>
      </w:pPr>
      <w:r>
        <w:rPr>
          <w:i/>
          <w:iCs/>
          <w:sz w:val="20"/>
          <w:szCs w:val="20"/>
        </w:rPr>
        <w:t xml:space="preserve">Figura 13. Historial del repositorio: cada fase del desarrollo corresponde a una entrega trazable.</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spacing w:after="160" w:line="360" w:lineRule="auto"/>
        <w:ind w:firstLine="425"/>
        <w:jc w:val="both"/>
      </w:pPr>
      <w:r>
        <w:rPr>
          <w:rFonts w:ascii="Arial" w:cs="Arial" w:eastAsia="Arial" w:hAnsi="Arial"/>
          <w:sz w:val="22"/>
          <w:szCs w:val="22"/>
        </w:rPr>
        <w:t xml:space="preserve">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pPr>
        <w:spacing w:after="80" w:before="24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2257425"/>
                    </a:xfrm>
                    <a:prstGeom prst="rect">
                      <a:avLst/>
                    </a:prstGeom>
                  </pic:spPr>
                </pic:pic>
              </a:graphicData>
            </a:graphic>
          </wp:inline>
        </w:drawing>
      </w:r>
    </w:p>
    <w:p>
      <w:pPr>
        <w:spacing w:after="240"/>
        <w:jc w:val="center"/>
      </w:pPr>
      <w:r>
        <w:rPr>
          <w:i/>
          <w:iCs/>
          <w:sz w:val="20"/>
          <w:szCs w:val="20"/>
        </w:rPr>
        <w:t xml:space="preserve">Figura 14. Mapa del diseño experimental. La línea base de los experimentos sobre la capa 2 es el detector operando sin ella.</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spacing w:after="80" w:before="240"/>
        <w:jc w:val="center"/>
      </w:pPr>
      <w:r>
        <w:drawing>
          <wp:inline distT="0" distB="0" distL="0" distR="0">
            <wp:extent cx="540067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3819525"/>
                    </a:xfrm>
                    <a:prstGeom prst="rect">
                      <a:avLst/>
                    </a:prstGeom>
                  </pic:spPr>
                </pic:pic>
              </a:graphicData>
            </a:graphic>
          </wp:inline>
        </w:drawing>
      </w:r>
    </w:p>
    <w:p>
      <w:pPr>
        <w:spacing w:after="240"/>
        <w:jc w:val="center"/>
      </w:pPr>
      <w:r>
        <w:rPr>
          <w:i/>
          <w:iCs/>
          <w:sz w:val="20"/>
          <w:szCs w:val="20"/>
        </w:rPr>
        <w:t xml:space="preserve">Figura 15. Curvas de precisión frente a exhaustividad de los tres detectores sobre la partición aleatoria, con la línea base marcada en la prevalencia.</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p>
      <w:pPr>
        <w:spacing w:after="80" w:before="24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2409825"/>
                    </a:xfrm>
                    <a:prstGeom prst="rect">
                      <a:avLst/>
                    </a:prstGeom>
                  </pic:spPr>
                </pic:pic>
              </a:graphicData>
            </a:graphic>
          </wp:inline>
        </w:drawing>
      </w:r>
    </w:p>
    <w:p>
      <w:pPr>
        <w:spacing w:after="240"/>
        <w:jc w:val="center"/>
      </w:pPr>
      <w:r>
        <w:rPr>
          <w:i/>
          <w:iCs/>
          <w:sz w:val="20"/>
          <w:szCs w:val="20"/>
        </w:rPr>
        <w:t xml:space="preserve">Figura 16. Precisión en los N primeros casos y fraude capturado frente al esfuerzo de revisión, con la capacidad del equipo marcada.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17. Fraude destruido por modelo en dieciséis ejecuciones. La dispersión del panel derecho muestra el solapamiento que impide declarar significativa la ordenación.</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spacing w:after="160" w:line="360" w:lineRule="auto"/>
        <w:ind w:firstLine="425"/>
        <w:jc w:val="both"/>
      </w:pPr>
      <w:r>
        <w:rPr>
          <w:rFonts w:ascii="Arial" w:cs="Arial" w:eastAsia="Arial" w:hAnsi="Arial"/>
          <w:sz w:val="22"/>
          <w:szCs w:val="22"/>
        </w:rPr>
        <w:t xml:space="preserve">Conviene adelantar, no obstante, que esa reproducibilidad perfecta </w:t>
      </w:r>
      <w:r>
        <w:rPr>
          <w:rFonts w:ascii="Arial" w:cs="Arial" w:eastAsia="Arial" w:hAnsi="Arial"/>
          <w:b/>
          <w:bCs/>
          <w:sz w:val="22"/>
          <w:szCs w:val="22"/>
        </w:rPr>
        <w:t xml:space="preserve">no resultó ser una propiedad del modelo</w:t>
      </w:r>
      <w:r>
        <w:rPr>
          <w:rFonts w:ascii="Arial" w:cs="Arial" w:eastAsia="Arial" w:hAnsi="Arial"/>
          <w:sz w:val="22"/>
          <w:szCs w:val="22"/>
        </w:rPr>
        <w:t xml:space="preserve">. La ablación del expediente descrita en 5.8 muestra que depende de la información que se le entrega, y desaparece al retirarle la puntuación del detector. La conclusión de esta sección debe leerse, por tanto, junto a aquella.</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80" w:before="240"/>
        <w:jc w:val="center"/>
      </w:pPr>
      <w:r>
        <w:drawing>
          <wp:inline distT="0" distB="0" distL="0" distR="0">
            <wp:extent cx="54006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2305050"/>
                    </a:xfrm>
                    <a:prstGeom prst="rect">
                      <a:avLst/>
                    </a:prstGeom>
                  </pic:spPr>
                </pic:pic>
              </a:graphicData>
            </a:graphic>
          </wp:inline>
        </w:drawing>
      </w:r>
    </w:p>
    <w:p>
      <w:pPr>
        <w:spacing w:after="240"/>
        <w:jc w:val="center"/>
      </w:pPr>
      <w:r>
        <w:rPr>
          <w:i/>
          <w:iCs/>
          <w:sz w:val="20"/>
          <w:szCs w:val="20"/>
        </w:rPr>
        <w:t xml:space="preserve">Figura 18. Efecto del nivel de información del expediente sobre el volumen de descartes, su acierto y la reproducibilidad entre ejecuciones.</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80" w:before="24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2428875"/>
                    </a:xfrm>
                    <a:prstGeom prst="rect">
                      <a:avLst/>
                    </a:prstGeom>
                  </pic:spPr>
                </pic:pic>
              </a:graphicData>
            </a:graphic>
          </wp:inline>
        </w:drawing>
      </w:r>
    </w:p>
    <w:p>
      <w:pPr>
        <w:spacing w:after="240"/>
        <w:jc w:val="center"/>
      </w:pPr>
      <w:r>
        <w:rPr>
          <w:i/>
          <w:iCs/>
          <w:sz w:val="20"/>
          <w:szCs w:val="20"/>
        </w:rPr>
        <w:t xml:space="preserve">Figura 19. Latencia media hasta aparecer en un informe frente al tamaño de ventana, y ocupación de cómputo medida en las ejecuciones registradas.</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80" w:before="240"/>
        <w:jc w:val="center"/>
      </w:pPr>
      <w:r>
        <w:drawing>
          <wp:inline distT="0" distB="0" distL="0" distR="0">
            <wp:extent cx="540067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267075"/>
                    </a:xfrm>
                    <a:prstGeom prst="rect">
                      <a:avLst/>
                    </a:prstGeom>
                  </pic:spPr>
                </pic:pic>
              </a:graphicData>
            </a:graphic>
          </wp:inline>
        </w:drawing>
      </w:r>
    </w:p>
    <w:p>
      <w:pPr>
        <w:spacing w:after="240"/>
        <w:jc w:val="center"/>
      </w:pPr>
      <w:r>
        <w:rPr>
          <w:i/>
          <w:iCs/>
          <w:sz w:val="20"/>
          <w:szCs w:val="20"/>
        </w:rPr>
        <w:t xml:space="preserve">Figura 20. Un fallo silencioso reproducido a voluntad: el modelo de razonamiento agota los 220 tokens pensando y devuelve una respuesta vacía. Sin el aviso, el veredicto ausente sería indistinguible de un dato.</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spacing w:after="80" w:before="240"/>
        <w:jc w:val="center"/>
      </w:pPr>
      <w:r>
        <w:drawing>
          <wp:inline distT="0" distB="0" distL="0" distR="0">
            <wp:extent cx="54006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2657475"/>
                    </a:xfrm>
                    <a:prstGeom prst="rect">
                      <a:avLst/>
                    </a:prstGeom>
                  </pic:spPr>
                </pic:pic>
              </a:graphicData>
            </a:graphic>
          </wp:inline>
        </w:drawing>
      </w:r>
    </w:p>
    <w:p>
      <w:pPr>
        <w:spacing w:after="240"/>
        <w:jc w:val="center"/>
      </w:pPr>
      <w:r>
        <w:rPr>
          <w:i/>
          <w:iCs/>
          <w:sz w:val="20"/>
          <w:szCs w:val="20"/>
        </w:rPr>
        <w:t xml:space="preserve">Figura 21. Ejecución con AirLLM en curso junto a nvidia-smi: memoria de vídeo casi vacía (1,7 de 16 GB) y utilización de GPU de un solo dígito. La consola no imprime nada nuevo hasta que el caso termina —es una única llamada bloqueante de casi dos horas y media—, por lo que se ve la misma traza de carga de capas aunque el proceso ya esté generando; la evidencia es la utilización de nvidia-smi, no el texto de la consola.</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80" w:before="240"/>
        <w:jc w:val="center"/>
      </w:pPr>
      <w:r>
        <w:drawing>
          <wp:inline distT="0" distB="0" distL="0" distR="0">
            <wp:extent cx="54006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00675" cy="3390900"/>
                    </a:xfrm>
                    <a:prstGeom prst="rect">
                      <a:avLst/>
                    </a:prstGeom>
                  </pic:spPr>
                </pic:pic>
              </a:graphicData>
            </a:graphic>
          </wp:inline>
        </w:drawing>
      </w:r>
    </w:p>
    <w:p>
      <w:pPr>
        <w:spacing w:after="240"/>
        <w:jc w:val="center"/>
      </w:pPr>
      <w:r>
        <w:rPr>
          <w:i/>
          <w:iCs/>
          <w:sz w:val="20"/>
          <w:szCs w:val="20"/>
        </w:rPr>
        <w:t xml:space="preserve">Figura 22. Sin la corrección de dominio: el modelo usa el importe bajo como argumento y descarta el fraude 1885.</w:t>
      </w:r>
    </w:p>
    <w:p>
      <w:pPr>
        <w:spacing w:after="80" w:before="240"/>
        <w:jc w:val="center"/>
      </w:pPr>
      <w:r>
        <w:drawing>
          <wp:inline distT="0" distB="0" distL="0" distR="0">
            <wp:extent cx="54006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00675" cy="3438525"/>
                    </a:xfrm>
                    <a:prstGeom prst="rect">
                      <a:avLst/>
                    </a:prstGeom>
                  </pic:spPr>
                </pic:pic>
              </a:graphicData>
            </a:graphic>
          </wp:inline>
        </w:drawing>
      </w:r>
    </w:p>
    <w:p>
      <w:pPr>
        <w:spacing w:after="240"/>
        <w:jc w:val="center"/>
      </w:pPr>
      <w:r>
        <w:rPr>
          <w:i/>
          <w:iCs/>
          <w:sz w:val="20"/>
          <w:szCs w:val="20"/>
        </w:rPr>
        <w:t xml:space="preserve">Figura 23. El resultado central, en vivo: con la corrección de dominio, el párrafo escribe que la transacción «podría ser una prueba inicial antes de realizar cargos más grandes» y el veredicto la descarta. El caso era el fraude 1885.</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2"/>
        <w:spacing w:after="200" w:before="360"/>
      </w:pPr>
      <w:r>
        <w:rPr>
          <w:rFonts w:ascii="Arial" w:cs="Arial" w:eastAsia="Arial" w:hAnsi="Arial"/>
          <w:b/>
          <w:bCs/>
          <w:color w:val="000000"/>
          <w:sz w:val="26"/>
          <w:szCs w:val="26"/>
        </w:rPr>
        <w:t xml:space="preserve">5.13 Extensión exploratoria: un dataset con variables de negocio</w:t>
      </w:r>
    </w:p>
    <w:p>
      <w:pPr>
        <w:spacing w:after="160" w:line="360" w:lineRule="auto"/>
        <w:ind w:firstLine="425"/>
        <w:jc w:val="both"/>
      </w:pPr>
      <w:r>
        <w:rPr>
          <w:rFonts w:ascii="Arial" w:cs="Arial" w:eastAsia="Arial" w:hAnsi="Arial"/>
          <w:sz w:val="22"/>
          <w:szCs w:val="22"/>
        </w:rPr>
        <w:t xml:space="preserve">La sección 5.1 midió el coste de la anonimización del conjunto ULB: retirar las dos únicas variables interpretables, importe y hora, apenas cambia el AUC-PR, de modo que lo único que la capa 2 puede explicar en términos que un humano reconozca es casi irrelevante para la decisión. Esta sección comprueba qué ocurre con un dataset donde eso no es cierto. No sustituye a los experimentos anteriores ni sigue su misma exigencia metodológica: es una exploración con un único modelo, sin búsqueda de hiperparámetros y sin réplicas, pensada para responder una pregunta concreta y no para sustituir las conclusiones del capítulo.</w:t>
      </w:r>
    </w:p>
    <w:p>
      <w:pPr>
        <w:pStyle w:val="Heading3"/>
        <w:spacing w:after="200" w:before="360"/>
      </w:pPr>
      <w:r>
        <w:rPr>
          <w:rFonts w:ascii="Arial" w:cs="Arial" w:eastAsia="Arial" w:hAnsi="Arial"/>
          <w:b/>
          <w:bCs/>
          <w:color w:val="000000"/>
          <w:sz w:val="24"/>
          <w:szCs w:val="24"/>
        </w:rPr>
        <w:t xml:space="preserve">El dataset</w:t>
      </w:r>
    </w:p>
    <w:p>
      <w:pPr>
        <w:spacing w:after="160" w:line="360" w:lineRule="auto"/>
        <w:ind w:firstLine="425"/>
        <w:jc w:val="both"/>
      </w:pPr>
      <w:r>
        <w:rPr>
          <w:rFonts w:ascii="Arial" w:cs="Arial" w:eastAsia="Arial" w:hAnsi="Arial"/>
          <w:sz w:val="22"/>
          <w:szCs w:val="22"/>
        </w:rPr>
        <w:t xml:space="preserve">Se generó con Sparkov, el mismo generador que produjo el conjunto "Credit Card Transactions Fraud Detection Dataset" de Kaggle. Se generó en lugar de descargarlo porque el generador no exige credenciales y permite fijar exactamente el periodo y el número de clientes, cosa que la versión de Kaggle no permite: 1.000 clientes simulados, un año completo (2024), semilla fija para que sea reproducible.</w:t>
      </w:r>
    </w:p>
    <w:p>
      <w:pPr>
        <w:spacing w:after="160" w:line="360" w:lineRule="auto"/>
        <w:ind w:firstLine="425"/>
        <w:jc w:val="both"/>
      </w:pPr>
      <w:r>
        <w:rPr>
          <w:rFonts w:ascii="Arial" w:cs="Arial" w:eastAsia="Arial" w:hAnsi="Arial"/>
          <w:b/>
          <w:bCs/>
          <w:sz w:val="22"/>
          <w:szCs w:val="22"/>
        </w:rPr>
        <w:t xml:space="preserve">Es un dataset simulado, no transacciones reales.</w:t>
      </w:r>
      <w:r>
        <w:rPr>
          <w:rFonts w:ascii="Arial" w:cs="Arial" w:eastAsia="Arial" w:hAnsi="Arial"/>
          <w:sz w:val="22"/>
          <w:szCs w:val="22"/>
        </w:rPr>
        <w:t xml:space="preserve"> Es la limitación que hay que declarar frente al conjunto principal del trabajo, que sí lo es, y el motivo por el que esta sección se trata como exploratoria y no como una réplica del experimento principal sobre otro dominio.</w:t>
      </w:r>
    </w:p>
    <w:p>
      <w:pPr>
        <w:spacing w:after="160" w:line="360" w:lineRule="auto"/>
        <w:ind w:firstLine="425"/>
        <w:jc w:val="both"/>
      </w:pPr>
      <w:r>
        <w:rPr>
          <w:rFonts w:ascii="Arial" w:cs="Arial" w:eastAsia="Arial" w:hAnsi="Arial"/>
          <w:sz w:val="22"/>
          <w:szCs w:val="22"/>
        </w:rPr>
        <w:t xml:space="preserve">A cambio, cada transacción trae comercio, categoría de comercio, coordenadas del domicilio y del comercio, población de la ciudad, profesión y fecha de nacimiento del titular. Se derivaron seis variables de negocio a partir de esos campos: importe, hora del día, día de la semana, edad del titular, distancia en kilómetros entre domicilio y comercio, y población de la ciudad, más la categoría de comercio codificada en catorce indicadores binarios.</w:t>
      </w:r>
    </w:p>
    <w:p>
      <w:pPr>
        <w:spacing w:after="160" w:line="360" w:lineRule="auto"/>
        <w:ind w:firstLine="425"/>
        <w:jc w:val="both"/>
      </w:pPr>
      <w:r>
        <w:rPr>
          <w:rFonts w:ascii="Arial" w:cs="Arial" w:eastAsia="Arial" w:hAnsi="Arial"/>
          <w:sz w:val="22"/>
          <w:szCs w:val="22"/>
        </w:rPr>
        <w:t xml:space="preserve">El periodo de un año, frente a las cuarenta y ocho horas del conjunto ULB, permite además una partición temporal con volumen real: entrenamiento con los primeros diez meses y prueba con los últimos dos, en lugar de las últimas horas de un periodo de dos días.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
            </w:r>
          </w:p>
        </w:tc>
        <w:tc>
          <w:tcPr>
            <w:tcW w:type="dxa" w:w="2250"/>
            <w:shd w:fill="D9D9D9" w:val="clear"/>
          </w:tcPr>
          <w:p>
            <w:pPr>
              <w:spacing w:after="0"/>
            </w:pPr>
            <w:r>
              <w:rPr>
                <w:rFonts w:ascii="Arial" w:cs="Arial" w:eastAsia="Arial" w:hAnsi="Arial"/>
                <w:b/>
                <w:bCs/>
                <w:sz w:val="20"/>
                <w:szCs w:val="20"/>
              </w:rPr>
              <w:t xml:space="preserve">Filas</w:t>
            </w:r>
          </w:p>
        </w:tc>
        <w:tc>
          <w:tcPr>
            <w:tcW w:type="dxa" w:w="2250"/>
            <w:shd w:fill="D9D9D9" w:val="clear"/>
          </w:tcPr>
          <w:p>
            <w:pPr>
              <w:spacing w:after="0"/>
            </w:pPr>
            <w:r>
              <w:rPr>
                <w:rFonts w:ascii="Arial" w:cs="Arial" w:eastAsia="Arial" w:hAnsi="Arial"/>
                <w:b/>
                <w:bCs/>
                <w:sz w:val="20"/>
                <w:szCs w:val="20"/>
              </w:rPr>
              <w:t xml:space="preserve">Fraude</w:t>
            </w:r>
          </w:p>
        </w:tc>
        <w:tc>
          <w:tcPr>
            <w:tcW w:type="dxa" w:w="2250"/>
            <w:shd w:fill="D9D9D9" w:val="clear"/>
          </w:tcPr>
          <w:p>
            <w:pPr>
              <w:spacing w:after="0"/>
            </w:pPr>
            <w:r>
              <w:rPr>
                <w:rFonts w:ascii="Arial" w:cs="Arial" w:eastAsia="Arial" w:hAnsi="Arial"/>
                <w:b/>
                <w:bCs/>
                <w:sz w:val="20"/>
                <w:szCs w:val="20"/>
              </w:rPr>
              <w:t xml:space="preserve">Prevalencia</w:t>
            </w:r>
          </w:p>
        </w:tc>
      </w:tr>
      <w:tr>
        <w:tc>
          <w:tcPr>
            <w:tcW w:type="dxa" w:w="2250"/>
          </w:tcPr>
          <w:p>
            <w:pPr>
              <w:spacing w:after="0"/>
            </w:pPr>
            <w:r>
              <w:rPr>
                <w:rFonts w:ascii="Arial" w:cs="Arial" w:eastAsia="Arial" w:hAnsi="Arial"/>
                <w:b w:val="false"/>
                <w:bCs w:val="false"/>
                <w:sz w:val="20"/>
                <w:szCs w:val="20"/>
              </w:rPr>
              <w:t xml:space="preserve">Entrenamiento</w:t>
            </w:r>
          </w:p>
        </w:tc>
        <w:tc>
          <w:tcPr>
            <w:tcW w:type="dxa" w:w="2250"/>
          </w:tcPr>
          <w:p>
            <w:pPr>
              <w:spacing w:after="0"/>
            </w:pPr>
            <w:r>
              <w:rPr>
                <w:rFonts w:ascii="Arial" w:cs="Arial" w:eastAsia="Arial" w:hAnsi="Arial"/>
                <w:b w:val="false"/>
                <w:bCs w:val="false"/>
                <w:sz w:val="20"/>
                <w:szCs w:val="20"/>
              </w:rPr>
              <w:t xml:space="preserve">653.869</w:t>
            </w:r>
          </w:p>
        </w:tc>
        <w:tc>
          <w:tcPr>
            <w:tcW w:type="dxa" w:w="2250"/>
          </w:tcPr>
          <w:p>
            <w:pPr>
              <w:spacing w:after="0"/>
            </w:pPr>
            <w:r>
              <w:rPr>
                <w:rFonts w:ascii="Arial" w:cs="Arial" w:eastAsia="Arial" w:hAnsi="Arial"/>
                <w:b w:val="false"/>
                <w:bCs w:val="false"/>
                <w:sz w:val="20"/>
                <w:szCs w:val="20"/>
              </w:rPr>
              <w:t xml:space="preserve">8.161</w:t>
            </w:r>
          </w:p>
        </w:tc>
        <w:tc>
          <w:tcPr>
            <w:tcW w:type="dxa" w:w="2250"/>
          </w:tcPr>
          <w:p>
            <w:pPr>
              <w:spacing w:after="0"/>
            </w:pPr>
            <w:r>
              <w:rPr>
                <w:rFonts w:ascii="Arial" w:cs="Arial" w:eastAsia="Arial" w:hAnsi="Arial"/>
                <w:b w:val="false"/>
                <w:bCs w:val="false"/>
                <w:sz w:val="20"/>
                <w:szCs w:val="20"/>
              </w:rPr>
              <w:t xml:space="preserve">1,248 %</w:t>
            </w:r>
          </w:p>
        </w:tc>
      </w:tr>
      <w:tr>
        <w:tc>
          <w:tcPr>
            <w:tcW w:type="dxa" w:w="2250"/>
          </w:tcPr>
          <w:p>
            <w:pPr>
              <w:spacing w:after="0"/>
            </w:pPr>
            <w:r>
              <w:rPr>
                <w:rFonts w:ascii="Arial" w:cs="Arial" w:eastAsia="Arial" w:hAnsi="Arial"/>
                <w:b w:val="false"/>
                <w:bCs w:val="false"/>
                <w:sz w:val="20"/>
                <w:szCs w:val="20"/>
              </w:rPr>
              <w:t xml:space="preserve">Prueba</w:t>
            </w:r>
          </w:p>
        </w:tc>
        <w:tc>
          <w:tcPr>
            <w:tcW w:type="dxa" w:w="2250"/>
          </w:tcPr>
          <w:p>
            <w:pPr>
              <w:spacing w:after="0"/>
            </w:pPr>
            <w:r>
              <w:rPr>
                <w:rFonts w:ascii="Arial" w:cs="Arial" w:eastAsia="Arial" w:hAnsi="Arial"/>
                <w:b w:val="false"/>
                <w:bCs w:val="false"/>
                <w:sz w:val="20"/>
                <w:szCs w:val="20"/>
              </w:rPr>
              <w:t xml:space="preserve">192.881</w:t>
            </w:r>
          </w:p>
        </w:tc>
        <w:tc>
          <w:tcPr>
            <w:tcW w:type="dxa" w:w="2250"/>
          </w:tcPr>
          <w:p>
            <w:pPr>
              <w:spacing w:after="0"/>
            </w:pPr>
            <w:r>
              <w:rPr>
                <w:rFonts w:ascii="Arial" w:cs="Arial" w:eastAsia="Arial" w:hAnsi="Arial"/>
                <w:b w:val="false"/>
                <w:bCs w:val="false"/>
                <w:sz w:val="20"/>
                <w:szCs w:val="20"/>
              </w:rPr>
              <w:t xml:space="preserve">1.321</w:t>
            </w:r>
          </w:p>
        </w:tc>
        <w:tc>
          <w:tcPr>
            <w:tcW w:type="dxa" w:w="2250"/>
          </w:tcPr>
          <w:p>
            <w:pPr>
              <w:spacing w:after="0"/>
            </w:pPr>
            <w:r>
              <w:rPr>
                <w:rFonts w:ascii="Arial" w:cs="Arial" w:eastAsia="Arial" w:hAnsi="Arial"/>
                <w:b w:val="false"/>
                <w:bCs w:val="false"/>
                <w:sz w:val="20"/>
                <w:szCs w:val="20"/>
              </w:rPr>
              <w:t xml:space="preserve">0,685 %</w:t>
            </w:r>
          </w:p>
        </w:tc>
      </w:tr>
    </w:tbl>
    <w:p>
      <w:pPr>
        <w:spacing w:after="160"/>
      </w:pPr>
    </w:p>
    <w:p>
      <w:pPr>
        <w:pStyle w:val="Heading3"/>
        <w:spacing w:after="200" w:before="360"/>
      </w:pPr>
      <w:r>
        <w:rPr>
          <w:rFonts w:ascii="Arial" w:cs="Arial" w:eastAsia="Arial" w:hAnsi="Arial"/>
          <w:b/>
          <w:bCs/>
          <w:color w:val="000000"/>
          <w:sz w:val="24"/>
          <w:szCs w:val="24"/>
        </w:rPr>
        <w:t xml:space="preserve">El detector</w:t>
      </w:r>
    </w:p>
    <w:p>
      <w:pPr>
        <w:spacing w:after="160" w:line="360" w:lineRule="auto"/>
        <w:ind w:firstLine="425"/>
        <w:jc w:val="both"/>
      </w:pPr>
      <w:r>
        <w:rPr>
          <w:rFonts w:ascii="Arial" w:cs="Arial" w:eastAsia="Arial" w:hAnsi="Arial"/>
          <w:sz w:val="22"/>
          <w:szCs w:val="22"/>
        </w:rPr>
        <w:t xml:space="preserve">Se entrenó únicamente XGBoost, con la misma ponderación por gradiente que el sistema principal, sin ninguna búsqueda de hiperparámetros.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ROC-AUC</w:t>
            </w:r>
          </w:p>
        </w:tc>
        <w:tc>
          <w:tcPr>
            <w:tcW w:type="dxa" w:w="1800"/>
            <w:shd w:fill="D9D9D9" w:val="clear"/>
          </w:tcPr>
          <w:p>
            <w:pPr>
              <w:spacing w:after="0"/>
            </w:pPr>
            <w:r>
              <w:rPr>
                <w:rFonts w:ascii="Arial" w:cs="Arial" w:eastAsia="Arial" w:hAnsi="Arial"/>
                <w:b/>
                <w:bCs/>
                <w:sz w:val="20"/>
                <w:szCs w:val="20"/>
              </w:rPr>
              <w:t xml:space="preserve">P@50</w:t>
            </w:r>
          </w:p>
        </w:tc>
        <w:tc>
          <w:tcPr>
            <w:tcW w:type="dxa" w:w="1800"/>
            <w:shd w:fill="D9D9D9" w:val="clear"/>
          </w:tcPr>
          <w:p>
            <w:pPr>
              <w:spacing w:after="0"/>
            </w:pPr>
            <w:r>
              <w:rPr>
                <w:rFonts w:ascii="Arial" w:cs="Arial" w:eastAsia="Arial" w:hAnsi="Arial"/>
                <w:b/>
                <w:bCs/>
                <w:sz w:val="20"/>
                <w:szCs w:val="20"/>
              </w:rPr>
              <w:t xml:space="preserve">P@100</w:t>
            </w:r>
          </w:p>
        </w:tc>
        <w:tc>
          <w:tcPr>
            <w:tcW w:type="dxa" w:w="1800"/>
            <w:shd w:fill="D9D9D9" w:val="clear"/>
          </w:tcPr>
          <w:p>
            <w:pPr>
              <w:spacing w:after="0"/>
            </w:pPr>
            <w:r>
              <w:rPr>
                <w:rFonts w:ascii="Arial" w:cs="Arial" w:eastAsia="Arial" w:hAnsi="Arial"/>
                <w:b/>
                <w:bCs/>
                <w:sz w:val="20"/>
                <w:szCs w:val="20"/>
              </w:rPr>
              <w:t xml:space="preserve">P@200</w:t>
            </w:r>
          </w:p>
        </w:tc>
      </w:tr>
      <w:tr>
        <w:tc>
          <w:tcPr>
            <w:tcW w:type="dxa" w:w="1800"/>
          </w:tcPr>
          <w:p>
            <w:pPr>
              <w:spacing w:after="0"/>
            </w:pPr>
            <w:r>
              <w:rPr>
                <w:rFonts w:ascii="Arial" w:cs="Arial" w:eastAsia="Arial" w:hAnsi="Arial"/>
                <w:b w:val="false"/>
                <w:bCs w:val="false"/>
                <w:sz w:val="20"/>
                <w:szCs w:val="20"/>
              </w:rPr>
              <w:t xml:space="preserve">0,078</w:t>
            </w:r>
          </w:p>
        </w:tc>
        <w:tc>
          <w:tcPr>
            <w:tcW w:type="dxa" w:w="1800"/>
          </w:tcPr>
          <w:p>
            <w:pPr>
              <w:spacing w:after="0"/>
            </w:pPr>
            <w:r>
              <w:rPr>
                <w:rFonts w:ascii="Arial" w:cs="Arial" w:eastAsia="Arial" w:hAnsi="Arial"/>
                <w:b w:val="false"/>
                <w:bCs w:val="false"/>
                <w:sz w:val="20"/>
                <w:szCs w:val="20"/>
              </w:rPr>
              <w:t xml:space="preserve">0,723</w:t>
            </w:r>
          </w:p>
        </w:tc>
        <w:tc>
          <w:tcPr>
            <w:tcW w:type="dxa" w:w="1800"/>
          </w:tcPr>
          <w:p>
            <w:pPr>
              <w:spacing w:after="0"/>
            </w:pPr>
            <w:r>
              <w:rPr>
                <w:rFonts w:ascii="Arial" w:cs="Arial" w:eastAsia="Arial" w:hAnsi="Arial"/>
                <w:b w:val="false"/>
                <w:bCs w:val="false"/>
                <w:sz w:val="20"/>
                <w:szCs w:val="20"/>
              </w:rPr>
              <w:t xml:space="preserve">0,420</w:t>
            </w:r>
          </w:p>
        </w:tc>
        <w:tc>
          <w:tcPr>
            <w:tcW w:type="dxa" w:w="1800"/>
          </w:tcPr>
          <w:p>
            <w:pPr>
              <w:spacing w:after="0"/>
            </w:pPr>
            <w:r>
              <w:rPr>
                <w:rFonts w:ascii="Arial" w:cs="Arial" w:eastAsia="Arial" w:hAnsi="Arial"/>
                <w:b w:val="false"/>
                <w:bCs w:val="false"/>
                <w:sz w:val="20"/>
                <w:szCs w:val="20"/>
              </w:rPr>
              <w:t xml:space="preserve">0,400</w:t>
            </w:r>
          </w:p>
        </w:tc>
        <w:tc>
          <w:tcPr>
            <w:tcW w:type="dxa" w:w="1800"/>
          </w:tcPr>
          <w:p>
            <w:pPr>
              <w:spacing w:after="0"/>
            </w:pPr>
            <w:r>
              <w:rPr>
                <w:rFonts w:ascii="Arial" w:cs="Arial" w:eastAsia="Arial" w:hAnsi="Arial"/>
                <w:b w:val="false"/>
                <w:bCs w:val="false"/>
                <w:sz w:val="20"/>
                <w:szCs w:val="20"/>
              </w:rPr>
              <w:t xml:space="preserve">0,345</w:t>
            </w:r>
          </w:p>
        </w:tc>
      </w:tr>
    </w:tbl>
    <w:p>
      <w:pPr>
        <w:spacing w:after="160"/>
      </w:pPr>
    </w:p>
    <w:p>
      <w:pPr>
        <w:spacing w:after="160" w:line="360" w:lineRule="auto"/>
        <w:ind w:firstLine="425"/>
        <w:jc w:val="both"/>
      </w:pPr>
      <w:r>
        <w:rPr>
          <w:rFonts w:ascii="Arial" w:cs="Arial" w:eastAsia="Arial" w:hAnsi="Arial"/>
          <w:sz w:val="22"/>
          <w:szCs w:val="22"/>
        </w:rPr>
        <w:t xml:space="preserve">Las cifras no son comparables en crudo con las del conjunto ULB, y no deben leerse como que este problema sea inherentemente más difícil: el detector ULB pasó por una búsqueda de hiperparámetros completa (fase 7) y este no ha pasado por ninguna. Lo que sí es legítimo leer es la parte alta del ranking, que es la que opera un equipo real: entre los cincuenta casos de mayor puntuación, un 42 % son fraude auténtico, frente a una prevalencia del 0,685 % en la prueba. Es una señal real, sesenta y una veces por encima del azar, aunque muy por debajo del 0,98 del sistema principal en el mismo punto de operación.</w:t>
      </w:r>
    </w:p>
    <w:p>
      <w:pPr>
        <w:spacing w:after="160" w:line="360" w:lineRule="auto"/>
        <w:ind w:firstLine="425"/>
        <w:jc w:val="both"/>
      </w:pPr>
      <w:r>
        <w:rPr>
          <w:rFonts w:ascii="Arial" w:cs="Arial" w:eastAsia="Arial" w:hAnsi="Arial"/>
          <w:sz w:val="22"/>
          <w:szCs w:val="22"/>
        </w:rPr>
        <w:t xml:space="preserve">Conviene precisar que las métricas con umbral fijo en 0,5 —una precisión de 0,009 pese a un recall de 0,948— no son informativas aquí: la ponderación de la clase minoritaria empuja la mayoría de las probabilidades hacia arriba, igual que ocurre en el sistema principal, donde por eso el punto de operación se fija por P@N y no por un umbral de probabilidad fijo (4.5 y 5.2).</w:t>
      </w:r>
    </w:p>
    <w:p>
      <w:pPr>
        <w:pStyle w:val="Heading3"/>
        <w:spacing w:after="200" w:before="360"/>
      </w:pPr>
      <w:r>
        <w:rPr>
          <w:rFonts w:ascii="Arial" w:cs="Arial" w:eastAsia="Arial" w:hAnsi="Arial"/>
          <w:b/>
          <w:bCs/>
          <w:color w:val="000000"/>
          <w:sz w:val="24"/>
          <w:szCs w:val="24"/>
        </w:rPr>
        <w:t xml:space="preserve">Lo que cambia: las contribuciones son de negocio</w:t>
      </w:r>
    </w:p>
    <w:p>
      <w:pPr>
        <w:spacing w:after="160" w:line="360" w:lineRule="auto"/>
        <w:ind w:firstLine="425"/>
        <w:jc w:val="both"/>
      </w:pPr>
      <w:r>
        <w:rPr>
          <w:rFonts w:ascii="Arial" w:cs="Arial" w:eastAsia="Arial" w:hAnsi="Arial"/>
          <w:sz w:val="22"/>
          <w:szCs w:val="22"/>
        </w:rPr>
        <w:t xml:space="preserve">Es el resultado que motiva la sección. Las contribuciones de Shapley sobre los casos de fraude mejor puntuados citan variables que un analista reconoce sin traducción. Un ejemplo, el comercio "Kozey-Kuhlman", categoría cuidado personal, 744,54 USD, a 109,7 km del domicilio del titular, probabilidad 1,0000: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Variable</w:t>
            </w:r>
          </w:p>
        </w:tc>
        <w:tc>
          <w:tcPr>
            <w:tcW w:type="dxa" w:w="4500"/>
            <w:shd w:fill="D9D9D9" w:val="clear"/>
          </w:tcPr>
          <w:p>
            <w:pPr>
              <w:spacing w:after="0"/>
            </w:pPr>
            <w:r>
              <w:rPr>
                <w:rFonts w:ascii="Arial" w:cs="Arial" w:eastAsia="Arial" w:hAnsi="Arial"/>
                <w:b/>
                <w:bCs/>
                <w:sz w:val="20"/>
                <w:szCs w:val="20"/>
              </w:rPr>
              <w:t xml:space="preserve">Aporte</w:t>
            </w:r>
          </w:p>
        </w:tc>
      </w:tr>
      <w:tr>
        <w:tc>
          <w:tcPr>
            <w:tcW w:type="dxa" w:w="4500"/>
          </w:tcPr>
          <w:p>
            <w:pPr>
              <w:spacing w:after="0"/>
            </w:pPr>
            <w:r>
              <w:rPr>
                <w:rFonts w:ascii="Arial" w:cs="Arial" w:eastAsia="Arial" w:hAnsi="Arial"/>
                <w:b w:val="false"/>
                <w:bCs w:val="false"/>
                <w:sz w:val="20"/>
                <w:szCs w:val="20"/>
              </w:rPr>
              <w:t xml:space="preserve">categoria_personal_care</w:t>
            </w:r>
          </w:p>
        </w:tc>
        <w:tc>
          <w:tcPr>
            <w:tcW w:type="dxa" w:w="4500"/>
          </w:tcPr>
          <w:p>
            <w:pPr>
              <w:spacing w:after="0"/>
            </w:pPr>
            <w:r>
              <w:rPr>
                <w:rFonts w:ascii="Arial" w:cs="Arial" w:eastAsia="Arial" w:hAnsi="Arial"/>
                <w:b w:val="false"/>
                <w:bCs w:val="false"/>
                <w:sz w:val="20"/>
                <w:szCs w:val="20"/>
              </w:rPr>
              <w:t xml:space="preserve">+5,109</w:t>
            </w:r>
          </w:p>
        </w:tc>
      </w:tr>
      <w:tr>
        <w:tc>
          <w:tcPr>
            <w:tcW w:type="dxa" w:w="4500"/>
          </w:tcPr>
          <w:p>
            <w:pPr>
              <w:spacing w:after="0"/>
            </w:pPr>
            <w:r>
              <w:rPr>
                <w:rFonts w:ascii="Arial" w:cs="Arial" w:eastAsia="Arial" w:hAnsi="Arial"/>
                <w:b w:val="false"/>
                <w:bCs w:val="false"/>
                <w:sz w:val="20"/>
                <w:szCs w:val="20"/>
              </w:rPr>
              <w:t xml:space="preserve">hora</w:t>
            </w:r>
          </w:p>
        </w:tc>
        <w:tc>
          <w:tcPr>
            <w:tcW w:type="dxa" w:w="4500"/>
          </w:tcPr>
          <w:p>
            <w:pPr>
              <w:spacing w:after="0"/>
            </w:pPr>
            <w:r>
              <w:rPr>
                <w:rFonts w:ascii="Arial" w:cs="Arial" w:eastAsia="Arial" w:hAnsi="Arial"/>
                <w:b w:val="false"/>
                <w:bCs w:val="false"/>
                <w:sz w:val="20"/>
                <w:szCs w:val="20"/>
              </w:rPr>
              <w:t xml:space="preserve">+3,606</w:t>
            </w:r>
          </w:p>
        </w:tc>
      </w:tr>
      <w:tr>
        <w:tc>
          <w:tcPr>
            <w:tcW w:type="dxa" w:w="4500"/>
          </w:tcPr>
          <w:p>
            <w:pPr>
              <w:spacing w:after="0"/>
            </w:pPr>
            <w:r>
              <w:rPr>
                <w:rFonts w:ascii="Arial" w:cs="Arial" w:eastAsia="Arial" w:hAnsi="Arial"/>
                <w:b w:val="false"/>
                <w:bCs w:val="false"/>
                <w:sz w:val="20"/>
                <w:szCs w:val="20"/>
              </w:rPr>
              <w:t xml:space="preserve">importe</w:t>
            </w:r>
          </w:p>
        </w:tc>
        <w:tc>
          <w:tcPr>
            <w:tcW w:type="dxa" w:w="4500"/>
          </w:tcPr>
          <w:p>
            <w:pPr>
              <w:spacing w:after="0"/>
            </w:pPr>
            <w:r>
              <w:rPr>
                <w:rFonts w:ascii="Arial" w:cs="Arial" w:eastAsia="Arial" w:hAnsi="Arial"/>
                <w:b w:val="false"/>
                <w:bCs w:val="false"/>
                <w:sz w:val="20"/>
                <w:szCs w:val="20"/>
              </w:rPr>
              <w:t xml:space="preserve">+3,285</w:t>
            </w:r>
          </w:p>
        </w:tc>
      </w:tr>
      <w:tr>
        <w:tc>
          <w:tcPr>
            <w:tcW w:type="dxa" w:w="4500"/>
          </w:tcPr>
          <w:p>
            <w:pPr>
              <w:spacing w:after="0"/>
            </w:pPr>
            <w:r>
              <w:rPr>
                <w:rFonts w:ascii="Arial" w:cs="Arial" w:eastAsia="Arial" w:hAnsi="Arial"/>
                <w:b w:val="false"/>
                <w:bCs w:val="false"/>
                <w:sz w:val="20"/>
                <w:szCs w:val="20"/>
              </w:rPr>
              <w:t xml:space="preserve">edad</w:t>
            </w:r>
          </w:p>
        </w:tc>
        <w:tc>
          <w:tcPr>
            <w:tcW w:type="dxa" w:w="4500"/>
          </w:tcPr>
          <w:p>
            <w:pPr>
              <w:spacing w:after="0"/>
            </w:pPr>
            <w:r>
              <w:rPr>
                <w:rFonts w:ascii="Arial" w:cs="Arial" w:eastAsia="Arial" w:hAnsi="Arial"/>
                <w:b w:val="false"/>
                <w:bCs w:val="false"/>
                <w:sz w:val="20"/>
                <w:szCs w:val="20"/>
              </w:rPr>
              <w:t xml:space="preserve">+1,247</w:t>
            </w:r>
          </w:p>
        </w:tc>
      </w:tr>
      <w:tr>
        <w:tc>
          <w:tcPr>
            <w:tcW w:type="dxa" w:w="4500"/>
          </w:tcPr>
          <w:p>
            <w:pPr>
              <w:spacing w:after="0"/>
            </w:pPr>
            <w:r>
              <w:rPr>
                <w:rFonts w:ascii="Arial" w:cs="Arial" w:eastAsia="Arial" w:hAnsi="Arial"/>
                <w:b w:val="false"/>
                <w:bCs w:val="false"/>
                <w:sz w:val="20"/>
                <w:szCs w:val="20"/>
              </w:rPr>
              <w:t xml:space="preserve">categoria_home</w:t>
            </w:r>
          </w:p>
        </w:tc>
        <w:tc>
          <w:tcPr>
            <w:tcW w:type="dxa" w:w="4500"/>
          </w:tcPr>
          <w:p>
            <w:pPr>
              <w:spacing w:after="0"/>
            </w:pPr>
            <w:r>
              <w:rPr>
                <w:rFonts w:ascii="Arial" w:cs="Arial" w:eastAsia="Arial" w:hAnsi="Arial"/>
                <w:b w:val="false"/>
                <w:bCs w:val="false"/>
                <w:sz w:val="20"/>
                <w:szCs w:val="20"/>
              </w:rPr>
              <w:t xml:space="preserve">+0,365</w:t>
            </w:r>
          </w:p>
        </w:tc>
      </w:tr>
      <w:tr>
        <w:tc>
          <w:tcPr>
            <w:tcW w:type="dxa" w:w="4500"/>
          </w:tcPr>
          <w:p>
            <w:pPr>
              <w:spacing w:after="0"/>
            </w:pPr>
            <w:r>
              <w:rPr>
                <w:rFonts w:ascii="Arial" w:cs="Arial" w:eastAsia="Arial" w:hAnsi="Arial"/>
                <w:b w:val="false"/>
                <w:bCs w:val="false"/>
                <w:sz w:val="20"/>
                <w:szCs w:val="20"/>
              </w:rPr>
              <w:t xml:space="preserve">dia_semana</w:t>
            </w:r>
          </w:p>
        </w:tc>
        <w:tc>
          <w:tcPr>
            <w:tcW w:type="dxa" w:w="4500"/>
          </w:tcPr>
          <w:p>
            <w:pPr>
              <w:spacing w:after="0"/>
            </w:pPr>
            <w:r>
              <w:rPr>
                <w:rFonts w:ascii="Arial" w:cs="Arial" w:eastAsia="Arial" w:hAnsi="Arial"/>
                <w:b w:val="false"/>
                <w:bCs w:val="false"/>
                <w:sz w:val="20"/>
                <w:szCs w:val="20"/>
              </w:rPr>
              <w:t xml:space="preserve">+0,282</w:t>
            </w:r>
          </w:p>
        </w:tc>
      </w:tr>
    </w:tbl>
    <w:p>
      <w:pPr>
        <w:spacing w:after="160"/>
      </w:pPr>
    </w:p>
    <w:p>
      <w:pPr>
        <w:spacing w:after="160" w:line="360" w:lineRule="auto"/>
        <w:ind w:firstLine="425"/>
        <w:jc w:val="both"/>
      </w:pPr>
      <w:r>
        <w:rPr>
          <w:rFonts w:ascii="Arial" w:cs="Arial" w:eastAsia="Arial" w:hAnsi="Arial"/>
          <w:sz w:val="22"/>
          <w:szCs w:val="22"/>
        </w:rPr>
        <w:t xml:space="preserve">Frente al expediente del sistema principal, donde la variable de mayor aporte es una componente anonimizada como V14, aquí la explicación es directamente "la categoría de comercio, la hora del día y el importe son atípicos para este titular". Es exactamente la explicación que 4.2.1 declaraba imposible sobre el conjunto ULB.</w:t>
      </w:r>
    </w:p>
    <w:p>
      <w:pPr>
        <w:pStyle w:val="Heading3"/>
        <w:spacing w:after="200" w:before="360"/>
      </w:pPr>
      <w:r>
        <w:rPr>
          <w:rFonts w:ascii="Arial" w:cs="Arial" w:eastAsia="Arial" w:hAnsi="Arial"/>
          <w:b/>
          <w:bCs/>
          <w:color w:val="000000"/>
          <w:sz w:val="24"/>
          <w:szCs w:val="24"/>
        </w:rPr>
        <w:t xml:space="preserve">Prueba con el Investigador</w:t>
      </w:r>
    </w:p>
    <w:p>
      <w:pPr>
        <w:spacing w:after="160" w:line="360" w:lineRule="auto"/>
        <w:ind w:firstLine="425"/>
        <w:jc w:val="both"/>
      </w:pPr>
      <w:r>
        <w:rPr>
          <w:rFonts w:ascii="Arial" w:cs="Arial" w:eastAsia="Arial" w:hAnsi="Arial"/>
          <w:sz w:val="22"/>
          <w:szCs w:val="22"/>
        </w:rPr>
        <w:t xml:space="preserve">Se ejecutó qwen2.5-14b, el mismo modelo de 5.11 y 5.12, sobre los cinco casos de fraude de mayor puntuación, con el prompt exacto del arnés adaptado al expediente de negocio. Los cinco se confirman correctamente.</w:t>
      </w:r>
    </w:p>
    <w:p>
      <w:pPr>
        <w:spacing w:after="160" w:line="360" w:lineRule="auto"/>
        <w:ind w:firstLine="425"/>
        <w:jc w:val="both"/>
      </w:pPr>
      <w:r>
        <w:rPr>
          <w:rFonts w:ascii="Arial" w:cs="Arial" w:eastAsia="Arial" w:hAnsi="Arial"/>
          <w:sz w:val="22"/>
          <w:szCs w:val="22"/>
        </w:rPr>
        <w:t xml:space="preserve">Lo relevante no es el veredicto —con probabilidad 1,0000 en los cinco, confirmarlos no exige discriminar nada difícil— sino la prosa. Sobre el caso de Medhurst, Cartwright and Ebert, un cargo de 902,19 USD en la categoría de cuidado personal, el modelo escribe que el importe es alto para ese tipo de establecimiento, que la operación ocurre a las 22:00 h, y que el titular, de 85 años, vive a 120,7 km del comercio, lo que "dificulta la verosimilitud de la transacción". Sobre el caso de Mosciski Group, un cargo de viaje de 866,48 USD, sopesa explícitamente la distancia y la baja población de la ciudad del titular como atenuantes frente al importe y la categoría, y concluye que estos últimos "superan estas posibles anomalías geográficas".</w:t>
      </w:r>
    </w:p>
    <w:p>
      <w:pPr>
        <w:spacing w:after="160" w:line="360" w:lineRule="auto"/>
        <w:ind w:firstLine="425"/>
        <w:jc w:val="both"/>
      </w:pPr>
      <w:r>
        <w:rPr>
          <w:rFonts w:ascii="Arial" w:cs="Arial" w:eastAsia="Arial" w:hAnsi="Arial"/>
          <w:sz w:val="22"/>
          <w:szCs w:val="22"/>
        </w:rPr>
        <w:t xml:space="preserve">Es exactamente el tipo de razonamiento que 4.2.1 declaraba imposible sobre el conjunto ULB: aquí el modelo no se limita a citar una componente anónima como atípica, sino que combina categoría de comercio, edad del titular, distancia y hora en una explicación que un analista podría aceptar o rebatir con su propio criterio.</w:t>
      </w:r>
    </w:p>
    <w:p>
      <w:pPr>
        <w:pStyle w:val="Heading3"/>
        <w:spacing w:after="200" w:before="360"/>
      </w:pPr>
      <w:r>
        <w:rPr>
          <w:rFonts w:ascii="Arial" w:cs="Arial" w:eastAsia="Arial" w:hAnsi="Arial"/>
          <w:b/>
          <w:bCs/>
          <w:color w:val="000000"/>
          <w:sz w:val="24"/>
          <w:szCs w:val="24"/>
        </w:rPr>
        <w:t xml:space="preserve">Ablación: dossier completo frente a dossier reducido, mismo caso</w:t>
      </w:r>
    </w:p>
    <w:p>
      <w:pPr>
        <w:spacing w:after="160" w:line="360" w:lineRule="auto"/>
        <w:ind w:firstLine="425"/>
        <w:jc w:val="both"/>
      </w:pPr>
      <w:r>
        <w:rPr>
          <w:rFonts w:ascii="Arial" w:cs="Arial" w:eastAsia="Arial" w:hAnsi="Arial"/>
          <w:sz w:val="22"/>
          <w:szCs w:val="22"/>
        </w:rPr>
        <w:t xml:space="preserve">Comparar dos datasets distintos confunde el efecto del dominio con el de la legibilidad: cualquier diferencia de comportamiento podría deberse a que Sparkov es otro dominio, a que su detector es otro, o a que las variables tienen nombre. Para aislar esta última, únicamente esta, se repitió el experimento sobre los </w:t>
      </w:r>
      <w:r>
        <w:rPr>
          <w:rFonts w:ascii="Arial" w:cs="Arial" w:eastAsia="Arial" w:hAnsi="Arial"/>
          <w:b/>
          <w:bCs/>
          <w:sz w:val="22"/>
          <w:szCs w:val="22"/>
        </w:rPr>
        <w:t xml:space="preserve">mismos</w:t>
      </w:r>
      <w:r>
        <w:rPr>
          <w:rFonts w:ascii="Arial" w:cs="Arial" w:eastAsia="Arial" w:hAnsi="Arial"/>
          <w:sz w:val="22"/>
          <w:szCs w:val="22"/>
        </w:rPr>
        <w:t xml:space="preserve"> nueve casos con dos versiones del mismo dossier: </w:t>
      </w:r>
      <w:r>
        <w:rPr>
          <w:rFonts w:ascii="Arial" w:cs="Arial" w:eastAsia="Arial" w:hAnsi="Arial"/>
          <w:b/>
          <w:bCs/>
          <w:sz w:val="22"/>
          <w:szCs w:val="22"/>
        </w:rPr>
        <w:t xml:space="preserve">completo</w:t>
      </w:r>
      <w:r>
        <w:rPr>
          <w:rFonts w:ascii="Arial" w:cs="Arial" w:eastAsia="Arial" w:hAnsi="Arial"/>
          <w:sz w:val="22"/>
          <w:szCs w:val="22"/>
        </w:rPr>
        <w:t xml:space="preserve">, con comercio, categoría, edad, distancia y población con su nombre real, y </w:t>
      </w:r>
      <w:r>
        <w:rPr>
          <w:rFonts w:ascii="Arial" w:cs="Arial" w:eastAsia="Arial" w:hAnsi="Arial"/>
          <w:b/>
          <w:bCs/>
          <w:sz w:val="22"/>
          <w:szCs w:val="22"/>
        </w:rPr>
        <w:t xml:space="preserve">reducido</w:t>
      </w:r>
      <w:r>
        <w:rPr>
          <w:rFonts w:ascii="Arial" w:cs="Arial" w:eastAsia="Arial" w:hAnsi="Arial"/>
          <w:sz w:val="22"/>
          <w:szCs w:val="22"/>
        </w:rPr>
        <w:t xml:space="preserve">, con esas mismas cinco variables anonimizadas como var_1 a var_5 —el mismo techo de legibilidad que impone el conjunto ULB— y solo importe y hora conservando su nombre. Las contribuciones numéricas son idénticas en ambas versiones; solo cambia si la etiqueta dice algo reconocible.</w:t>
      </w:r>
    </w:p>
    <w:p>
      <w:pPr>
        <w:spacing w:after="160" w:line="360" w:lineRule="auto"/>
        <w:ind w:firstLine="425"/>
        <w:jc w:val="both"/>
      </w:pPr>
      <w:r>
        <w:rPr>
          <w:rFonts w:ascii="Arial" w:cs="Arial" w:eastAsia="Arial" w:hAnsi="Arial"/>
          <w:sz w:val="22"/>
          <w:szCs w:val="22"/>
        </w:rPr>
        <w:t xml:space="preserve">Los casos no se eligieron por posición en un ranking, sino por desacuerdo entre el detector y la realidad: los seis fraudes reales con la probabilidad más baja de todo el conjunto de prueba (entre 0,0018 y 0,0205 — el detector apenas los nota) y los tres legítimos con la probabilidad más alta (1,0000 — falsos positivos con la máxima confianza posible). Son los casos donde el criterio del modelo, si aporta algo distinto del detector, tendría más ocasión de notarse.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Caso</w:t>
            </w:r>
          </w:p>
        </w:tc>
        <w:tc>
          <w:tcPr>
            <w:tcW w:type="dxa" w:w="1800"/>
            <w:shd w:fill="D9D9D9" w:val="clear"/>
          </w:tcPr>
          <w:p>
            <w:pPr>
              <w:spacing w:after="0"/>
            </w:pPr>
            <w:r>
              <w:rPr>
                <w:rFonts w:ascii="Arial" w:cs="Arial" w:eastAsia="Arial" w:hAnsi="Arial"/>
                <w:b/>
                <w:bCs/>
                <w:sz w:val="20"/>
                <w:szCs w:val="20"/>
              </w:rPr>
              <w:t xml:space="preserve">Real</w:t>
            </w:r>
          </w:p>
        </w:tc>
        <w:tc>
          <w:tcPr>
            <w:tcW w:type="dxa" w:w="1800"/>
            <w:shd w:fill="D9D9D9" w:val="clear"/>
          </w:tcPr>
          <w:p>
            <w:pPr>
              <w:spacing w:after="0"/>
            </w:pPr>
            <w:r>
              <w:rPr>
                <w:rFonts w:ascii="Arial" w:cs="Arial" w:eastAsia="Arial" w:hAnsi="Arial"/>
                <w:b/>
                <w:bCs/>
                <w:sz w:val="20"/>
                <w:szCs w:val="20"/>
              </w:rPr>
              <w:t xml:space="preserve">Importe</w:t>
            </w:r>
          </w:p>
        </w:tc>
        <w:tc>
          <w:tcPr>
            <w:tcW w:type="dxa" w:w="1800"/>
            <w:shd w:fill="D9D9D9" w:val="clear"/>
          </w:tcPr>
          <w:p>
            <w:pPr>
              <w:spacing w:after="0"/>
            </w:pPr>
            <w:r>
              <w:rPr>
                <w:rFonts w:ascii="Arial" w:cs="Arial" w:eastAsia="Arial" w:hAnsi="Arial"/>
                <w:b/>
                <w:bCs/>
                <w:sz w:val="20"/>
                <w:szCs w:val="20"/>
              </w:rPr>
              <w:t xml:space="preserve">Completo</w:t>
            </w:r>
          </w:p>
        </w:tc>
        <w:tc>
          <w:tcPr>
            <w:tcW w:type="dxa" w:w="1800"/>
            <w:shd w:fill="D9D9D9" w:val="clear"/>
          </w:tcPr>
          <w:p>
            <w:pPr>
              <w:spacing w:after="0"/>
            </w:pPr>
            <w:r>
              <w:rPr>
                <w:rFonts w:ascii="Arial" w:cs="Arial" w:eastAsia="Arial" w:hAnsi="Arial"/>
                <w:b/>
                <w:bCs/>
                <w:sz w:val="20"/>
                <w:szCs w:val="20"/>
              </w:rPr>
              <w:t xml:space="preserve">Reducido</w:t>
            </w:r>
          </w:p>
        </w:tc>
      </w:tr>
      <w:tr>
        <w:tc>
          <w:tcPr>
            <w:tcW w:type="dxa" w:w="1800"/>
          </w:tcPr>
          <w:p>
            <w:pPr>
              <w:spacing w:after="0"/>
            </w:pPr>
            <w:r>
              <w:rPr>
                <w:rFonts w:ascii="Arial" w:cs="Arial" w:eastAsia="Arial" w:hAnsi="Arial"/>
                <w:b w:val="false"/>
                <w:bCs w:val="false"/>
                <w:sz w:val="20"/>
                <w:szCs w:val="20"/>
              </w:rPr>
              <w:t xml:space="preserve">1-6</w:t>
            </w:r>
          </w:p>
        </w:tc>
        <w:tc>
          <w:tcPr>
            <w:tcW w:type="dxa" w:w="1800"/>
          </w:tcPr>
          <w:p>
            <w:pPr>
              <w:spacing w:after="0"/>
            </w:pPr>
            <w:r>
              <w:rPr>
                <w:rFonts w:ascii="Arial" w:cs="Arial" w:eastAsia="Arial" w:hAnsi="Arial"/>
                <w:b w:val="false"/>
                <w:bCs w:val="false"/>
                <w:sz w:val="20"/>
                <w:szCs w:val="20"/>
              </w:rPr>
              <w:t xml:space="preserve">fraude</w:t>
            </w:r>
          </w:p>
        </w:tc>
        <w:tc>
          <w:tcPr>
            <w:tcW w:type="dxa" w:w="1800"/>
          </w:tcPr>
          <w:p>
            <w:pPr>
              <w:spacing w:after="0"/>
            </w:pPr>
            <w:r>
              <w:rPr>
                <w:rFonts w:ascii="Arial" w:cs="Arial" w:eastAsia="Arial" w:hAnsi="Arial"/>
                <w:b w:val="false"/>
                <w:bCs w:val="false"/>
                <w:sz w:val="20"/>
                <w:szCs w:val="20"/>
              </w:rPr>
              <w:t xml:space="preserve">9,67 a 156,52 USD</w:t>
            </w:r>
          </w:p>
        </w:tc>
        <w:tc>
          <w:tcPr>
            <w:tcW w:type="dxa" w:w="1800"/>
          </w:tcPr>
          <w:p>
            <w:pPr>
              <w:spacing w:after="0"/>
            </w:pPr>
            <w:r>
              <w:rPr>
                <w:rFonts w:ascii="Arial" w:cs="Arial" w:eastAsia="Arial" w:hAnsi="Arial"/>
                <w:b w:val="false"/>
                <w:bCs w:val="false"/>
                <w:sz w:val="20"/>
                <w:szCs w:val="20"/>
              </w:rPr>
              <w:t xml:space="preserve">DESCARTADO</w:t>
            </w:r>
          </w:p>
        </w:tc>
        <w:tc>
          <w:tcPr>
            <w:tcW w:type="dxa" w:w="1800"/>
          </w:tcPr>
          <w:p>
            <w:pPr>
              <w:spacing w:after="0"/>
            </w:pPr>
            <w:r>
              <w:rPr>
                <w:rFonts w:ascii="Arial" w:cs="Arial" w:eastAsia="Arial" w:hAnsi="Arial"/>
                <w:b w:val="false"/>
                <w:bCs w:val="false"/>
                <w:sz w:val="20"/>
                <w:szCs w:val="20"/>
              </w:rPr>
              <w:t xml:space="preserve">DESCARTADO</w:t>
            </w:r>
          </w:p>
        </w:tc>
      </w:tr>
      <w:tr>
        <w:tc>
          <w:tcPr>
            <w:tcW w:type="dxa" w:w="1800"/>
          </w:tcPr>
          <w:p>
            <w:pPr>
              <w:spacing w:after="0"/>
            </w:pPr>
            <w:r>
              <w:rPr>
                <w:rFonts w:ascii="Arial" w:cs="Arial" w:eastAsia="Arial" w:hAnsi="Arial"/>
                <w:b w:val="false"/>
                <w:bCs w:val="false"/>
                <w:sz w:val="20"/>
                <w:szCs w:val="20"/>
              </w:rPr>
              <w:t xml:space="preserve">7-9</w:t>
            </w:r>
          </w:p>
        </w:tc>
        <w:tc>
          <w:tcPr>
            <w:tcW w:type="dxa" w:w="1800"/>
          </w:tcPr>
          <w:p>
            <w:pPr>
              <w:spacing w:after="0"/>
            </w:pPr>
            <w:r>
              <w:rPr>
                <w:rFonts w:ascii="Arial" w:cs="Arial" w:eastAsia="Arial" w:hAnsi="Arial"/>
                <w:b w:val="false"/>
                <w:bCs w:val="false"/>
                <w:sz w:val="20"/>
                <w:szCs w:val="20"/>
              </w:rPr>
              <w:t xml:space="preserve">legítima</w:t>
            </w:r>
          </w:p>
        </w:tc>
        <w:tc>
          <w:tcPr>
            <w:tcW w:type="dxa" w:w="1800"/>
          </w:tcPr>
          <w:p>
            <w:pPr>
              <w:spacing w:after="0"/>
            </w:pPr>
            <w:r>
              <w:rPr>
                <w:rFonts w:ascii="Arial" w:cs="Arial" w:eastAsia="Arial" w:hAnsi="Arial"/>
                <w:b w:val="false"/>
                <w:bCs w:val="false"/>
                <w:sz w:val="20"/>
                <w:szCs w:val="20"/>
              </w:rPr>
              <w:t xml:space="preserve">955 a 2.135 USD</w:t>
            </w:r>
          </w:p>
        </w:tc>
        <w:tc>
          <w:tcPr>
            <w:tcW w:type="dxa" w:w="1800"/>
          </w:tcPr>
          <w:p>
            <w:pPr>
              <w:spacing w:after="0"/>
            </w:pPr>
            <w:r>
              <w:rPr>
                <w:rFonts w:ascii="Arial" w:cs="Arial" w:eastAsia="Arial" w:hAnsi="Arial"/>
                <w:b w:val="false"/>
                <w:bCs w:val="false"/>
                <w:sz w:val="20"/>
                <w:szCs w:val="20"/>
              </w:rPr>
              <w:t xml:space="preserve">CONFIRMADO</w:t>
            </w:r>
          </w:p>
        </w:tc>
        <w:tc>
          <w:tcPr>
            <w:tcW w:type="dxa" w:w="1800"/>
          </w:tcPr>
          <w:p>
            <w:pPr>
              <w:spacing w:after="0"/>
            </w:pPr>
            <w:r>
              <w:rPr>
                <w:rFonts w:ascii="Arial" w:cs="Arial" w:eastAsia="Arial" w:hAnsi="Arial"/>
                <w:b w:val="false"/>
                <w:bCs w:val="false"/>
                <w:sz w:val="20"/>
                <w:szCs w:val="20"/>
              </w:rPr>
              <w:t xml:space="preserve">CONFIRMADO</w:t>
            </w:r>
          </w:p>
        </w:tc>
      </w:tr>
    </w:tbl>
    <w:p>
      <w:pPr>
        <w:spacing w:after="160"/>
      </w:pPr>
    </w:p>
    <w:p>
      <w:pPr>
        <w:spacing w:after="160" w:line="360" w:lineRule="auto"/>
        <w:ind w:firstLine="425"/>
        <w:jc w:val="both"/>
      </w:pPr>
      <w:r>
        <w:rPr>
          <w:rFonts w:ascii="Arial" w:cs="Arial" w:eastAsia="Arial" w:hAnsi="Arial"/>
          <w:b/>
          <w:bCs/>
          <w:sz w:val="22"/>
          <w:szCs w:val="22"/>
        </w:rPr>
        <w:t xml:space="preserve">El veredicto es idéntico entre las dos versiones en los nueve casos, sin una sola excepción.</w:t>
      </w:r>
      <w:r>
        <w:rPr>
          <w:rFonts w:ascii="Arial" w:cs="Arial" w:eastAsia="Arial" w:hAnsi="Arial"/>
          <w:sz w:val="22"/>
          <w:szCs w:val="22"/>
        </w:rPr>
        <w:t xml:space="preserve"> Ni un fraude se recupera al dar nombre a las variables, ni un falso positivo se corrige al quitárselo. El modelo reproduce con exactitud el error del detector: confirma los tres legítimos que el detector puntúa alto y descarta los seis fraudes que puntúa bajo, tenga o no delante los nombres de las variables.</w:t>
      </w:r>
    </w:p>
    <w:p>
      <w:pPr>
        <w:spacing w:after="160" w:line="360" w:lineRule="auto"/>
        <w:ind w:firstLine="425"/>
        <w:jc w:val="both"/>
      </w:pPr>
      <w:r>
        <w:rPr>
          <w:rFonts w:ascii="Arial" w:cs="Arial" w:eastAsia="Arial" w:hAnsi="Arial"/>
          <w:sz w:val="22"/>
          <w:szCs w:val="22"/>
        </w:rPr>
        <w:t xml:space="preserve">La prosa sí es distinta, y de forma sistemática: en la versión completa nombra el comercio, comenta la categoría en sus propios términos —"servicios de transporte de gas", "categoría de comida y bebida"— y pondera explícitamente la edad o la distancia. En la reducida, la misma estructura argumental se sostiene sobre "var_1" y "var_2" sin perder coherencia interna. Es la confirmación experimental de 6.2.3 en su forma más limpia: el modelo no necesita entender qué es una variable para basar su veredicto en su magnitud, y entenderlo tampoco le hace decidir distinto. La legibilidad de negocio cambia lo que el texto puede argumentar, no lo que el sistema decide.</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 solo modelo, sin hiperparámetros ajustados, sobre datos simulados y con una sola semilla de generación. Nueve casos por versión no permiten ningún contraste estadístico, igual que las demostraciones de 5.11 y 5.14: es un resultado cualitativo y así debe leerse. Los cinco casos de la primera prueba y los nueve de la ablación no se solapan, y ambos apuntan en la misma dirección.</w:t>
      </w:r>
    </w:p>
    <w:p>
      <w:pPr>
        <w:spacing w:after="160" w:line="360" w:lineRule="auto"/>
        <w:ind w:firstLine="425"/>
        <w:jc w:val="both"/>
      </w:pPr>
      <w:r>
        <w:rPr>
          <w:rFonts w:ascii="Arial" w:cs="Arial" w:eastAsia="Arial" w:hAnsi="Arial"/>
          <w:sz w:val="22"/>
          <w:szCs w:val="22"/>
        </w:rPr>
        <w:t xml:space="preserve">Lo que sí permite, y es lo que se buscaba, es comprobar dos cosas por separado. Primera, que la limitación de 4.2.1 —las explicaciones no pueden ser de negocio porque el dato no lo es— es del dataset y no del sistema: con otro dataset, las mismas herramientas producen expedientes legibles por un humano y explicaciones que los aprovechan, sin cambiar una sola línea de la capa 2. Segunda, y más incómoda, que esa legibilidad no basta: sobre los mismos nueve casos de mayor desacuerdo entre el detector y la realidad, saber qué significa cada variable no cambió ni un veredicto. El problema que 5.12 y 5.14 documentan sobre ULB no es que el modelo no entienda las variables; es que su veredicto no depende de entenderlas.</w:t>
      </w:r>
    </w:p>
    <w:p>
      <w:pPr>
        <w:pStyle w:val="Heading2"/>
        <w:spacing w:after="200" w:before="360"/>
      </w:pPr>
      <w:r>
        <w:rPr>
          <w:rFonts w:ascii="Arial" w:cs="Arial" w:eastAsia="Arial" w:hAnsi="Arial"/>
          <w:b/>
          <w:bCs/>
          <w:color w:val="000000"/>
          <w:sz w:val="26"/>
          <w:szCs w:val="26"/>
        </w:rPr>
        <w:t xml:space="preserve">5.14 Ajuste fino QLoRA: ¿cambia por los pesos lo que no cambió por el enunciado?</w:t>
      </w:r>
    </w:p>
    <w:p>
      <w:pPr>
        <w:spacing w:after="160" w:line="360" w:lineRule="auto"/>
        <w:ind w:firstLine="425"/>
        <w:jc w:val="both"/>
      </w:pPr>
      <w:r>
        <w:rPr>
          <w:rFonts w:ascii="Arial" w:cs="Arial" w:eastAsia="Arial" w:hAnsi="Arial"/>
          <w:sz w:val="22"/>
          <w:szCs w:val="22"/>
        </w:rPr>
        <w:t xml:space="preserve">La sección 5.12 mostró que corregir en el enunciado la premisa sobre el importe bajo no cambia la decisión, solo la prosa. Queda una vía que 5.12 no podía probar: si esa misma corrección, en lugar de pedirse en el enunciado en cada llamada, se instala en los pesos del modelo mediante un ajuste fino, ¿deja de ser un consejo que el modelo puede ignorar y pasa a ser una disposición que aplica?</w:t>
      </w:r>
    </w:p>
    <w:p>
      <w:pPr>
        <w:pStyle w:val="Heading3"/>
        <w:spacing w:after="200" w:before="360"/>
      </w:pPr>
      <w:r>
        <w:rPr>
          <w:rFonts w:ascii="Arial" w:cs="Arial" w:eastAsia="Arial" w:hAnsi="Arial"/>
          <w:b/>
          <w:bCs/>
          <w:color w:val="000000"/>
          <w:sz w:val="24"/>
          <w:szCs w:val="24"/>
        </w:rPr>
        <w:t xml:space="preserve">Diseño</w:t>
      </w:r>
    </w:p>
    <w:p>
      <w:pPr>
        <w:spacing w:after="160" w:line="360" w:lineRule="auto"/>
        <w:ind w:firstLine="425"/>
        <w:jc w:val="both"/>
      </w:pPr>
      <w:r>
        <w:rPr>
          <w:rFonts w:ascii="Arial" w:cs="Arial" w:eastAsia="Arial" w:hAnsi="Arial"/>
          <w:sz w:val="22"/>
          <w:szCs w:val="22"/>
        </w:rPr>
        <w:t xml:space="preserve">Se entrenó un adaptador LoRA de rango 16 sobre Qwen2.5-14B-Instruct en 4 bits, con 540 ejemplos construidos exclusivamente con transacciones anteriores al corte de la partición temporal —una aserción explícita comprueba en cada ejemplo que su instante es anterior al límite de entrenamiento, para que ningún caso de la evaluación pueda haberse visto durante el ajuste—. El conjunto equilibra fraude y falso positivo y sobremuestrea el fraude de importe bajo dentro de su propia clase, precisamente el patrón que el modelo no reconocía. Las respuestas objetivo se generaron por plantilla a partir de las contribuciones reales del detector, no se redactaron a mano.</w:t>
      </w:r>
    </w:p>
    <w:p>
      <w:pPr>
        <w:spacing w:after="160" w:line="360" w:lineRule="auto"/>
        <w:ind w:firstLine="425"/>
        <w:jc w:val="both"/>
      </w:pPr>
      <w:r>
        <w:rPr>
          <w:rFonts w:ascii="Arial" w:cs="Arial" w:eastAsia="Arial" w:hAnsi="Arial"/>
          <w:sz w:val="22"/>
          <w:szCs w:val="22"/>
        </w:rPr>
        <w:t xml:space="preserve">Se comparan tres condiciones sobre los mismos doce casos de cola de 5.11 y 5.12, con el enunciado exacto del arnés: el modelo base, el modelo base con la corrección en el enunciado, y el modelo con el adaptador y sin corrección en el enunciado. El entrenamiento tardó 29,6 horas —muy por encima de lo esperado, por un cuello de botella de memoria compartida en una GPU de 16 GB compartida con el resto del sistema operativo— con una pérdida final de 0,086.</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Condición</w:t>
            </w:r>
          </w:p>
        </w:tc>
        <w:tc>
          <w:tcPr>
            <w:tcW w:type="dxa" w:w="2250"/>
            <w:shd w:fill="D9D9D9" w:val="clear"/>
          </w:tcPr>
          <w:p>
            <w:pPr>
              <w:spacing w:after="0"/>
            </w:pPr>
            <w:r>
              <w:rPr>
                <w:rFonts w:ascii="Arial" w:cs="Arial" w:eastAsia="Arial" w:hAnsi="Arial"/>
                <w:b/>
                <w:bCs/>
                <w:sz w:val="20"/>
                <w:szCs w:val="20"/>
              </w:rPr>
              <w:t xml:space="preserve">Confirma</w:t>
            </w:r>
          </w:p>
        </w:tc>
        <w:tc>
          <w:tcPr>
            <w:tcW w:type="dxa" w:w="2250"/>
            <w:shd w:fill="D9D9D9" w:val="clear"/>
          </w:tcPr>
          <w:p>
            <w:pPr>
              <w:spacing w:after="0"/>
            </w:pPr>
            <w:r>
              <w:rPr>
                <w:rFonts w:ascii="Arial" w:cs="Arial" w:eastAsia="Arial" w:hAnsi="Arial"/>
                <w:b/>
                <w:bCs/>
                <w:sz w:val="20"/>
                <w:szCs w:val="20"/>
              </w:rPr>
              <w:t xml:space="preserve">Fraude destruido</w:t>
            </w:r>
          </w:p>
        </w:tc>
        <w:tc>
          <w:tcPr>
            <w:tcW w:type="dxa" w:w="2250"/>
            <w:shd w:fill="D9D9D9" w:val="clear"/>
          </w:tcPr>
          <w:p>
            <w:pPr>
              <w:spacing w:after="0"/>
            </w:pPr>
            <w:r>
              <w:rPr>
                <w:rFonts w:ascii="Arial" w:cs="Arial" w:eastAsia="Arial" w:hAnsi="Arial"/>
                <w:b/>
                <w:bCs/>
                <w:sz w:val="20"/>
                <w:szCs w:val="20"/>
              </w:rPr>
              <w:t xml:space="preserve">Casos confirmados</w:t>
            </w:r>
          </w:p>
        </w:tc>
      </w:tr>
      <w:tr>
        <w:tc>
          <w:tcPr>
            <w:tcW w:type="dxa" w:w="2250"/>
          </w:tcPr>
          <w:p>
            <w:pPr>
              <w:spacing w:after="0"/>
            </w:pPr>
            <w:r>
              <w:rPr>
                <w:rFonts w:ascii="Arial" w:cs="Arial" w:eastAsia="Arial" w:hAnsi="Arial"/>
                <w:b w:val="false"/>
                <w:bCs w:val="false"/>
                <w:sz w:val="20"/>
                <w:szCs w:val="20"/>
              </w:rPr>
              <w:t xml:space="preserve">base</w:t>
            </w:r>
          </w:p>
        </w:tc>
        <w:tc>
          <w:tcPr>
            <w:tcW w:type="dxa" w:w="2250"/>
          </w:tcPr>
          <w:p>
            <w:pPr>
              <w:spacing w:after="0"/>
            </w:pPr>
            <w:r>
              <w:rPr>
                <w:rFonts w:ascii="Arial" w:cs="Arial" w:eastAsia="Arial" w:hAnsi="Arial"/>
                <w:b w:val="false"/>
                <w:bCs w:val="false"/>
                <w:sz w:val="20"/>
                <w:szCs w:val="20"/>
              </w:rPr>
              <w:t xml:space="preserve">0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ninguno</w:t>
            </w:r>
          </w:p>
        </w:tc>
      </w:tr>
      <w:tr>
        <w:tc>
          <w:tcPr>
            <w:tcW w:type="dxa" w:w="2250"/>
          </w:tcPr>
          <w:p>
            <w:pPr>
              <w:spacing w:after="0"/>
            </w:pPr>
            <w:r>
              <w:rPr>
                <w:rFonts w:ascii="Arial" w:cs="Arial" w:eastAsia="Arial" w:hAnsi="Arial"/>
                <w:b w:val="false"/>
                <w:bCs w:val="false"/>
                <w:sz w:val="20"/>
                <w:szCs w:val="20"/>
              </w:rPr>
              <w:t xml:space="preserve">base + dominio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r>
        <w:tc>
          <w:tcPr>
            <w:tcW w:type="dxa" w:w="2250"/>
          </w:tcPr>
          <w:p>
            <w:pPr>
              <w:spacing w:after="0"/>
            </w:pPr>
            <w:r>
              <w:rPr>
                <w:rFonts w:ascii="Arial" w:cs="Arial" w:eastAsia="Arial" w:hAnsi="Arial"/>
                <w:b w:val="false"/>
                <w:bCs w:val="false"/>
                <w:sz w:val="20"/>
                <w:szCs w:val="20"/>
              </w:rPr>
              <w:t xml:space="preserve">adaptado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bl>
    <w:p>
      <w:pPr>
        <w:spacing w:after="160"/>
      </w:pPr>
    </w:p>
    <w:p>
      <w:pPr>
        <w:spacing w:after="160" w:line="360" w:lineRule="auto"/>
        <w:ind w:firstLine="425"/>
        <w:jc w:val="both"/>
      </w:pPr>
      <w:r>
        <w:rPr>
          <w:rFonts w:ascii="Arial" w:cs="Arial" w:eastAsia="Arial" w:hAnsi="Arial"/>
          <w:b/>
          <w:bCs/>
          <w:sz w:val="22"/>
          <w:szCs w:val="22"/>
        </w:rPr>
        <w:t xml:space="preserve">Los veredictos de "adaptado" son idénticos a los de "base + dominio", caso por caso, en los doce.</w:t>
      </w:r>
      <w:r>
        <w:rPr>
          <w:rFonts w:ascii="Arial" w:cs="Arial" w:eastAsia="Arial" w:hAnsi="Arial"/>
          <w:sz w:val="22"/>
          <w:szCs w:val="22"/>
        </w:rPr>
        <w:t xml:space="preserve"> El adaptador no salva los fraudes 50 y 55, que siguen descartados, y confirma el mismo caso de control, el 44, que no es fraude. Instalar la corrección en los pesos no logró lo que instalarla en el enunciado tampoco logró.</w:t>
      </w:r>
    </w:p>
    <w:p>
      <w:pPr>
        <w:spacing w:after="160" w:line="360" w:lineRule="auto"/>
        <w:ind w:firstLine="425"/>
        <w:jc w:val="both"/>
      </w:pPr>
      <w:r>
        <w:rPr>
          <w:rFonts w:ascii="Arial" w:cs="Arial" w:eastAsia="Arial" w:hAnsi="Arial"/>
          <w:sz w:val="22"/>
          <w:szCs w:val="22"/>
        </w:rPr>
        <w:t xml:space="preserve">Lo que sí cambia por completo es la prosa. Frente al párrafo largo y con matices de las otras dos condiciones, el modelo adaptado responde con una estructura fija y telegráfica: cita la probabilidad exacta del expediente, dos variables a favor de la sospecha y dos en contra con sus valores, y cierra con una frase de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w:t>
      </w:r>
    </w:p>
    <w:p>
      <w:pPr>
        <w:spacing w:after="160" w:line="360" w:lineRule="auto"/>
        <w:ind w:firstLine="425"/>
        <w:jc w:val="both"/>
      </w:pPr>
      <w:r>
        <w:rPr>
          <w:rFonts w:ascii="Arial" w:cs="Arial" w:eastAsia="Arial" w:hAnsi="Arial"/>
          <w:sz w:val="22"/>
          <w:szCs w:val="22"/>
        </w:rPr>
        <w:t xml:space="preserve">Y sobre el caso 44, el único que confirma, escribe: "el importe reducido no es un atenuante: el cargo mínimo de prueba es un patrón habitual de fraude, y las contribuciones dominantes lo respaldan."</w:t>
      </w:r>
    </w:p>
    <w:p>
      <w:pPr>
        <w:spacing w:after="160" w:line="360" w:lineRule="auto"/>
        <w:ind w:firstLine="425"/>
        <w:jc w:val="both"/>
      </w:pPr>
      <w:r>
        <w:rPr>
          <w:rFonts w:ascii="Arial" w:cs="Arial" w:eastAsia="Arial" w:hAnsi="Arial"/>
          <w:sz w:val="22"/>
          <w:szCs w:val="22"/>
        </w:rPr>
        <w:t xml:space="preserve">La cifra que cita —0,0673 en el caso 55, 0,1286 en el 50, 0,6081 en el 44— es la probabilidad que el propio expediente le entrega, y coincide en todos los casos con el sentido del veredicto: probabilidad baja, descarta; probabilidad más alta, confirma. Es la misma dependencia de la puntuación del detector que 5.7 y 5.8 documentaron sin ajuste fino de por medio: el modelo no aprendió a razonar distinto sobre el importe, aprendió una plantilla que resume fielmente las contribuciones y decide según la puntuación que ya traía el expediente. El entrenamiento con respuestas objetivo generadas por plantilla es la explicación más probable de por qué el estilo se volvió tan uniforme.</w:t>
      </w:r>
    </w:p>
    <w:p>
      <w:pPr>
        <w:pStyle w:val="Heading3"/>
        <w:spacing w:after="200" w:before="360"/>
      </w:pPr>
      <w:r>
        <w:rPr>
          <w:rFonts w:ascii="Arial" w:cs="Arial" w:eastAsia="Arial" w:hAnsi="Arial"/>
          <w:b/>
          <w:bCs/>
          <w:color w:val="000000"/>
          <w:sz w:val="24"/>
          <w:szCs w:val="24"/>
        </w:rPr>
        <w:t xml:space="preserve">Lectura</w:t>
      </w:r>
    </w:p>
    <w:p>
      <w:pPr>
        <w:spacing w:after="160" w:line="360" w:lineRule="auto"/>
        <w:ind w:firstLine="425"/>
        <w:jc w:val="both"/>
      </w:pPr>
      <w:r>
        <w:rPr>
          <w:rFonts w:ascii="Arial" w:cs="Arial" w:eastAsia="Arial" w:hAnsi="Arial"/>
          <w:sz w:val="22"/>
          <w:szCs w:val="22"/>
        </w:rPr>
        <w:t xml:space="preserve">Se comprobó lo que 6.4 dejaba como pregunta abierta: la disociación entre explicación y decisión no depende de que la corrección llegue por el enunciado o por los pesos. En ambos casos el modelo dispone de la misma evidencia —las contribuciones por variable— y en ambos casos decide con el mismo criterio, que no es el importe sino la puntuación previa del detector. Cambiar el canal de la corrección cambió el estilo de la respuesta y no cambió ni un solo veredicto.</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Doce casos y un adaptador entrenado una vez: no hay contraste estadístico posible, igual que en 5.11. El conjunto de ajuste usa respuestas objetivo plantilladas, lo que probablemente explica la uniformidad de la prosa resultante más que cualquier propiedad del ajuste fino en sí; un conjunto con respuestas más variadas podría comportarse distinto y queda como trabajo futuro. No se ha medido si el adaptador generaliza a casos de fraude de importe bajo fuera de los que motivaron su diseño.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w:t>
      </w:r>
      <w:r>
        <w:rPr>
          <w:rFonts w:ascii="Arial" w:cs="Arial" w:eastAsia="Arial" w:hAnsi="Arial"/>
          <w:b/>
          <w:bCs/>
          <w:sz w:val="22"/>
          <w:szCs w:val="22"/>
        </w:rPr>
        <w:t xml:space="preserve">sobre el turno evaluado</w:t>
      </w:r>
      <w:r>
        <w:rPr>
          <w:rFonts w:ascii="Arial" w:cs="Arial" w:eastAsia="Arial" w:hAnsi="Arial"/>
          <w:sz w:val="22"/>
          <w:szCs w:val="22"/>
        </w:rPr>
        <w:t xml:space="preserve">,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spacing w:after="160" w:line="360" w:lineRule="auto"/>
        <w:ind w:firstLine="425"/>
        <w:jc w:val="both"/>
      </w:pPr>
      <w:r>
        <w:rPr>
          <w:rFonts w:ascii="Arial" w:cs="Arial" w:eastAsia="Arial" w:hAnsi="Arial"/>
          <w:sz w:val="22"/>
          <w:szCs w:val="22"/>
        </w:rPr>
        <w:t xml:space="preserve">Cabía preguntarse si el problema era el canal: quizá una corrección repetida en cada llamada, que el modelo puede en principio ignorar, se comporta distinto de una corrección instalada de forma permanente en los pesos. La sección 5.14 responde que no. Un adaptador LoRA entrenado sobre el propio dominio, con ejemplos que sí distinguen fraude de importe bajo de falso positivo de importe bajo, produce sobre los mismos doce casos de cola </w:t>
      </w:r>
      <w:r>
        <w:rPr>
          <w:rFonts w:ascii="Arial" w:cs="Arial" w:eastAsia="Arial" w:hAnsi="Arial"/>
          <w:b/>
          <w:bCs/>
          <w:sz w:val="22"/>
          <w:szCs w:val="22"/>
        </w:rPr>
        <w:t xml:space="preserve">veredictos idénticos, uno por uno, a los de la corrección en el enunciado</w:t>
      </w:r>
      <w:r>
        <w:rPr>
          <w:rFonts w:ascii="Arial" w:cs="Arial" w:eastAsia="Arial" w:hAnsi="Arial"/>
          <w:sz w:val="22"/>
          <w:szCs w:val="22"/>
        </w:rPr>
        <w:t xml:space="preserve">. Cambia la forma —una prosa telegráfica que cita las contribuciones con sus valores exactos— y no cambia la decisión. La causa más probable, discutida en 5.14, es que el modelo aprendió a resumir fielmente el expediente y a decidir según la puntuación que este ya traía, no a ponderar el importe de otra manera: el mismo mecanismo que describe 6.2.3, ahora instalado en los pesos en vez de sugerido en el prompt.</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spacing w:after="160" w:line="360" w:lineRule="auto"/>
        <w:ind w:firstLine="425"/>
        <w:jc w:val="both"/>
      </w:pPr>
      <w:r>
        <w:rPr>
          <w:rFonts w:ascii="Arial" w:cs="Arial" w:eastAsia="Arial" w:hAnsi="Arial"/>
          <w:sz w:val="22"/>
          <w:szCs w:val="22"/>
        </w:rPr>
        <w:t xml:space="preserve">La ablación de 5.13 sobre el dataset Sparkov lo confirma desde un ángulo que ULB no permitía probar. Sobre los mismos nueve casos —seis fraudes que el detector apenas nota y tres falsos positivos que señala con máxima confianza—, dar nombre real a comercio, categoría, edad y distancia frente a anonimizarlos como var_1 a var_5 no cambió un solo veredicto: el modelo reproduce el error del detector en los nueve casos, tenga o no delante el significado de las variables. Que el modelo entienda o no la variable es irrelevante para su decisión; lo relevante es su magnitud. La legibilidad de negocio mejora lo que el texto puede argumentar y no toca, en esta comprobación, lo que el sistema decide.</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agotan su presupuesto de generación pensando antes de responder, de modo que la respuesta llega vacía o cortada a mitad de frase, sin el veredicto final.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conjunto principal está anonimizado, cubre un solo periodo de 48 horas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extensión de 5.13 sobre variables de negocio usa un dataset simulado, no transacciones reales, con un único modelo sin ajuste de hiperparámetros. Ni la prueba de los cinco casos de mayor probabilidad ni la ablación completo/reducido sobre los nueve de mayor desacuerdo permiten ningún contraste estadístico: son catorce casos en total y así deben leerse, como demostraciones y no como series.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ajuste QLoRA de 5.14 se evaluó sobre los mismos doce casos de cola que 5.11 y 5.12, con un solo adaptador entrenado una vez. Las respuestas objetivo del entrenamiento se generaron por plantilla, lo que probablemente influye en la uniformidad de la prosa resultante; no se ha probado un conjunto de entrenamiento con respuestas más variadas.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Repetir la extensión de negocio con transacciones reales y con un detector ajustado.</w:t>
      </w:r>
      <w:r>
        <w:rPr>
          <w:rFonts w:ascii="Arial" w:cs="Arial" w:eastAsia="Arial" w:hAnsi="Arial"/>
          <w:sz w:val="22"/>
          <w:szCs w:val="22"/>
        </w:rPr>
        <w:t xml:space="preserve"> La sección 5.13 agotó, dentro de lo razonable para una extensión exploratoria, la pregunta que la motivaba: sobre un dataset simulado (Sparkov) con variables de negocio, las contribuciones del detector y la prosa del Investigador dejan de citar componentes anónimas y pasan a citar comercio, categoría, distancia y edad; y una ablación que compara el mismo caso con esas variables legibles o anonimizadas muestra que esa legibilidad, por sí sola, no cambia ni un veredicto sobre los nueve casos de mayor desacuerdo entre el detector y la realidad. Queda pendiente repetir el ejercicio con transacciones reales y no simuladas, y con un detector que haya pasado por la misma búsqueda de hiperparámetros que el de ULB: la mediana de probabilidad de 0,95 sobre el conjunto de prueba de Sparkov sugiere que una parte del problema es de calibración, no solo de dominio, y separarlas requeriría ese ajuste.</w:t>
      </w:r>
    </w:p>
    <w:p>
      <w:pPr>
        <w:spacing w:after="160" w:line="360" w:lineRule="auto"/>
        <w:ind w:firstLine="425"/>
        <w:jc w:val="both"/>
      </w:pPr>
      <w:r>
        <w:rPr>
          <w:rFonts w:ascii="Arial" w:cs="Arial" w:eastAsia="Arial" w:hAnsi="Arial"/>
          <w:b/>
          <w:bCs/>
          <w:sz w:val="22"/>
          <w:szCs w:val="22"/>
        </w:rPr>
        <w:t xml:space="preserve">Ajuste fino sobre casos etiquetados, con un conjunto de entrenamiento más variado.</w:t>
      </w:r>
      <w:r>
        <w:rPr>
          <w:rFonts w:ascii="Arial" w:cs="Arial" w:eastAsia="Arial" w:hAnsi="Arial"/>
          <w:sz w:val="22"/>
          <w:szCs w:val="22"/>
        </w:rPr>
        <w:t xml:space="preserve"> Se realizó (5.14): un adaptador LoRA sobre el propio dominio, entrenado solo con casos anteriores al corte de prueba. El resultado fue negativo en el sentido relevante y positivo en el metodológico. Los veredictos sobre los doce casos de cola son idénticos a los de corregir la premisa en el enunciado, caso por caso: la disociación entre explicación y decisión persiste cuando la información llega por los pesos, no solo por el enunciado. Lo que queda abierto es si ese resultado depende de que las respuestas objetivo del entrenamiento se generaran por plantilla, lo que pudo enseñar al modelo a resumir el expediente en vez de a decidir distinto sobre él. Repetirlo con un conjunto de respuestas más variadas, redactadas o revisadas por un humano, separaría esas dos explicaciones.</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 A., Zhao, Y., Qiu, C., Kloft, M., Smyth, P., Rudolph, M., &amp; Mandt, S. (2024). Anomaly Detection of Tabular Data Using LLMs. arXiv:2406.16308.</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80" w:before="240"/>
        <w:jc w:val="center"/>
      </w:pPr>
      <w:r>
        <w:drawing>
          <wp:inline distT="0" distB="0" distL="0" distR="0">
            <wp:extent cx="540067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00675" cy="4324350"/>
                    </a:xfrm>
                    <a:prstGeom prst="rect">
                      <a:avLst/>
                    </a:prstGeom>
                  </pic:spPr>
                </pic:pic>
              </a:graphicData>
            </a:graphic>
          </wp:inline>
        </w:drawing>
      </w:r>
    </w:p>
    <w:p>
      <w:pPr>
        <w:spacing w:after="240"/>
        <w:jc w:val="center"/>
      </w:pPr>
      <w:r>
        <w:rPr>
          <w:i/>
          <w:iCs/>
          <w:sz w:val="20"/>
          <w:szCs w:val="20"/>
        </w:rPr>
        <w:t xml:space="preserve">Figura 24. Estructura del repositorio. En azul el código determinista de la capa 1, en rojo el estocástico de la capa 2, en verde los guiones de experimentación, en gris los datos y la documentación.</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80" w:before="240"/>
        <w:jc w:val="center"/>
      </w:pPr>
      <w:r>
        <w:drawing>
          <wp:inline distT="0" distB="0" distL="0" distR="0">
            <wp:extent cx="540067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00675" cy="3914775"/>
                    </a:xfrm>
                    <a:prstGeom prst="rect">
                      <a:avLst/>
                    </a:prstGeom>
                  </pic:spPr>
                </pic:pic>
              </a:graphicData>
            </a:graphic>
          </wp:inline>
        </w:drawing>
      </w:r>
    </w:p>
    <w:p>
      <w:pPr>
        <w:spacing w:after="240"/>
        <w:jc w:val="center"/>
      </w:pPr>
      <w:r>
        <w:rPr>
          <w:i/>
          <w:iCs/>
          <w:sz w:val="20"/>
          <w:szCs w:val="20"/>
        </w:rPr>
        <w:t xml:space="preserve">Figura 25. La función de selección de casos del detector, con la documentación de sus decisiones de diseño.</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 veintidós entregas, 2.173 líneas de código en los módulos del sistema y 3.637 en los guiones de experimentación, además de 131 ficheros de resultados.</w:t>
      </w:r>
    </w:p>
    <w:p>
      <w:pPr>
        <w:spacing w:after="160" w:line="360" w:lineRule="auto"/>
        <w:ind w:firstLine="425"/>
        <w:jc w:val="both"/>
      </w:pPr>
      <w:r>
        <w:rPr>
          <w:rFonts w:ascii="Arial" w:cs="Arial" w:eastAsia="Arial" w:hAnsi="Arial"/>
          <w:sz w:val="22"/>
          <w:szCs w:val="22"/>
        </w:rPr>
        <w:t xml:space="preserve">Los guiones se agrupan en tres familias, y cada uno declara en su cabecera la pregunta a la que responde y las decisiones de diseño que la afectan.</w:t>
      </w:r>
    </w:p>
    <w:p>
      <w:pPr>
        <w:spacing w:after="160" w:line="360" w:lineRule="auto"/>
        <w:ind w:firstLine="425"/>
        <w:jc w:val="both"/>
      </w:pPr>
      <w:r>
        <w:rPr>
          <w:rFonts w:ascii="Arial" w:cs="Arial" w:eastAsia="Arial" w:hAnsi="Arial"/>
          <w:b/>
          <w:bCs/>
          <w:sz w:val="22"/>
          <w:szCs w:val="22"/>
        </w:rPr>
        <w:t xml:space="preserve">Sistema en funcionamiento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Función</w:t>
            </w:r>
          </w:p>
        </w:tc>
      </w:tr>
      <w:tr>
        <w:tc>
          <w:tcPr>
            <w:tcW w:type="dxa" w:w="4500"/>
          </w:tcPr>
          <w:p>
            <w:pPr>
              <w:spacing w:after="0"/>
            </w:pPr>
            <w:r>
              <w:rPr>
                <w:rFonts w:ascii="Arial" w:cs="Arial" w:eastAsia="Arial" w:hAnsi="Arial"/>
                <w:b w:val="false"/>
                <w:bCs w:val="false"/>
                <w:sz w:val="20"/>
                <w:szCs w:val="20"/>
              </w:rPr>
              <w:t xml:space="preserve">check_entorno.py</w:t>
            </w:r>
          </w:p>
        </w:tc>
        <w:tc>
          <w:tcPr>
            <w:tcW w:type="dxa" w:w="4500"/>
          </w:tcPr>
          <w:p>
            <w:pPr>
              <w:spacing w:after="0"/>
            </w:pPr>
            <w:r>
              <w:rPr>
                <w:rFonts w:ascii="Arial" w:cs="Arial" w:eastAsia="Arial" w:hAnsi="Arial"/>
                <w:b w:val="false"/>
                <w:bCs w:val="false"/>
                <w:sz w:val="20"/>
                <w:szCs w:val="20"/>
              </w:rPr>
              <w:t xml:space="preserve">Verificación del entorno antes de nada</w:t>
            </w:r>
          </w:p>
        </w:tc>
      </w:tr>
      <w:tr>
        <w:tc>
          <w:tcPr>
            <w:tcW w:type="dxa" w:w="4500"/>
          </w:tcPr>
          <w:p>
            <w:pPr>
              <w:spacing w:after="0"/>
            </w:pPr>
            <w:r>
              <w:rPr>
                <w:rFonts w:ascii="Arial" w:cs="Arial" w:eastAsia="Arial" w:hAnsi="Arial"/>
                <w:b w:val="false"/>
                <w:bCs w:val="false"/>
                <w:sz w:val="20"/>
                <w:szCs w:val="20"/>
              </w:rPr>
              <w:t xml:space="preserve">run_departamento.py</w:t>
            </w:r>
          </w:p>
        </w:tc>
        <w:tc>
          <w:tcPr>
            <w:tcW w:type="dxa" w:w="4500"/>
          </w:tcPr>
          <w:p>
            <w:pPr>
              <w:spacing w:after="0"/>
            </w:pPr>
            <w:r>
              <w:rPr>
                <w:rFonts w:ascii="Arial" w:cs="Arial" w:eastAsia="Arial" w:hAnsi="Arial"/>
                <w:b w:val="false"/>
                <w:bCs w:val="false"/>
                <w:sz w:val="20"/>
                <w:szCs w:val="20"/>
              </w:rPr>
              <w:t xml:space="preserve">Ejecución completa del sistema sobre un turno</w:t>
            </w:r>
          </w:p>
        </w:tc>
      </w:tr>
      <w:tr>
        <w:tc>
          <w:tcPr>
            <w:tcW w:type="dxa" w:w="4500"/>
          </w:tcPr>
          <w:p>
            <w:pPr>
              <w:spacing w:after="0"/>
            </w:pPr>
            <w:r>
              <w:rPr>
                <w:rFonts w:ascii="Arial" w:cs="Arial" w:eastAsia="Arial" w:hAnsi="Arial"/>
                <w:b w:val="false"/>
                <w:bCs w:val="false"/>
                <w:sz w:val="20"/>
                <w:szCs w:val="20"/>
              </w:rPr>
              <w:t xml:space="preserve">run_streaming.py</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tune_detector.py</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bl>
    <w:p>
      <w:pPr>
        <w:spacing w:after="160"/>
      </w:pPr>
    </w:p>
    <w:p>
      <w:pPr>
        <w:spacing w:after="160" w:line="360" w:lineRule="auto"/>
        <w:ind w:firstLine="425"/>
        <w:jc w:val="both"/>
      </w:pPr>
      <w:r>
        <w:rPr>
          <w:rFonts w:ascii="Arial" w:cs="Arial" w:eastAsia="Arial" w:hAnsi="Arial"/>
          <w:b/>
          <w:bCs/>
          <w:sz w:val="22"/>
          <w:szCs w:val="22"/>
        </w:rPr>
        <w:t xml:space="preserve">Experimentos y ablaciones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Pregunta que responde</w:t>
            </w:r>
          </w:p>
        </w:tc>
      </w:tr>
      <w:tr>
        <w:tc>
          <w:tcPr>
            <w:tcW w:type="dxa" w:w="4500"/>
          </w:tcPr>
          <w:p>
            <w:pPr>
              <w:spacing w:after="0"/>
            </w:pPr>
            <w:r>
              <w:rPr>
                <w:rFonts w:ascii="Arial" w:cs="Arial" w:eastAsia="Arial" w:hAnsi="Arial"/>
                <w:b w:val="false"/>
                <w:bCs w:val="false"/>
                <w:sz w:val="20"/>
                <w:szCs w:val="20"/>
              </w:rPr>
              <w:t xml:space="preserve">experimento.py</w:t>
            </w:r>
          </w:p>
        </w:tc>
        <w:tc>
          <w:tcPr>
            <w:tcW w:type="dxa" w:w="4500"/>
          </w:tcPr>
          <w:p>
            <w:pPr>
              <w:spacing w:after="0"/>
            </w:pPr>
            <w:r>
              <w:rPr>
                <w:rFonts w:ascii="Arial" w:cs="Arial" w:eastAsia="Arial" w:hAnsi="Arial"/>
                <w:b w:val="false"/>
                <w:bCs w:val="false"/>
                <w:sz w:val="20"/>
                <w:szCs w:val="20"/>
              </w:rPr>
              <w:t xml:space="preserve">Comparativa entre modelos y modos</w:t>
            </w:r>
          </w:p>
        </w:tc>
      </w:tr>
      <w:tr>
        <w:tc>
          <w:tcPr>
            <w:tcW w:type="dxa" w:w="4500"/>
          </w:tcPr>
          <w:p>
            <w:pPr>
              <w:spacing w:after="0"/>
            </w:pPr>
            <w:r>
              <w:rPr>
                <w:rFonts w:ascii="Arial" w:cs="Arial" w:eastAsia="Arial" w:hAnsi="Arial"/>
                <w:b w:val="false"/>
                <w:bCs w:val="false"/>
                <w:sz w:val="20"/>
                <w:szCs w:val="20"/>
              </w:rPr>
              <w:t xml:space="preserve">analisis.py</w:t>
            </w:r>
          </w:p>
        </w:tc>
        <w:tc>
          <w:tcPr>
            <w:tcW w:type="dxa" w:w="4500"/>
          </w:tcPr>
          <w:p>
            <w:pPr>
              <w:spacing w:after="0"/>
            </w:pPr>
            <w:r>
              <w:rPr>
                <w:rFonts w:ascii="Arial" w:cs="Arial" w:eastAsia="Arial" w:hAnsi="Arial"/>
                <w:b w:val="false"/>
                <w:bCs w:val="false"/>
                <w:sz w:val="20"/>
                <w:szCs w:val="20"/>
              </w:rPr>
              <w:t xml:space="preserve">Análisis estadístico de los resultados anteriores</w:t>
            </w:r>
          </w:p>
        </w:tc>
      </w:tr>
      <w:tr>
        <w:tc>
          <w:tcPr>
            <w:tcW w:type="dxa" w:w="4500"/>
          </w:tcPr>
          <w:p>
            <w:pPr>
              <w:spacing w:after="0"/>
            </w:pPr>
            <w:r>
              <w:rPr>
                <w:rFonts w:ascii="Arial" w:cs="Arial" w:eastAsia="Arial" w:hAnsi="Arial"/>
                <w:b w:val="false"/>
                <w:bCs w:val="false"/>
                <w:sz w:val="20"/>
                <w:szCs w:val="20"/>
              </w:rPr>
              <w:t xml:space="preserve">comparar_detectores.py</w:t>
            </w:r>
          </w:p>
        </w:tc>
        <w:tc>
          <w:tcPr>
            <w:tcW w:type="dxa" w:w="4500"/>
          </w:tcPr>
          <w:p>
            <w:pPr>
              <w:spacing w:after="0"/>
            </w:pPr>
            <w:r>
              <w:rPr>
                <w:rFonts w:ascii="Arial" w:cs="Arial" w:eastAsia="Arial" w:hAnsi="Arial"/>
                <w:b w:val="false"/>
                <w:bCs w:val="false"/>
                <w:sz w:val="20"/>
                <w:szCs w:val="20"/>
              </w:rPr>
              <w:t xml:space="preserve">¿Difieren XGBoost y Random Forest de forma significativa?</w:t>
            </w:r>
          </w:p>
        </w:tc>
      </w:tr>
      <w:tr>
        <w:tc>
          <w:tcPr>
            <w:tcW w:type="dxa" w:w="4500"/>
          </w:tcPr>
          <w:p>
            <w:pPr>
              <w:spacing w:after="0"/>
            </w:pPr>
            <w:r>
              <w:rPr>
                <w:rFonts w:ascii="Arial" w:cs="Arial" w:eastAsia="Arial" w:hAnsi="Arial"/>
                <w:b w:val="false"/>
                <w:bCs w:val="false"/>
                <w:sz w:val="20"/>
                <w:szCs w:val="20"/>
              </w:rPr>
              <w:t xml:space="preserve">ablacion_desbalanceo.py</w:t>
            </w:r>
          </w:p>
        </w:tc>
        <w:tc>
          <w:tcPr>
            <w:tcW w:type="dxa" w:w="4500"/>
          </w:tcPr>
          <w:p>
            <w:pPr>
              <w:spacing w:after="0"/>
            </w:pPr>
            <w:r>
              <w:rPr>
                <w:rFonts w:ascii="Arial" w:cs="Arial" w:eastAsia="Arial" w:hAnsi="Arial"/>
                <w:b w:val="false"/>
                <w:bCs w:val="false"/>
                <w:sz w:val="20"/>
                <w:szCs w:val="20"/>
              </w:rPr>
              <w:t xml:space="preserve">¿Qué aporta cada estrategia frente al desbalanceo?</w:t>
            </w:r>
          </w:p>
        </w:tc>
      </w:tr>
      <w:tr>
        <w:tc>
          <w:tcPr>
            <w:tcW w:type="dxa" w:w="4500"/>
          </w:tcPr>
          <w:p>
            <w:pPr>
              <w:spacing w:after="0"/>
            </w:pPr>
            <w:r>
              <w:rPr>
                <w:rFonts w:ascii="Arial" w:cs="Arial" w:eastAsia="Arial" w:hAnsi="Arial"/>
                <w:b w:val="false"/>
                <w:bCs w:val="false"/>
                <w:sz w:val="20"/>
                <w:szCs w:val="20"/>
              </w:rPr>
              <w:t xml:space="preserve">ablacion_variables.py</w:t>
            </w:r>
          </w:p>
        </w:tc>
        <w:tc>
          <w:tcPr>
            <w:tcW w:type="dxa" w:w="4500"/>
          </w:tcPr>
          <w:p>
            <w:pPr>
              <w:spacing w:after="0"/>
            </w:pPr>
            <w:r>
              <w:rPr>
                <w:rFonts w:ascii="Arial" w:cs="Arial" w:eastAsia="Arial" w:hAnsi="Arial"/>
                <w:b w:val="false"/>
                <w:bCs w:val="false"/>
                <w:sz w:val="20"/>
                <w:szCs w:val="20"/>
              </w:rPr>
              <w:t xml:space="preserve">¿Cuánto contribuye cada grupo de variables?</w:t>
            </w:r>
          </w:p>
        </w:tc>
      </w:tr>
      <w:tr>
        <w:tc>
          <w:tcPr>
            <w:tcW w:type="dxa" w:w="4500"/>
          </w:tcPr>
          <w:p>
            <w:pPr>
              <w:spacing w:after="0"/>
            </w:pPr>
            <w:r>
              <w:rPr>
                <w:rFonts w:ascii="Arial" w:cs="Arial" w:eastAsia="Arial" w:hAnsi="Arial"/>
                <w:b w:val="false"/>
                <w:bCs w:val="false"/>
                <w:sz w:val="20"/>
                <w:szCs w:val="20"/>
              </w:rPr>
              <w:t xml:space="preserve">ablacion_dominio.py</w:t>
            </w:r>
          </w:p>
        </w:tc>
        <w:tc>
          <w:tcPr>
            <w:tcW w:type="dxa" w:w="4500"/>
          </w:tcPr>
          <w:p>
            <w:pPr>
              <w:spacing w:after="0"/>
            </w:pPr>
            <w:r>
              <w:rPr>
                <w:rFonts w:ascii="Arial" w:cs="Arial" w:eastAsia="Arial" w:hAnsi="Arial"/>
                <w:b w:val="false"/>
                <w:bCs w:val="false"/>
                <w:sz w:val="20"/>
                <w:szCs w:val="20"/>
              </w:rPr>
              <w:t xml:space="preserve">¿Cambia el veredicto al corregir la premisa, o solo la prosa?</w:t>
            </w:r>
          </w:p>
        </w:tc>
      </w:tr>
      <w:tr>
        <w:tc>
          <w:tcPr>
            <w:tcW w:type="dxa" w:w="4500"/>
          </w:tcPr>
          <w:p>
            <w:pPr>
              <w:spacing w:after="0"/>
            </w:pPr>
            <w:r>
              <w:rPr>
                <w:rFonts w:ascii="Arial" w:cs="Arial" w:eastAsia="Arial" w:hAnsi="Arial"/>
                <w:b w:val="false"/>
                <w:bCs w:val="false"/>
                <w:sz w:val="20"/>
                <w:szCs w:val="20"/>
              </w:rPr>
              <w:t xml:space="preserve">investigador_solo.py</w:t>
            </w:r>
          </w:p>
        </w:tc>
        <w:tc>
          <w:tcPr>
            <w:tcW w:type="dxa" w:w="4500"/>
          </w:tcPr>
          <w:p>
            <w:pPr>
              <w:spacing w:after="0"/>
            </w:pPr>
            <w:r>
              <w:rPr>
                <w:rFonts w:ascii="Arial" w:cs="Arial" w:eastAsia="Arial" w:hAnsi="Arial"/>
                <w:b w:val="false"/>
                <w:bCs w:val="false"/>
                <w:sz w:val="20"/>
                <w:szCs w:val="20"/>
              </w:rPr>
              <w:t xml:space="preserve">Comparación con modelos de mayor capacidad</w:t>
            </w:r>
          </w:p>
        </w:tc>
      </w:tr>
    </w:tbl>
    <w:p>
      <w:pPr>
        <w:spacing w:after="160"/>
      </w:pPr>
    </w:p>
    <w:p>
      <w:pPr>
        <w:spacing w:after="160" w:line="360" w:lineRule="auto"/>
        <w:ind w:firstLine="425"/>
        <w:jc w:val="both"/>
      </w:pPr>
      <w:r>
        <w:rPr>
          <w:rFonts w:ascii="Arial" w:cs="Arial" w:eastAsia="Arial" w:hAnsi="Arial"/>
          <w:b/>
          <w:bCs/>
          <w:sz w:val="22"/>
          <w:szCs w:val="22"/>
        </w:rPr>
        <w:t xml:space="preserve">Pruebas sin modelo de lenguaje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Qué comprueba</w:t>
            </w:r>
          </w:p>
        </w:tc>
      </w:tr>
      <w:tr>
        <w:tc>
          <w:tcPr>
            <w:tcW w:type="dxa" w:w="4500"/>
          </w:tcPr>
          <w:p>
            <w:pPr>
              <w:spacing w:after="0"/>
            </w:pPr>
            <w:r>
              <w:rPr>
                <w:rFonts w:ascii="Arial" w:cs="Arial" w:eastAsia="Arial" w:hAnsi="Arial"/>
                <w:b w:val="false"/>
                <w:bCs w:val="false"/>
                <w:sz w:val="20"/>
                <w:szCs w:val="20"/>
              </w:rPr>
              <w:t xml:space="preserve">test_detector.py</w:t>
            </w:r>
          </w:p>
        </w:tc>
        <w:tc>
          <w:tcPr>
            <w:tcW w:type="dxa" w:w="4500"/>
          </w:tcPr>
          <w:p>
            <w:pPr>
              <w:spacing w:after="0"/>
            </w:pPr>
            <w:r>
              <w:rPr>
                <w:rFonts w:ascii="Arial" w:cs="Arial" w:eastAsia="Arial" w:hAnsi="Arial"/>
                <w:b w:val="false"/>
                <w:bCs w:val="false"/>
                <w:sz w:val="20"/>
                <w:szCs w:val="20"/>
              </w:rPr>
              <w:t xml:space="preserve">El detector como herramienta</w:t>
            </w:r>
          </w:p>
        </w:tc>
      </w:tr>
      <w:tr>
        <w:tc>
          <w:tcPr>
            <w:tcW w:type="dxa" w:w="4500"/>
          </w:tcPr>
          <w:p>
            <w:pPr>
              <w:spacing w:after="0"/>
            </w:pPr>
            <w:r>
              <w:rPr>
                <w:rFonts w:ascii="Arial" w:cs="Arial" w:eastAsia="Arial" w:hAnsi="Arial"/>
                <w:b w:val="false"/>
                <w:bCs w:val="false"/>
                <w:sz w:val="20"/>
                <w:szCs w:val="20"/>
              </w:rPr>
              <w:t xml:space="preserve">test_tools.py</w:t>
            </w:r>
          </w:p>
        </w:tc>
        <w:tc>
          <w:tcPr>
            <w:tcW w:type="dxa" w:w="4500"/>
          </w:tcPr>
          <w:p>
            <w:pPr>
              <w:spacing w:after="0"/>
            </w:pPr>
            <w:r>
              <w:rPr>
                <w:rFonts w:ascii="Arial" w:cs="Arial" w:eastAsia="Arial" w:hAnsi="Arial"/>
                <w:b w:val="false"/>
                <w:bCs w:val="false"/>
                <w:sz w:val="20"/>
                <w:szCs w:val="20"/>
              </w:rPr>
              <w:t xml:space="preserve">Las herramientas de construcción del expediente</w:t>
            </w:r>
          </w:p>
        </w:tc>
      </w:tr>
      <w:tr>
        <w:tc>
          <w:tcPr>
            <w:tcW w:type="dxa" w:w="4500"/>
          </w:tcPr>
          <w:p>
            <w:pPr>
              <w:spacing w:after="0"/>
            </w:pPr>
            <w:r>
              <w:rPr>
                <w:rFonts w:ascii="Arial" w:cs="Arial" w:eastAsia="Arial" w:hAnsi="Arial"/>
                <w:b w:val="false"/>
                <w:bCs w:val="false"/>
                <w:sz w:val="20"/>
                <w:szCs w:val="20"/>
              </w:rPr>
              <w:t xml:space="preserve">test_auditor.py</w:t>
            </w:r>
          </w:p>
        </w:tc>
        <w:tc>
          <w:tcPr>
            <w:tcW w:type="dxa" w:w="4500"/>
          </w:tcPr>
          <w:p>
            <w:pPr>
              <w:spacing w:after="0"/>
            </w:pPr>
            <w:r>
              <w:rPr>
                <w:rFonts w:ascii="Arial" w:cs="Arial" w:eastAsia="Arial" w:hAnsi="Arial"/>
                <w:b w:val="false"/>
                <w:bCs w:val="false"/>
                <w:sz w:val="20"/>
                <w:szCs w:val="20"/>
              </w:rPr>
              <w:t xml:space="preserve">Regresión del auditor de informes</w:t>
            </w:r>
          </w:p>
        </w:tc>
      </w:tr>
      <w:tr>
        <w:tc>
          <w:tcPr>
            <w:tcW w:type="dxa" w:w="4500"/>
          </w:tcPr>
          <w:p>
            <w:pPr>
              <w:spacing w:after="0"/>
            </w:pPr>
            <w:r>
              <w:rPr>
                <w:rFonts w:ascii="Arial" w:cs="Arial" w:eastAsia="Arial" w:hAnsi="Arial"/>
                <w:b w:val="false"/>
                <w:bCs w:val="false"/>
                <w:sz w:val="20"/>
                <w:szCs w:val="20"/>
              </w:rPr>
              <w:t xml:space="preserve">test_crew_minimo.py</w:t>
            </w:r>
          </w:p>
        </w:tc>
        <w:tc>
          <w:tcPr>
            <w:tcW w:type="dxa" w:w="4500"/>
          </w:tcPr>
          <w:p>
            <w:pPr>
              <w:spacing w:after="0"/>
            </w:pPr>
            <w:r>
              <w:rPr>
                <w:rFonts w:ascii="Arial" w:cs="Arial" w:eastAsia="Arial" w:hAnsi="Arial"/>
                <w:b w:val="false"/>
                <w:bCs w:val="false"/>
                <w:sz w:val="20"/>
                <w:szCs w:val="20"/>
              </w:rPr>
              <w:t xml:space="preserve">Un agente y una herramienta, para acotar fallos de integración</w:t>
            </w:r>
          </w:p>
        </w:tc>
      </w:tr>
      <w:tr>
        <w:tc>
          <w:tcPr>
            <w:tcW w:type="dxa" w:w="4500"/>
          </w:tcPr>
          <w:p>
            <w:pPr>
              <w:spacing w:after="0"/>
            </w:pPr>
            <w:r>
              <w:rPr>
                <w:rFonts w:ascii="Arial" w:cs="Arial" w:eastAsia="Arial" w:hAnsi="Arial"/>
                <w:b w:val="false"/>
                <w:bCs w:val="false"/>
                <w:sz w:val="20"/>
                <w:szCs w:val="20"/>
              </w:rPr>
              <w:t xml:space="preserve">reauditar.py</w:t>
            </w:r>
          </w:p>
        </w:tc>
        <w:tc>
          <w:tcPr>
            <w:tcW w:type="dxa" w:w="4500"/>
          </w:tcPr>
          <w:p>
            <w:pPr>
              <w:spacing w:after="0"/>
            </w:pPr>
            <w:r>
              <w:rPr>
                <w:rFonts w:ascii="Arial" w:cs="Arial" w:eastAsia="Arial" w:hAnsi="Arial"/>
                <w:b w:val="false"/>
                <w:bCs w:val="false"/>
                <w:sz w:val="20"/>
                <w:szCs w:val="20"/>
              </w:rPr>
              <w:t xml:space="preserve">Reaplica el auditor actual a informes antiguos</w:t>
            </w:r>
          </w:p>
        </w:tc>
      </w:tr>
    </w:tbl>
    <w:p>
      <w:pPr>
        <w:spacing w:after="160"/>
      </w:pPr>
    </w:p>
    <w:p>
      <w:pPr>
        <w:spacing w:after="160" w:line="360" w:lineRule="auto"/>
        <w:ind w:firstLine="425"/>
        <w:jc w:val="both"/>
      </w:pPr>
      <w:r>
        <w:rPr>
          <w:rFonts w:ascii="Arial" w:cs="Arial" w:eastAsia="Arial" w:hAnsi="Arial"/>
          <w:sz w:val="22"/>
          <w:szCs w:val="22"/>
        </w:rPr>
        <w:t xml:space="preserve">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ea0100301630ca07e07f5e098233946d5196d6a.undefined"/><Relationship Id="rId10" Type="http://schemas.openxmlformats.org/officeDocument/2006/relationships/image" Target="media/4bfdc9b5297e3c8ad85346fdac46eaa0b2971e1f.undefined"/><Relationship Id="rId11" Type="http://schemas.openxmlformats.org/officeDocument/2006/relationships/image" Target="media/5443ce0513705a1a875e21816bffbf8a742fe66a.undefined"/><Relationship Id="rId12" Type="http://schemas.openxmlformats.org/officeDocument/2006/relationships/image" Target="media/2be6a6ffb4dccdb361e690e14d1923b3966c5d35.undefined"/><Relationship Id="rId13" Type="http://schemas.openxmlformats.org/officeDocument/2006/relationships/image" Target="media/a6b6d20894f1cab8dc1529ece5855991ac15d6bb.undefined"/><Relationship Id="rId14" Type="http://schemas.openxmlformats.org/officeDocument/2006/relationships/image" Target="media/d37a123c935edd168749901f4d906c02844ea0ed.undefined"/><Relationship Id="rId15" Type="http://schemas.openxmlformats.org/officeDocument/2006/relationships/image" Target="media/42beb2628c02c6b8adc537789f9a586158e08491.undefined"/><Relationship Id="rId16" Type="http://schemas.openxmlformats.org/officeDocument/2006/relationships/image" Target="media/2713710ee29419713561b184a3002afd976b2207.undefined"/><Relationship Id="rId17" Type="http://schemas.openxmlformats.org/officeDocument/2006/relationships/image" Target="media/44645f6f8714ba53cc9389784c5c7c515192d70b.undefined"/><Relationship Id="rId18" Type="http://schemas.openxmlformats.org/officeDocument/2006/relationships/image" Target="media/a74094da72a41ef8e2c3d86c1192a359067c3f1d.undefined"/><Relationship Id="rId19" Type="http://schemas.openxmlformats.org/officeDocument/2006/relationships/image" Target="media/0b390121a6aaed94d77ea8e9cefc970c0b49d4cd.undefined"/><Relationship Id="rId20" Type="http://schemas.openxmlformats.org/officeDocument/2006/relationships/image" Target="media/05990224bd2725101f6ceff62e5c78ee113146e2.undefined"/><Relationship Id="rId21" Type="http://schemas.openxmlformats.org/officeDocument/2006/relationships/image" Target="media/9c91d20d4cae95ff6d7eda2c91e5e685b0f68972.undefined"/><Relationship Id="rId22" Type="http://schemas.openxmlformats.org/officeDocument/2006/relationships/image" Target="media/38c5ec19b99ee9190b70907c0a80c42d6c63245b.undefined"/><Relationship Id="rId23" Type="http://schemas.openxmlformats.org/officeDocument/2006/relationships/image" Target="media/05c0b7d501886dcf150e5436f3bd51051f8655d2.undefined"/><Relationship Id="rId24" Type="http://schemas.openxmlformats.org/officeDocument/2006/relationships/image" Target="media/743fde3fa19a4d9af3a0d552d0885bc41cd1782d.undefined"/><Relationship Id="rId25" Type="http://schemas.openxmlformats.org/officeDocument/2006/relationships/image" Target="media/5675489fa005bb45a4ede8333934108712bc1ca5.undefined"/><Relationship Id="rId26" Type="http://schemas.openxmlformats.org/officeDocument/2006/relationships/image" Target="media/98202948ec9eb0cbae25c5a891cfd359798b6f8b.undefined"/><Relationship Id="rId27" Type="http://schemas.openxmlformats.org/officeDocument/2006/relationships/image" Target="media/fa87e9b94964b7ac6b39b193cfe90066807f23f2.undefined"/><Relationship Id="rId28" Type="http://schemas.openxmlformats.org/officeDocument/2006/relationships/image" Target="media/e9eb82f9d619f54b8a5e5c786275a7d71471689f.undefined"/><Relationship Id="rId29" Type="http://schemas.openxmlformats.org/officeDocument/2006/relationships/image" Target="media/44cc1f6ac5a890f53af0bded2769c3f38cb39993.undefined"/><Relationship Id="rId30" Type="http://schemas.openxmlformats.org/officeDocument/2006/relationships/image" Target="media/de208c8bdfc1b72fb7cc009bd6233f427ec124fb.undefined"/><Relationship Id="rId31" Type="http://schemas.openxmlformats.org/officeDocument/2006/relationships/image" Target="media/9650882ce3bff5ab96b2293773da8a83bdd3e419.undefined"/><Relationship Id="rId32" Type="http://schemas.openxmlformats.org/officeDocument/2006/relationships/image" Target="media/a80073e287482b324a824f92247d68a6a964b84d.undefined"/><Relationship Id="rId33" Type="http://schemas.openxmlformats.org/officeDocument/2006/relationships/image" Target="media/d682c3a07272ade658918fe78be6cc337a30c1a1.undefined"/><Relationship Id="rId34" Type="http://schemas.openxmlformats.org/officeDocument/2006/relationships/image" Target="media/9b5b41875f85b8320587bd4ae0a413dd1043647a.undefined"/><Relationship Id="rId35" Type="http://schemas.openxmlformats.org/officeDocument/2006/relationships/image" Target="media/41df8aee3fdd86aeed79be20e5e3a348d5de5cba.undefined"/><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2026-09-09T11:54:11.481Z</dcterms:created>
  <dcterms:modified xsi:type="dcterms:W3CDTF">2026-09-09T11:54:11.484Z</dcterms:modified>
</cp:coreProperties>
</file>

<file path=docProps/custom.xml><?xml version="1.0" encoding="utf-8"?>
<Properties xmlns="http://schemas.openxmlformats.org/officeDocument/2006/custom-properties" xmlns:vt="http://schemas.openxmlformats.org/officeDocument/2006/docPropsVTypes"/>
</file>