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pPr>
      <w:r>
        <w:rPr>
          <w:rFonts w:ascii="Arial" w:cs="Arial" w:eastAsia="Arial" w:hAnsi="Arial"/>
          <w:i/>
          <w:iCs/>
          <w:color w:val="808080"/>
          <w:sz w:val="22"/>
          <w:szCs w:val="22"/>
        </w:rPr>
        <w:t xml:space="preserve">[PENDIENTE] De este trabajo se ha consultado únicamente el resumen. Antes de darle el peso que aquí tiene hay que leerlo completo y comprobar sobre qué conjuntos concretos se obtiene esa equivalencia y con qué modelo, porque la afirmación tal como está redactada es fuerte.</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pPr>
      <w:r>
        <w:rPr>
          <w:rFonts w:ascii="Arial" w:cs="Arial" w:eastAsia="Arial" w:hAnsi="Arial"/>
          <w:i/>
          <w:iCs/>
          <w:color w:val="808080"/>
          <w:sz w:val="22"/>
          <w:szCs w:val="22"/>
        </w:rPr>
        <w:t xml:space="preserve">[PENDIENTE] Localizar y leer al menos un trabajo que sitúe explícitamente el rendimiento de los modelos de lenguaje en función de la disponibilidad de contexto semántico. Es la referencia que sostendría la línea de trabajo futuro hacia dominios como SEPA o prevención de blanqueo, y sin ella esa propuesta queda apoyada solo en el razonamiento propio.</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pPr>
      <w:r>
        <w:rPr>
          <w:rFonts w:ascii="Arial" w:cs="Arial" w:eastAsia="Arial" w:hAnsi="Arial"/>
          <w:i/>
          <w:iCs/>
          <w:color w:val="808080"/>
          <w:sz w:val="22"/>
          <w:szCs w:val="22"/>
        </w:rPr>
        <w:t xml:space="preserve">[PENDIENTE] De ambos trabajos se ha consultado únicamente el resumen. Leerlos completos antes de darles más peso, y comprobar en el primero qué modelos concretos evalúa y de qué tamaños, porque es el dato que permitiría situar los de este trabajo dentro de su escala.</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pPr>
      <w:r>
        <w:rPr>
          <w:rFonts w:ascii="Arial" w:cs="Arial" w:eastAsia="Arial" w:hAnsi="Arial"/>
          <w:i/>
          <w:iCs/>
          <w:color w:val="808080"/>
          <w:sz w:val="22"/>
          <w:szCs w:val="22"/>
        </w:rPr>
        <w:t xml:space="preserve">[PENDIENTE] Localizar una referencia que sostenga la afirmación, frecuente en la divulgación técnica, de que existe un umbral de tamaño en torno a los siete mil millones de parámetros por debajo del cual la invocación de herramientas deja de ser fiable. Los tres trabajos recogidos en docs/ESTADO_DEL_ARTE.md se han comprobado y NINGUNO de sus resúmenes afirma tal cosa. Si no aparece una fuente que lo respalde, la idea del umbral no debe figurar en esta memoria en ninguna forma.</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1.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Observaciones</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Definición y montaje del entorno</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prácticas</w:t>
            </w:r>
          </w:p>
        </w:tc>
      </w:tr>
      <w:tr>
        <w:tc>
          <w:tcPr>
            <w:tcW w:type="dxa" w:w="1800"/>
          </w:tcPr>
          <w:p>
            <w:pPr>
              <w:spacing w:after="0"/>
            </w:pPr>
            <w:r>
              <w:rPr>
                <w:rFonts w:ascii="Arial" w:cs="Arial" w:eastAsia="Arial" w:hAnsi="Arial"/>
                <w:b w:val="false"/>
                <w:bCs w:val="false"/>
                <w:sz w:val="20"/>
                <w:szCs w:val="20"/>
              </w:rPr>
              <w:t xml:space="preserve">7 jul – 31 jul</w:t>
            </w:r>
          </w:p>
        </w:tc>
        <w:tc>
          <w:tcPr>
            <w:tcW w:type="dxa" w:w="1800"/>
          </w:tcPr>
          <w:p>
            <w:pPr>
              <w:spacing w:after="0"/>
            </w:pPr>
            <w:r>
              <w:rPr>
                <w:rFonts w:ascii="Arial" w:cs="Arial" w:eastAsia="Arial" w:hAnsi="Arial"/>
                <w:b w:val="false"/>
                <w:bCs w:val="false"/>
                <w:sz w:val="20"/>
                <w:szCs w:val="20"/>
              </w:rPr>
              <w:t xml:space="preserve">25</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87 h</w:t>
            </w:r>
          </w:p>
        </w:tc>
        <w:tc>
          <w:tcPr>
            <w:tcW w:type="dxa" w:w="1800"/>
          </w:tcPr>
          <w:p>
            <w:pPr>
              <w:spacing w:after="0"/>
            </w:pPr>
            <w:r>
              <w:rPr>
                <w:rFonts w:ascii="Arial" w:cs="Arial" w:eastAsia="Arial" w:hAnsi="Arial"/>
                <w:b w:val="false"/>
                <w:bCs w:val="false"/>
                <w:sz w:val="20"/>
                <w:szCs w:val="20"/>
              </w:rPr>
              <w:t xml:space="preserve">Desarrollo, bloqueo y reorientación</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95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92 h</w:t>
            </w:r>
          </w:p>
        </w:tc>
        <w:tc>
          <w:tcPr>
            <w:tcW w:type="dxa" w:w="1800"/>
          </w:tcPr>
          <w:p>
            <w:pPr>
              <w:spacing w:after="0"/>
            </w:pPr>
            <w:r>
              <w:rPr>
                <w:rFonts w:ascii="Arial" w:cs="Arial" w:eastAsia="Arial" w:hAnsi="Arial"/>
                <w:b w:val="false"/>
                <w:bCs w:val="false"/>
                <w:sz w:val="20"/>
                <w:szCs w:val="20"/>
              </w:rPr>
              <w:t xml:space="preserve">31 %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 interrupción de mayo y junio fue una decisión de gestión consciente. Su consecuencia, en cambio, no fue menor: retrasó hasta julio la detección del problema de infraestructura. De haberse trabajado sobre SAP en mayo, el fallo se habría manifestado con cuatro meses de margen en lugar de con doce semanas.</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2.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Seguimiento del desarrollo</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el importe mediano de una transacción fraudulenta es de 2,11 euros frente a 19,99 de una legítima, y el 59,3 % de los fraudes no llega a cinco euros frente al 25,1 % de las legítimas. Una transacción fraudulenta tiene 2,4 veces más probabilidad de ser de importe reducido que una legítima.</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modelo de razonamiento agotaba su presupuesto de generación pensando antes de responder, de modo que la respuesta llegaba vacía o cortada a mitad de frase, sin el veredicto final.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Ajuste fino sobre casos etiquetados.</w:t>
      </w:r>
      <w:r>
        <w:rPr>
          <w:rFonts w:ascii="Arial" w:cs="Arial" w:eastAsia="Arial" w:hAnsi="Arial"/>
          <w:sz w:val="22"/>
          <w:szCs w:val="22"/>
        </w:rPr>
        <w:t xml:space="preserve"> Dado que corregir la premisa en el enunciado no altera la decisión, la vía razonable para modificarla sería un ajuste de bajo rango sobre ejemplos del propio dominio, que sustituiría la creencia general del modelo por la distribución real de estos datos. Es también la forma de comprobar si la disociación descrita en 6.2.2 persiste cuando la información llega por los pesos y no por el enunciado.</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[PENDIENTE] Anomaly Detection of Tabular Data Using LLMs, arXiv:2406.16308. Consultado solo el resumen; leer completo antes de incluirlo.</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be6a6ffb4dccdb361e690e14d1923b3966c5d35.undefined"/><Relationship Id="rId10" Type="http://schemas.openxmlformats.org/officeDocument/2006/relationships/image" Target="media/a6b6d20894f1cab8dc1529ece5855991ac15d6bb.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2026-08-06T08:04:32.075Z</dcterms:created>
  <dcterms:modified xsi:type="dcterms:W3CDTF">2026-08-06T08:04:32.076Z</dcterms:modified>
</cp:coreProperties>
</file>

<file path=docProps/custom.xml><?xml version="1.0" encoding="utf-8"?>
<Properties xmlns="http://schemas.openxmlformats.org/officeDocument/2006/custom-properties" xmlns:vt="http://schemas.openxmlformats.org/officeDocument/2006/docPropsVTypes"/>
</file>