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DOCUMENTACIÓN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WIREFRAMES / MOCKUPS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114523</wp:posOffset>
            </wp:positionV>
            <wp:extent cx="6886575" cy="3582684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5826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Adrià Navarro Girau</w:t>
      </w:r>
    </w:p>
    <w:p w:rsidR="00000000" w:rsidDel="00000000" w:rsidP="00000000" w:rsidRDefault="00000000" w:rsidRPr="00000000" w14:paraId="00000014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DAW</w:t>
      </w:r>
    </w:p>
    <w:p w:rsidR="00000000" w:rsidDel="00000000" w:rsidP="00000000" w:rsidRDefault="00000000" w:rsidRPr="00000000" w14:paraId="00000015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Diseño de Interfaces Web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Índice</w:t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gi68t4t9cra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WEB CORPORATIVA</w:t>
              <w:tab/>
            </w:r>
          </w:hyperlink>
          <w:r w:rsidDel="00000000" w:rsidR="00000000" w:rsidRPr="00000000">
            <w:fldChar w:fldCharType="begin"/>
            <w:instrText xml:space="preserve"> PAGEREF _ngi68t4t9cra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dccctg2ax26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Wireframe Home</w:t>
              <w:tab/>
            </w:r>
          </w:hyperlink>
          <w:r w:rsidDel="00000000" w:rsidR="00000000" w:rsidRPr="00000000">
            <w:fldChar w:fldCharType="begin"/>
            <w:instrText xml:space="preserve"> PAGEREF _dccctg2ax26l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g0kqbfho4s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Mockup Home</w:t>
              <w:tab/>
            </w:r>
          </w:hyperlink>
          <w:r w:rsidDel="00000000" w:rsidR="00000000" w:rsidRPr="00000000">
            <w:fldChar w:fldCharType="begin"/>
            <w:instrText xml:space="preserve"> PAGEREF _yg0kqbfho4sd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bgdx2819ia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Wireframe Descarga de producto y compra</w:t>
              <w:tab/>
            </w:r>
          </w:hyperlink>
          <w:r w:rsidDel="00000000" w:rsidR="00000000" w:rsidRPr="00000000">
            <w:fldChar w:fldCharType="begin"/>
            <w:instrText xml:space="preserve"> PAGEREF _hbgdx2819iaf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gnd49361el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Mockup Descarga de producto y compra</w:t>
              <w:tab/>
            </w:r>
          </w:hyperlink>
          <w:r w:rsidDel="00000000" w:rsidR="00000000" w:rsidRPr="00000000">
            <w:fldChar w:fldCharType="begin"/>
            <w:instrText xml:space="preserve"> PAGEREF _xgnd49361elf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m85bwkcbgn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Wireframe Casos de éxito</w:t>
              <w:tab/>
            </w:r>
          </w:hyperlink>
          <w:r w:rsidDel="00000000" w:rsidR="00000000" w:rsidRPr="00000000">
            <w:fldChar w:fldCharType="begin"/>
            <w:instrText xml:space="preserve"> PAGEREF _im85bwkcbgn3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99ex8rcyfm2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Mockup Casos de éxito</w:t>
              <w:tab/>
            </w:r>
          </w:hyperlink>
          <w:r w:rsidDel="00000000" w:rsidR="00000000" w:rsidRPr="00000000">
            <w:fldChar w:fldCharType="begin"/>
            <w:instrText xml:space="preserve"> PAGEREF _99ex8rcyfm28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otv1immix9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Wireframe Gestión de comentarios</w:t>
              <w:tab/>
            </w:r>
          </w:hyperlink>
          <w:r w:rsidDel="00000000" w:rsidR="00000000" w:rsidRPr="00000000">
            <w:fldChar w:fldCharType="begin"/>
            <w:instrText xml:space="preserve"> PAGEREF _votv1immix9j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/>
          </w:pPr>
          <w:hyperlink w:anchor="_7zk2qr9047x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Mockup Gestión de comentarios</w:t>
              <w:tab/>
            </w:r>
          </w:hyperlink>
          <w:r w:rsidDel="00000000" w:rsidR="00000000" w:rsidRPr="00000000">
            <w:fldChar w:fldCharType="begin"/>
            <w:instrText xml:space="preserve"> PAGEREF _7zk2qr9047xg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jsyq6shwpbrf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WebAPP</w:t>
              <w:tab/>
            </w:r>
          </w:hyperlink>
          <w:r w:rsidDel="00000000" w:rsidR="00000000" w:rsidRPr="00000000">
            <w:fldChar w:fldCharType="begin"/>
            <w:instrText xml:space="preserve"> PAGEREF _jsyq6shwpbrf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gwzgelsidv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Wireframe Informe de alarma de aprovisionamiento</w:t>
              <w:tab/>
            </w:r>
          </w:hyperlink>
          <w:r w:rsidDel="00000000" w:rsidR="00000000" w:rsidRPr="00000000">
            <w:fldChar w:fldCharType="begin"/>
            <w:instrText xml:space="preserve"> PAGEREF _lgwzgelsidvd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dhhaox3wg5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Mockup Informe de alarma de aprovisionamiento</w:t>
              <w:tab/>
            </w:r>
          </w:hyperlink>
          <w:r w:rsidDel="00000000" w:rsidR="00000000" w:rsidRPr="00000000">
            <w:fldChar w:fldCharType="begin"/>
            <w:instrText xml:space="preserve"> PAGEREF _adhhaox3wg5j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l4jk4miuhe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Wireframe Importación de API Externa</w:t>
              <w:tab/>
            </w:r>
          </w:hyperlink>
          <w:r w:rsidDel="00000000" w:rsidR="00000000" w:rsidRPr="00000000">
            <w:fldChar w:fldCharType="begin"/>
            <w:instrText xml:space="preserve"> PAGEREF _8l4jk4miuhe7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bvxrhjnqsu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Mockup Importación de API Externa</w:t>
              <w:tab/>
            </w:r>
          </w:hyperlink>
          <w:r w:rsidDel="00000000" w:rsidR="00000000" w:rsidRPr="00000000">
            <w:fldChar w:fldCharType="begin"/>
            <w:instrText xml:space="preserve"> PAGEREF _obvxrhjnqsu6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jc w:val="center"/>
        <w:rPr>
          <w:sz w:val="24"/>
          <w:szCs w:val="24"/>
        </w:rPr>
      </w:pPr>
      <w:bookmarkStart w:colFirst="0" w:colLast="0" w:name="_ngi68t4t9cra" w:id="0"/>
      <w:bookmarkEnd w:id="0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WEB CORPORATIVA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jc w:val="both"/>
        <w:rPr>
          <w:b w:val="1"/>
          <w:sz w:val="28"/>
          <w:szCs w:val="28"/>
        </w:rPr>
      </w:pPr>
      <w:bookmarkStart w:colFirst="0" w:colLast="0" w:name="_9i7eh6sft8b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jc w:val="both"/>
        <w:rPr>
          <w:b w:val="1"/>
          <w:sz w:val="28"/>
          <w:szCs w:val="28"/>
        </w:rPr>
      </w:pPr>
      <w:bookmarkStart w:colFirst="0" w:colLast="0" w:name="_dccctg2ax26l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Wireframe Home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123825</wp:posOffset>
            </wp:positionV>
            <wp:extent cx="5731200" cy="2705100"/>
            <wp:effectExtent b="0" l="0" r="0" t="0"/>
            <wp:wrapSquare wrapText="bothSides" distB="114300" distT="114300" distL="114300" distR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pStyle w:val="Heading2"/>
        <w:jc w:val="both"/>
        <w:rPr>
          <w:b w:val="1"/>
          <w:sz w:val="28"/>
          <w:szCs w:val="28"/>
        </w:rPr>
      </w:pPr>
      <w:bookmarkStart w:colFirst="0" w:colLast="0" w:name="_yg0kqbfho4sd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Mockup Home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logo se sitúa en la parte izquierda del header, que también sirve como enlace a la página Home.</w:t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modo escritorio, al medio del header, se encuentra el menú, donde podemos acceder a otros elementos de la web. En la parte derecha del menú, se encuentran el botón de Login para darse de alta en la web y el botón de búsqueda para buscar algo en concreto de la web.</w:t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móvil, dándole al botón del menú, sale un desplegable con todos los elementos de la web. El header es el mismo para los demás apartados.</w:t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Debajo del Header se sitúa una imágen donde destaca el slogan.</w:t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centro se sitúa el contenido principal: Novedades, cambios recientes y por último las reseñas de los clientes. La barra de navegación se sitúa a la derecha.</w:t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Webs: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https://www.odoo.com/es_ES?utm_source=google&amp;utm_medium=cpc&amp;utm_campaign=WEU-ES-ES-ERP_App-Specific-Values&amp;gad_source=1&amp;gclid=Cj0KCQjwr9m3BhDHARIsANut04acQtUA5R_atTJ4cP4FgVp0E1FOgMbGVDcw2DE9iVi07aidiaehwNIaAlbmEALw_wcB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imly.com/es/elegir-el-sistema-de-gestion-de-almacenes-adecuado-para-la-pequena-empresa/?utm_feeditemid=&amp;utm_device=c&amp;utm_term=&amp;utm_source=google&amp;utm_medium=cpc&amp;utm_campaign=ES%2B+%7C+DSA&amp;hsa_cam=21159235147&amp;hsa_grp=157419177781&amp;hsa_mt=&amp;hsa_src=g&amp;hsa_ad=710161422469&amp;hsa_acc=7499781921&amp;hsa_net=adwords&amp;hsa_kw=&amp;hsa_tgt=dsa-43644831729&amp;hsa_ver=3&amp;gad_source=1&amp;gclid=Cj0KCQjwr9m3BhDHARIsANut04a2M8UEHlHwoNR81dSy-GNFekDNHcMqLFRTgvQNR3XQaiR0L48fb0UaAsInEALw_wc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https://www.datadec.es/blog/la-gestion-de-almacen-que-es-procesos-consejos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ockagile.com/sga-gestion-de-almacenes/?utm_term=programa%20de%20gesti%C3%B3n%20de%20almac%C3%A9n&amp;utm_campaign=Busc-Servicios&amp;utm_source=adwords&amp;utm_medium=ppc&amp;hsa_acc=9079418621&amp;hsa_cam=21473954395&amp;hsa_grp=168420208241&amp;hsa_ad=705792229174&amp;hsa_src=g&amp;hsa_tgt=kwd-1161281402141&amp;hsa_kw=programa%20de%20gesti%C3%B3n%20de%20almac%C3%A9n&amp;hsa_mt=p&amp;hsa_net=adwords&amp;hsa_ver=3&amp;gad_source=1&amp;gclid=Cj0KCQjwr9m3BhDHARIsANut04ZZZylWdDEl7ohS1bbdW0jCLTt-RfYprTQOUFfMtHT2CapvE-BHkG8aAooAEALw_wc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jc w:val="both"/>
        <w:rPr>
          <w:b w:val="1"/>
          <w:sz w:val="28"/>
          <w:szCs w:val="28"/>
        </w:rPr>
      </w:pPr>
      <w:bookmarkStart w:colFirst="0" w:colLast="0" w:name="_hbgdx2819iaf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Wireframe Descarga de producto y compra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377996</wp:posOffset>
            </wp:positionV>
            <wp:extent cx="5731200" cy="2654300"/>
            <wp:effectExtent b="0" l="0" r="0" t="0"/>
            <wp:wrapSquare wrapText="bothSides" distB="114300" distT="114300" distL="114300" distR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Style w:val="Heading2"/>
        <w:jc w:val="both"/>
        <w:rPr>
          <w:b w:val="1"/>
          <w:sz w:val="28"/>
          <w:szCs w:val="28"/>
        </w:rPr>
      </w:pPr>
      <w:bookmarkStart w:colFirst="0" w:colLast="0" w:name="_xgnd49361elf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Mockup Descarga de producto y compra</w:t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proceso para descargar el producto se basa en: Primero registrarse en la web, una vez registrado se procederá al pago del producto y por último la descarga; si el usuario ya está registrado, se saltará el primer proceso.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123825</wp:posOffset>
            </wp:positionV>
            <wp:extent cx="5731200" cy="2819400"/>
            <wp:effectExtent b="0" l="0" r="0" t="0"/>
            <wp:wrapSquare wrapText="bothSides" distB="114300" distT="114300" distL="114300" distR="11430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modo Escritorio, en la parte izquierda se encuentra la descripción breve del producto junto a una imagen informativa. En la parte derecha se ubica una ruta de navegación que indica al usuario la parte del proceso en que se encuentra.</w:t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Abajo está el formulario para registrarse donde hay que introducir el nombre completo, un correo electrónico y un número de teléfono. Por último hay una casilla opcional para recibir novedades sobre el producto y un botón para pasar al siguiente proceso.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móvil, la descripción del producto se sitúa en la parte superior, por debajo del header. La ruta de navegación aparece con otro diseño más simple y vistoso, y por último el mismo formulario.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Webs:</w:t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https://www.odoo.com/es_ES/shop/address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https://www.elabnext.com/sign-up-for-a-free-30-day-trial/?product=elabjournal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https://www.zoho.com/inventory/signup/?plan_type=standard_new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6262239.extforms.netsuite.com/app/site/crm/externalleadpage.nl/compid.6262239/.f?formid=2571&amp;h=AAFdikaIjnfh0b7cN-xfITSXiD7YDOMMmfWOCDs3gfaq-ANZsKQ&amp;leadsource=Online_EMEA_Capterra_InventoryMgt_2023&amp;redirect_count=1&amp;did_javascript_redirect=T&amp;CID=capterra&amp;gdmcid=4b25b63b-6ddc-45f6-9874-223496db37e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jc w:val="both"/>
        <w:rPr>
          <w:b w:val="1"/>
          <w:sz w:val="28"/>
          <w:szCs w:val="28"/>
        </w:rPr>
      </w:pPr>
      <w:bookmarkStart w:colFirst="0" w:colLast="0" w:name="_im85bwkcbgn3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Wireframe Casos de éxito</w:t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755900"/>
            <wp:effectExtent b="0" l="0" r="0" t="0"/>
            <wp:wrapSquare wrapText="bothSides" distB="114300" distT="114300" distL="114300" distR="1143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pStyle w:val="Heading2"/>
        <w:jc w:val="both"/>
        <w:rPr>
          <w:b w:val="1"/>
          <w:sz w:val="28"/>
          <w:szCs w:val="28"/>
        </w:rPr>
      </w:pPr>
      <w:bookmarkStart w:colFirst="0" w:colLast="0" w:name="_99ex8rcyfm28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Mockup Casos de éxito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581025</wp:posOffset>
            </wp:positionV>
            <wp:extent cx="5731200" cy="2768600"/>
            <wp:effectExtent b="0" l="0" r="0" t="0"/>
            <wp:wrapSquare wrapText="bothSides" distB="114300" distT="114300" distL="114300" distR="1143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Página donde muestra las empresas que se han beneficiado del software.</w:t>
      </w:r>
    </w:p>
    <w:p w:rsidR="00000000" w:rsidDel="00000000" w:rsidP="00000000" w:rsidRDefault="00000000" w:rsidRPr="00000000" w14:paraId="0000005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Tanto en el modo Escritorio y el móvil, el título y la descripción breve de la página se sitúan en la parte superior.</w:t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centro aparecen los logos de las empresas, una descripción breve de cómo les ha ayudado el software a buscar la solución a sus problemas, y un botón de leer más para mostrar una información más detallada.</w:t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modo Escritorio, hay una barra de desplazamiento a la derecha, y el contenido central aparece en 3 columnas. En el móvil, el contenido central aparece en una sola columna.</w:t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Webs:</w:t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https://stockagile.com/casos-de-exito/?_gl=1*hqbbx*_up*MQ..*_ga*MTg3OTEyODI0Mi4xNzI3NDYwMTA3*_ga_NWVL951GLM*MTcyNzQ2MDEwNi4xLjAuMTcyNzQ2MDEwNi4wLjAuMA..*_ga_ZH5L91ZTZ0*MTcyNzQ2MDEwNi4xLjAuMTcyNzQ2MDEwNi4wLjAuMTA5NTYwMTIyMw</w:t>
        </w:r>
      </w:hyperlink>
      <w:r w:rsidDel="00000000" w:rsidR="00000000" w:rsidRPr="00000000">
        <w:rPr>
          <w:sz w:val="24"/>
          <w:szCs w:val="24"/>
          <w:rtl w:val="0"/>
        </w:rPr>
        <w:t xml:space="preserve">..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https://smartcorp.com/es/software-para-fabricantes-distribuidores-y-mro/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https://www.holded.com/es/casos-de-exito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jc w:val="both"/>
        <w:rPr>
          <w:b w:val="1"/>
          <w:sz w:val="28"/>
          <w:szCs w:val="28"/>
        </w:rPr>
      </w:pPr>
      <w:bookmarkStart w:colFirst="0" w:colLast="0" w:name="_votv1immix9j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Wireframe Gestión de comentarios</w:t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2743200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pStyle w:val="Heading2"/>
        <w:jc w:val="both"/>
        <w:rPr>
          <w:sz w:val="24"/>
          <w:szCs w:val="24"/>
        </w:rPr>
      </w:pPr>
      <w:bookmarkStart w:colFirst="0" w:colLast="0" w:name="_7zk2qr9047xg" w:id="9"/>
      <w:bookmarkEnd w:id="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Mockup Gestión de comentarios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933450</wp:posOffset>
            </wp:positionV>
            <wp:extent cx="5731200" cy="2743200"/>
            <wp:effectExtent b="0" l="0" r="0" t="0"/>
            <wp:wrapSquare wrapText="bothSides" distB="114300" distT="114300" distL="114300" distR="11430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gestionar los comentarios, es necesario estar registrado como administrador. El botón de Login en el header se sustituye por un icono de administrador.</w:t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modo Escritorio, en la parte izquierda se sitúan los comentarios en una sola columna. En cada campo aparece: Una imagen de perfil, nombre y apellidos, fecha de la publicación del comentario, el contenido del comentario, un botón de configuración en la parte inferior izquierda, y la cantidad de estrellas que indica la valoración del usuario sobre el software.</w:t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se acciona el botón de configuración, aparece el menú que gestiona el comentario. Las acciones disponibles son: Mostrar o ocultar el comentario, responder, reportar y cerrar el menú de gestión.</w:t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móvil, la diferencia principal es que el botón de configuración se sitúa en la parte superior derecha del campo.</w:t>
      </w:r>
    </w:p>
    <w:p w:rsidR="00000000" w:rsidDel="00000000" w:rsidP="00000000" w:rsidRDefault="00000000" w:rsidRPr="00000000" w14:paraId="0000006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Webs:</w:t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https://timly.com/en/your-digital-asset-manager/?utm_medium=paid&amp;utm_source=gartner&amp;utm_campaign=capterra&amp;gdmcid=ccfa5235-5f2d-4056-aa28-92b3e674aad4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https://www.netlogistik.com/es/blog/sistema-de-gestion-de-almacenes-11-se%C3%B1ales-de-que-lo-necesitas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jc w:val="center"/>
        <w:rPr>
          <w:b w:val="1"/>
          <w:sz w:val="36"/>
          <w:szCs w:val="36"/>
          <w:u w:val="single"/>
        </w:rPr>
      </w:pPr>
      <w:bookmarkStart w:colFirst="0" w:colLast="0" w:name="_jsyq6shwpbrf" w:id="10"/>
      <w:bookmarkEnd w:id="10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WebAPP</w:t>
      </w:r>
    </w:p>
    <w:p w:rsidR="00000000" w:rsidDel="00000000" w:rsidP="00000000" w:rsidRDefault="00000000" w:rsidRPr="00000000" w14:paraId="0000006F">
      <w:pPr>
        <w:pStyle w:val="Heading2"/>
        <w:jc w:val="both"/>
        <w:rPr>
          <w:b w:val="1"/>
          <w:sz w:val="28"/>
          <w:szCs w:val="28"/>
        </w:rPr>
      </w:pPr>
      <w:bookmarkStart w:colFirst="0" w:colLast="0" w:name="_lgwzgelsidvd" w:id="11"/>
      <w:bookmarkEnd w:id="11"/>
      <w:r w:rsidDel="00000000" w:rsidR="00000000" w:rsidRPr="00000000">
        <w:rPr>
          <w:b w:val="1"/>
          <w:sz w:val="28"/>
          <w:szCs w:val="28"/>
          <w:rtl w:val="0"/>
        </w:rPr>
        <w:t xml:space="preserve">Wireframe Informe de alarma de aprovisionamiento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590550</wp:posOffset>
            </wp:positionV>
            <wp:extent cx="5731200" cy="2781300"/>
            <wp:effectExtent b="0" l="0" r="0" t="0"/>
            <wp:wrapSquare wrapText="bothSides" distB="114300" distT="114300" distL="114300" distR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pStyle w:val="Heading2"/>
        <w:jc w:val="both"/>
        <w:rPr>
          <w:b w:val="1"/>
          <w:sz w:val="28"/>
          <w:szCs w:val="28"/>
        </w:rPr>
      </w:pPr>
      <w:bookmarkStart w:colFirst="0" w:colLast="0" w:name="_adhhaox3wg5j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Mockup Informe de alarma de aprovisionamiento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3381375</wp:posOffset>
            </wp:positionV>
            <wp:extent cx="5731200" cy="2755900"/>
            <wp:effectExtent b="0" l="0" r="0" t="0"/>
            <wp:wrapSquare wrapText="bothSides" distB="114300" distT="11430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Informe que muestra información sobre las alarmas generadas durante el proceso de aprovisionamiento de recursos.</w:t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modo escritorio, en la parte superior, en el centro aparece el título y a la izquierda se sitúa el botón de Home para regresar al inicio de la aplicación.</w:t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aparece el encabezado del informe, donde se indica: el logo, el nombre del listado y la fecha y hora del informe.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parte principal del informe es la tabla de alarmas, donde se indica: el identificador de la alarma, el nombre del producto, la ubicación física donde se encuentra el stock, el stock actual; la cantidad disponible en el inventario, y el stock mínimo; el límite mínimo que genera una alarma si no se cumple.</w:t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parte inferior de la tabla, se sitúan dos botones de navegación para moverse entre las páginas del informe, en el centro se indica la página actual y el total de páginas que tiene el informe.</w:t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último en la parte inferior aparece el nombre del operario.</w:t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móvil, las diferencias respecto al modo Escritorio son: El encabezado sale en la parte superior del informe, en la tabla cambia la distribución de los datos mostrándose más cómodo a la vista; Primero sale el campo y después el dato asignado, debajo de la tabla sale el nombre del operario, y por último en la parte inferior se sitúan los botones de navegación en los laterales, y en el centro se indica la página actual y el total de páginas.</w:t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Webs:</w:t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https://www.ibm.com/docs/es/order-management?topic=reporting-top-10-products-report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https://www.slideteam.net/blog/las-5-mejores-plantillas-de-informes-de-inspeccion-de-calidad-con-muestras-y-ejemplos?lang=Spanish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jc w:val="both"/>
        <w:rPr>
          <w:b w:val="1"/>
          <w:sz w:val="28"/>
          <w:szCs w:val="28"/>
        </w:rPr>
      </w:pPr>
      <w:bookmarkStart w:colFirst="0" w:colLast="0" w:name="_8l4jk4miuhe7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Wireframe Importación de API Externa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447846</wp:posOffset>
            </wp:positionV>
            <wp:extent cx="5731200" cy="3530600"/>
            <wp:effectExtent b="0" l="0" r="0" t="0"/>
            <wp:wrapSquare wrapText="bothSides" distB="114300" distT="114300" distL="114300" distR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Wireframe Escritorio</w:t>
      </w:r>
    </w:p>
    <w:p w:rsidR="00000000" w:rsidDel="00000000" w:rsidP="00000000" w:rsidRDefault="00000000" w:rsidRPr="00000000" w14:paraId="00000084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Wireframe Móvil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239632</wp:posOffset>
            </wp:positionV>
            <wp:extent cx="5731200" cy="3606800"/>
            <wp:effectExtent b="0" l="0" r="0" t="0"/>
            <wp:wrapSquare wrapText="bothSides" distB="114300" distT="114300" distL="114300" distR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pStyle w:val="Heading2"/>
        <w:jc w:val="both"/>
        <w:rPr>
          <w:b w:val="1"/>
          <w:sz w:val="28"/>
          <w:szCs w:val="28"/>
        </w:rPr>
      </w:pPr>
      <w:bookmarkStart w:colFirst="0" w:colLast="0" w:name="_obvxrhjnqsu6" w:id="14"/>
      <w:bookmarkEnd w:id="14"/>
      <w:r w:rsidDel="00000000" w:rsidR="00000000" w:rsidRPr="00000000">
        <w:rPr>
          <w:b w:val="1"/>
          <w:sz w:val="28"/>
          <w:szCs w:val="28"/>
          <w:rtl w:val="0"/>
        </w:rPr>
        <w:t xml:space="preserve">Mockup Importación de API Externa</w:t>
      </w:r>
    </w:p>
    <w:p w:rsidR="00000000" w:rsidDel="00000000" w:rsidP="00000000" w:rsidRDefault="00000000" w:rsidRPr="00000000" w14:paraId="00000086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Mockup Escritorio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3517900"/>
            <wp:effectExtent b="0" l="0" r="0" t="0"/>
            <wp:wrapSquare wrapText="bothSides" distB="114300" distT="114300" distL="114300" distR="1143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359410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Mockup Móvil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la importación de APIs externas, se pueden realizar dos acciones, importar órden y exportar órdenes.</w:t>
      </w:r>
    </w:p>
    <w:p w:rsidR="00000000" w:rsidDel="00000000" w:rsidP="00000000" w:rsidRDefault="00000000" w:rsidRPr="00000000" w14:paraId="0000008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En el modo Escritorio</w:t>
      </w:r>
    </w:p>
    <w:p w:rsidR="00000000" w:rsidDel="00000000" w:rsidP="00000000" w:rsidRDefault="00000000" w:rsidRPr="00000000" w14:paraId="0000008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parte superior, en el centro aparece el título y a la izquierda se sitúa el botón de Home para regresar al inicio de la aplicación.</w:t>
      </w:r>
    </w:p>
    <w:p w:rsidR="00000000" w:rsidDel="00000000" w:rsidP="00000000" w:rsidRDefault="00000000" w:rsidRPr="00000000" w14:paraId="0000008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pantalla está dividida en dos partes: En la parte izquierda se realizan las órdenes de entrada y en la derecha la exportación de órdenes.</w:t>
      </w:r>
    </w:p>
    <w:p w:rsidR="00000000" w:rsidDel="00000000" w:rsidP="00000000" w:rsidRDefault="00000000" w:rsidRPr="00000000" w14:paraId="0000008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importación de órden, primero aparece el título en la parte superior. Después está el formulario donde se introducirán: La URL de la API externa, un nombre para la órden y un rango de fechas; la primera será la fecha actual y la segunda la fecha de fin. Por último se sitúa el botón de importar en la parte inferior.</w:t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exportación de órdenes, primero aparece el título en la parte superior. Después aparece la tabla de órdenes que permite seleccionar varias para exportarlas. En cada columna se muestra: El nombre de la órden junto una casilla para seleccionarla, el identificador, la fecha de fin que se determinó en la importación, y el estado de la órden; Operativa o inactiva si ha sobrepasado la fecha límite. Por último se sitúa el botón de exportar en la parte inferior.</w:t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En el móvil</w:t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facilitar la selección entre importar o exportar se utiliza un desplegable con las dos opciones en la parte superior.</w:t>
      </w:r>
    </w:p>
    <w:p w:rsidR="00000000" w:rsidDel="00000000" w:rsidP="00000000" w:rsidRDefault="00000000" w:rsidRPr="00000000" w14:paraId="0000009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importación de órden aparece el mismo formulario que el modo Escritorio: La URL de la API, el nombre de la órden, el rango de fechas y por último el botón de importar.</w:t>
      </w:r>
    </w:p>
    <w:p w:rsidR="00000000" w:rsidDel="00000000" w:rsidP="00000000" w:rsidRDefault="00000000" w:rsidRPr="00000000" w14:paraId="0000009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exportación de órdenes cambia el diseño de la tabla, haciéndola más cómoda a la vista. Como primera opción, sale seleccionar todas las órdenes; solo se pueden seleccionar las que están operativas, después aparecen las órdenes con un botón a la derecha que mostrará una lista de la información detallada de la órden: el identificador, la fecha de inicio y de fin, y el estado de la órden.</w:t>
      </w:r>
    </w:p>
    <w:p w:rsidR="00000000" w:rsidDel="00000000" w:rsidP="00000000" w:rsidRDefault="00000000" w:rsidRPr="00000000" w14:paraId="0000009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último se sitúa el botón de exportar en la parte inferior.</w:t>
      </w:r>
    </w:p>
    <w:p w:rsidR="00000000" w:rsidDel="00000000" w:rsidP="00000000" w:rsidRDefault="00000000" w:rsidRPr="00000000" w14:paraId="0000009D">
      <w:pPr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Webs:</w:t>
      </w:r>
    </w:p>
    <w:p w:rsidR="00000000" w:rsidDel="00000000" w:rsidP="00000000" w:rsidRDefault="00000000" w:rsidRPr="00000000" w14:paraId="0000009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hyperlink r:id="rId3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https://learn.microsoft.com/es-es/azure/api-management/import-app-service-as-api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hyperlink r:id="rId3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https://www.footfallcam.com/es/people-counting/knowledge-base/chapter-13-data-flow/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hyperlink r:id="rId3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https://plugins.miniorange.com/es/integrate-external-third-party-rest-api-endpoints-into-wordpress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9" w:type="default"/>
      <w:footerReference r:id="rId40" w:type="default"/>
      <w:footerReference r:id="rId41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footer" Target="footer1.xml"/><Relationship Id="rId22" Type="http://schemas.openxmlformats.org/officeDocument/2006/relationships/hyperlink" Target="https://smartcorp.com/es/software-para-fabricantes-distribuidores-y-mro/" TargetMode="External"/><Relationship Id="rId21" Type="http://schemas.openxmlformats.org/officeDocument/2006/relationships/hyperlink" Target="https://stockagile.com/casos-de-exito/?_gl=1*hqbbx*_up*MQ..*_ga*MTg3OTEyODI0Mi4xNzI3NDYwMTA3*_ga_NWVL951GLM*MTcyNzQ2MDEwNi4xLjAuMTcyNzQ2MDEwNi4wLjAuMA..*_ga_ZH5L91ZTZ0*MTcyNzQ2MDEwNi4xLjAuMTcyNzQ2MDEwNi4wLjAuMTA5NTYwMTIyMw" TargetMode="External"/><Relationship Id="rId24" Type="http://schemas.openxmlformats.org/officeDocument/2006/relationships/image" Target="media/image3.png"/><Relationship Id="rId23" Type="http://schemas.openxmlformats.org/officeDocument/2006/relationships/hyperlink" Target="https://www.holded.com/es/casos-de-exit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odoo.com/es_ES?utm_source=google&amp;utm_medium=cpc&amp;utm_campaign=WEU-ES-ES-ERP_App-Specific-Values&amp;gad_source=1&amp;gclid=Cj0KCQjwr9m3BhDHARIsANut04acQtUA5R_atTJ4cP4FgVp0E1FOgMbGVDcw2DE9iVi07aidiaehwNIaAlbmEALw_wcB" TargetMode="External"/><Relationship Id="rId26" Type="http://schemas.openxmlformats.org/officeDocument/2006/relationships/hyperlink" Target="https://timly.com/en/your-digital-asset-manager/?utm_medium=paid&amp;utm_source=gartner&amp;utm_campaign=capterra&amp;gdmcid=ccfa5235-5f2d-4056-aa28-92b3e674aad4" TargetMode="External"/><Relationship Id="rId25" Type="http://schemas.openxmlformats.org/officeDocument/2006/relationships/image" Target="media/image14.png"/><Relationship Id="rId28" Type="http://schemas.openxmlformats.org/officeDocument/2006/relationships/image" Target="media/image7.png"/><Relationship Id="rId27" Type="http://schemas.openxmlformats.org/officeDocument/2006/relationships/hyperlink" Target="https://www.netlogistik.com/es/blog/sistema-de-gestion-de-almacenes-11-se%C3%B1ales-de-que-lo-necesitas" TargetMode="Externa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12.png"/><Relationship Id="rId31" Type="http://schemas.openxmlformats.org/officeDocument/2006/relationships/hyperlink" Target="https://www.slideteam.net/blog/las-5-mejores-plantillas-de-informes-de-inspeccion-de-calidad-con-muestras-y-ejemplos?lang=Spanish" TargetMode="External"/><Relationship Id="rId30" Type="http://schemas.openxmlformats.org/officeDocument/2006/relationships/hyperlink" Target="https://www.ibm.com/docs/es/order-management?topic=reporting-top-10-products-report" TargetMode="External"/><Relationship Id="rId11" Type="http://schemas.openxmlformats.org/officeDocument/2006/relationships/hyperlink" Target="https://www.datadec.es/blog/la-gestion-de-almacen-que-es-procesos-consejos" TargetMode="External"/><Relationship Id="rId33" Type="http://schemas.openxmlformats.org/officeDocument/2006/relationships/image" Target="media/image6.png"/><Relationship Id="rId10" Type="http://schemas.openxmlformats.org/officeDocument/2006/relationships/hyperlink" Target="https://timly.com/es/elegir-el-sistema-de-gestion-de-almacenes-adecuado-para-la-pequena-empresa/?utm_feeditemid=&amp;utm_device=c&amp;utm_term=&amp;utm_source=google&amp;utm_medium=cpc&amp;utm_campaign=ES%2B+%7C+DSA&amp;hsa_cam=21159235147&amp;hsa_grp=157419177781&amp;hsa_mt=&amp;hsa_src=g&amp;hsa_ad=710161422469&amp;hsa_acc=7499781921&amp;hsa_net=adwords&amp;hsa_kw=&amp;hsa_tgt=dsa-43644831729&amp;hsa_ver=3&amp;gad_source=1&amp;gclid=Cj0KCQjwr9m3BhDHARIsANut04a2M8UEHlHwoNR81dSy-GNFekDNHcMqLFRTgvQNR3XQaiR0L48fb0UaAsInEALw_wcB" TargetMode="External"/><Relationship Id="rId32" Type="http://schemas.openxmlformats.org/officeDocument/2006/relationships/image" Target="media/image2.png"/><Relationship Id="rId13" Type="http://schemas.openxmlformats.org/officeDocument/2006/relationships/image" Target="media/image11.png"/><Relationship Id="rId35" Type="http://schemas.openxmlformats.org/officeDocument/2006/relationships/image" Target="media/image1.png"/><Relationship Id="rId12" Type="http://schemas.openxmlformats.org/officeDocument/2006/relationships/hyperlink" Target="https://stockagile.com/sga-gestion-de-almacenes/?utm_term=programa%20de%20gesti%C3%B3n%20de%20almac%C3%A9n&amp;utm_campaign=Busc-Servicios&amp;utm_source=adwords&amp;utm_medium=ppc&amp;hsa_acc=9079418621&amp;hsa_cam=21473954395&amp;hsa_grp=168420208241&amp;hsa_ad=705792229174&amp;hsa_src=g&amp;hsa_tgt=kwd-1161281402141&amp;hsa_kw=programa%20de%20gesti%C3%B3n%20de%20almac%C3%A9n&amp;hsa_mt=p&amp;hsa_net=adwords&amp;hsa_ver=3&amp;gad_source=1&amp;gclid=Cj0KCQjwr9m3BhDHARIsANut04ZZZylWdDEl7ohS1bbdW0jCLTt-RfYprTQOUFfMtHT2CapvE-BHkG8aAooAEALw_wcB" TargetMode="External"/><Relationship Id="rId34" Type="http://schemas.openxmlformats.org/officeDocument/2006/relationships/image" Target="media/image5.png"/><Relationship Id="rId15" Type="http://schemas.openxmlformats.org/officeDocument/2006/relationships/hyperlink" Target="https://www.odoo.com/es_ES/shop/address" TargetMode="External"/><Relationship Id="rId37" Type="http://schemas.openxmlformats.org/officeDocument/2006/relationships/hyperlink" Target="https://www.footfallcam.com/es/people-counting/knowledge-base/chapter-13-data-flow/" TargetMode="External"/><Relationship Id="rId14" Type="http://schemas.openxmlformats.org/officeDocument/2006/relationships/image" Target="media/image15.png"/><Relationship Id="rId36" Type="http://schemas.openxmlformats.org/officeDocument/2006/relationships/hyperlink" Target="https://learn.microsoft.com/es-es/azure/api-management/import-app-service-as-api" TargetMode="External"/><Relationship Id="rId17" Type="http://schemas.openxmlformats.org/officeDocument/2006/relationships/hyperlink" Target="https://www.zoho.com/inventory/signup/?plan_type=standard_new" TargetMode="External"/><Relationship Id="rId39" Type="http://schemas.openxmlformats.org/officeDocument/2006/relationships/header" Target="header1.xml"/><Relationship Id="rId16" Type="http://schemas.openxmlformats.org/officeDocument/2006/relationships/hyperlink" Target="https://www.elabnext.com/sign-up-for-a-free-30-day-trial/?product=elabjournal" TargetMode="External"/><Relationship Id="rId38" Type="http://schemas.openxmlformats.org/officeDocument/2006/relationships/hyperlink" Target="https://plugins.miniorange.com/es/integrate-external-third-party-rest-api-endpoints-into-wordpress" TargetMode="External"/><Relationship Id="rId19" Type="http://schemas.openxmlformats.org/officeDocument/2006/relationships/image" Target="media/image9.png"/><Relationship Id="rId18" Type="http://schemas.openxmlformats.org/officeDocument/2006/relationships/hyperlink" Target="https://6262239.extforms.netsuite.com/app/site/crm/externalleadpage.nl/compid.6262239/.f?formid=2571&amp;h=AAFdikaIjnfh0b7cN-xfITSXiD7YDOMMmfWOCDs3gfaq-ANZsKQ&amp;leadsource=Online_EMEA_Capterra_InventoryMgt_2023&amp;redirect_count=1&amp;did_javascript_redirect=T&amp;CID=capterra&amp;gdmcid=4b25b63b-6ddc-45f6-9874-223496db37e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