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160"/>
      </w:pPr>
    </w:p>
    <w:p>
      <w:pPr>
        <w:spacing w:after="360"/>
        <w:jc w:val="center"/>
      </w:pPr>
      <w:r>
        <w:rPr>
          <w:rFonts w:ascii="Calibri" w:hAnsi="Calibri"/>
          <w:b/>
          <w:i w:val="0"/>
          <w:color w:val="8A744E"/>
          <w:sz w:val="19"/>
        </w:rPr>
        <w:t>A LIVING LINEAGE</w:t>
      </w:r>
    </w:p>
    <w:p>
      <w:pPr>
        <w:spacing w:after="280"/>
        <w:jc w:val="center"/>
      </w:pPr>
      <w:r>
        <w:rPr>
          <w:rFonts w:ascii="Georgia" w:hAnsi="Georgia"/>
          <w:b w:val="0"/>
          <w:i w:val="0"/>
          <w:color w:val="262321"/>
          <w:sz w:val="62"/>
        </w:rPr>
        <w:t>The Adrian Rasmussen</w:t>
        <w:br/>
        <w:t>Artwork Registry</w:t>
      </w:r>
    </w:p>
    <w:p>
      <w:pPr>
        <w:spacing w:after="880"/>
        <w:jc w:val="center"/>
      </w:pPr>
      <w:r>
        <w:rPr>
          <w:rFonts w:ascii="Georgia" w:hAnsi="Georgia"/>
          <w:b w:val="0"/>
          <w:i/>
          <w:color w:val="524330"/>
          <w:sz w:val="27"/>
        </w:rPr>
        <w:t>A permanent identity, private archive and evolving human story</w:t>
        <w:br/>
        <w:t>for physical works of art</w:t>
      </w:r>
    </w:p>
    <w:p>
      <w:pPr>
        <w:jc w:val="center"/>
      </w:pPr>
      <w:r>
        <w:rPr>
          <w:rFonts w:ascii="Georgia" w:hAnsi="Georgia"/>
          <w:b w:val="0"/>
          <w:i/>
          <w:color w:val="8A744E"/>
          <w:sz w:val="23"/>
        </w:rPr>
        <w:t>Bringing the formless into form</w:t>
      </w:r>
    </w:p>
    <w:p>
      <w:pPr>
        <w:spacing w:after="200"/>
      </w:pPr>
    </w:p>
    <w:p>
      <w:pPr>
        <w:spacing w:after="200"/>
      </w:pPr>
    </w:p>
    <w:p>
      <w:pPr>
        <w:spacing w:after="200"/>
      </w:pPr>
    </w:p>
    <w:p>
      <w:pPr>
        <w:spacing w:after="200"/>
      </w:pPr>
    </w:p>
    <w:p>
      <w:pPr>
        <w:spacing w:after="200"/>
      </w:pPr>
    </w:p>
    <w:p>
      <w:pPr>
        <w:jc w:val="center"/>
      </w:pPr>
      <w:r>
        <w:rPr>
          <w:rFonts w:ascii="Calibri" w:hAnsi="Calibri"/>
          <w:b/>
          <w:i w:val="0"/>
          <w:color w:val="605B55"/>
          <w:sz w:val="17"/>
        </w:rPr>
        <w:t>SYSTEM VISION AND STEWARDSHIP CHARTER  /  JULY 2026</w:t>
      </w:r>
    </w:p>
    <w:p>
      <w:r>
        <w:br w:type="page"/>
      </w:r>
    </w:p>
    <w:p>
      <w:pPr>
        <w:pStyle w:val="Heading1"/>
        <w:keepNext/>
      </w:pPr>
      <w:r>
        <w:t>The idea</w:t>
      </w:r>
    </w:p>
    <w:p>
      <w:pPr/>
      <w:r>
        <w:rPr>
          <w:rFonts w:ascii="Calibri" w:hAnsi="Calibri"/>
          <w:b w:val="0"/>
          <w:i w:val="0"/>
          <w:color w:val="262321"/>
          <w:sz w:val="22"/>
        </w:rPr>
        <w:t>An artwork can carry more than a certificate. It can carry a continuous relationship between object, maker, keeper, place, material and meaning. The Adrian Rasmussen Artwork Registry gives each physical work one permanent identity and a protected history that can continue long after the first sale.</w:t>
      </w:r>
    </w:p>
    <w:p>
      <w:pPr/>
      <w:r>
        <w:rPr>
          <w:rFonts w:ascii="Calibri" w:hAnsi="Calibri"/>
          <w:b w:val="0"/>
          <w:i w:val="0"/>
          <w:color w:val="262321"/>
          <w:sz w:val="22"/>
        </w:rPr>
        <w:t>The system begins with a simple physical gesture: a metal plate attached to the artwork. Its front can be scanned by anyone. Its underside can be seen only by someone who can physically turn the plate over. That relationship between public story and physical possession is the heart of the registry.</w:t>
      </w:r>
    </w:p>
    <w:p>
      <w:pPr>
        <w:shd w:fill="EBE8E1"/>
        <w:pBdr>
          <w:left w:val="single" w:sz="18" w:space="8" w:color="8A744E"/>
        </w:pBdr>
        <w:spacing w:before="160" w:after="200" w:line="288" w:lineRule="auto"/>
        <w:ind w:left="259" w:right="173"/>
      </w:pPr>
      <w:r>
        <w:rPr>
          <w:rFonts w:ascii="Calibri" w:hAnsi="Calibri"/>
          <w:b/>
          <w:i w:val="0"/>
          <w:color w:val="8A744E"/>
          <w:sz w:val="18"/>
        </w:rPr>
        <w:t>CORE PRINCIPLE</w:t>
      </w:r>
      <w:r>
        <w:rPr>
          <w:rFonts w:ascii="Georgia" w:hAnsi="Georgia"/>
          <w:b w:val="0"/>
          <w:i w:val="0"/>
          <w:color w:val="262321"/>
          <w:sz w:val="23"/>
        </w:rPr>
        <w:br/>
        <w:t>The artwork is not represented by a speculative token. The physical object itself carries the permanent credential. The digital system exists to remember, connect and protect the life of that object.</w:t>
      </w:r>
    </w:p>
    <w:p>
      <w:pPr>
        <w:pStyle w:val="Heading2"/>
        <w:keepNext/>
      </w:pPr>
      <w:r>
        <w:t>What the registry is meant to preserve</w:t>
      </w:r>
    </w:p>
    <w:p>
      <w:pPr>
        <w:pStyle w:val="ListBullet"/>
        <w:spacing w:after="80" w:line="288" w:lineRule="auto"/>
      </w:pPr>
      <w:r>
        <w:rPr>
          <w:rFonts w:ascii="Calibri" w:hAnsi="Calibri"/>
          <w:b w:val="0"/>
          <w:i w:val="0"/>
          <w:color w:val="262321"/>
          <w:sz w:val="22"/>
        </w:rPr>
        <w:t>The identity of the artwork and the artist who brought it into form.</w:t>
      </w:r>
    </w:p>
    <w:p>
      <w:pPr>
        <w:pStyle w:val="ListBullet"/>
        <w:spacing w:after="80" w:line="288" w:lineRule="auto"/>
      </w:pPr>
      <w:r>
        <w:rPr>
          <w:rFonts w:ascii="Calibri" w:hAnsi="Calibri"/>
          <w:b w:val="0"/>
          <w:i w:val="0"/>
          <w:color w:val="262321"/>
          <w:sz w:val="22"/>
        </w:rPr>
        <w:t>The materials, hands, places and processes that made it possible.</w:t>
      </w:r>
    </w:p>
    <w:p>
      <w:pPr>
        <w:pStyle w:val="ListBullet"/>
        <w:spacing w:after="80" w:line="288" w:lineRule="auto"/>
      </w:pPr>
      <w:r>
        <w:rPr>
          <w:rFonts w:ascii="Calibri" w:hAnsi="Calibri"/>
          <w:b w:val="0"/>
          <w:i w:val="0"/>
          <w:color w:val="262321"/>
          <w:sz w:val="22"/>
        </w:rPr>
        <w:t>The sequence of keepers who carried it through the world.</w:t>
      </w:r>
    </w:p>
    <w:p>
      <w:pPr>
        <w:pStyle w:val="ListBullet"/>
        <w:spacing w:after="80" w:line="288" w:lineRule="auto"/>
      </w:pPr>
      <w:r>
        <w:rPr>
          <w:rFonts w:ascii="Calibri" w:hAnsi="Calibri"/>
          <w:b w:val="0"/>
          <w:i w:val="0"/>
          <w:color w:val="262321"/>
          <w:sz w:val="22"/>
        </w:rPr>
        <w:t>Private financial and documentary history that follows the piece.</w:t>
      </w:r>
    </w:p>
    <w:p>
      <w:pPr>
        <w:pStyle w:val="ListBullet"/>
        <w:spacing w:after="80" w:line="288" w:lineRule="auto"/>
      </w:pPr>
      <w:r>
        <w:rPr>
          <w:rFonts w:ascii="Calibri" w:hAnsi="Calibri"/>
          <w:b w:val="0"/>
          <w:i w:val="0"/>
          <w:color w:val="262321"/>
          <w:sz w:val="22"/>
        </w:rPr>
        <w:t>Dreams, dedications and inscriptions that keepers choose to contribute.</w:t>
      </w:r>
    </w:p>
    <w:p>
      <w:pPr>
        <w:pStyle w:val="ListBullet"/>
        <w:spacing w:after="80" w:line="288" w:lineRule="auto"/>
      </w:pPr>
      <w:r>
        <w:rPr>
          <w:rFonts w:ascii="Calibri" w:hAnsi="Calibri"/>
          <w:b w:val="0"/>
          <w:i w:val="0"/>
          <w:color w:val="262321"/>
          <w:sz w:val="22"/>
        </w:rPr>
        <w:t>The ability to recover custody when a keeper dies or disappears.</w:t>
      </w:r>
    </w:p>
    <w:p>
      <w:pPr>
        <w:pStyle w:val="ListBullet"/>
        <w:spacing w:after="80" w:line="288" w:lineRule="auto"/>
      </w:pPr>
      <w:r>
        <w:rPr>
          <w:rFonts w:ascii="Calibri" w:hAnsi="Calibri"/>
          <w:b w:val="0"/>
          <w:i w:val="0"/>
          <w:color w:val="262321"/>
          <w:sz w:val="22"/>
        </w:rPr>
        <w:t>A future path for museums or a foundation to maintain the registry without owning the art.</w:t>
      </w:r>
    </w:p>
    <w:p>
      <w:pPr>
        <w:pStyle w:val="Heading2"/>
        <w:keepNext/>
      </w:pPr>
      <w:r>
        <w:t>What it is not</w:t>
      </w:r>
    </w:p>
    <w:p>
      <w:pPr/>
      <w:r>
        <w:rPr>
          <w:rFonts w:ascii="Calibri" w:hAnsi="Calibri"/>
          <w:b w:val="0"/>
          <w:i w:val="0"/>
          <w:color w:val="262321"/>
          <w:sz w:val="22"/>
        </w:rPr>
        <w:t>It is not an NFT, a public list of private owners, or a password that lets anyone silently seize an artwork. It is a trust-based physical registry with verified identities, delayed recovery and an append-only record of what happened.</w:t>
      </w:r>
    </w:p>
    <w:p>
      <w:r>
        <w:br w:type="page"/>
      </w:r>
    </w:p>
    <w:p>
      <w:pPr>
        <w:pStyle w:val="Heading1"/>
        <w:keepNext/>
      </w:pPr>
      <w:r>
        <w:t>The physical anchor</w:t>
      </w:r>
    </w:p>
    <w:p>
      <w:pPr/>
      <w:r>
        <w:rPr>
          <w:rFonts w:ascii="Calibri" w:hAnsi="Calibri"/>
          <w:b w:val="0"/>
          <w:i w:val="0"/>
          <w:color w:val="262321"/>
          <w:sz w:val="22"/>
        </w:rPr>
        <w:t>Every registered artwork receives one 50 mm by 62 mm metal plate. The two faces belong to the same piece of metal; there is no pull tab or disposable layer.</w:t>
      </w:r>
    </w:p>
    <w:p>
      <w:pPr>
        <w:pStyle w:val="Heading2"/>
        <w:keepNext/>
      </w:pPr>
      <w:r>
        <w:t>Front face: public identity</w:t>
      </w:r>
    </w:p>
    <w:p>
      <w:pPr>
        <w:pStyle w:val="ListBullet"/>
        <w:spacing w:after="80" w:line="288" w:lineRule="auto"/>
      </w:pPr>
      <w:r>
        <w:rPr>
          <w:rFonts w:ascii="Calibri" w:hAnsi="Calibri"/>
          <w:b w:val="0"/>
          <w:i w:val="0"/>
          <w:color w:val="262321"/>
          <w:sz w:val="22"/>
        </w:rPr>
        <w:t>A high-reliability QR code using one-millimeter modules and a protected quiet zone.</w:t>
      </w:r>
    </w:p>
    <w:p>
      <w:pPr>
        <w:pStyle w:val="ListBullet"/>
        <w:spacing w:after="80" w:line="288" w:lineRule="auto"/>
      </w:pPr>
      <w:r>
        <w:rPr>
          <w:rFonts w:ascii="Calibri" w:hAnsi="Calibri"/>
          <w:b w:val="0"/>
          <w:i w:val="0"/>
          <w:color w:val="262321"/>
          <w:sz w:val="22"/>
        </w:rPr>
        <w:t>A permanent public code in the form AR-XXXXXXXX.</w:t>
      </w:r>
    </w:p>
    <w:p>
      <w:pPr>
        <w:pStyle w:val="ListBullet"/>
        <w:spacing w:after="80" w:line="288" w:lineRule="auto"/>
      </w:pPr>
      <w:r>
        <w:rPr>
          <w:rFonts w:ascii="Calibri" w:hAnsi="Calibri"/>
          <w:b w:val="0"/>
          <w:i w:val="0"/>
          <w:color w:val="262321"/>
          <w:sz w:val="22"/>
        </w:rPr>
        <w:t>The artwork identifier and exact edition.</w:t>
      </w:r>
    </w:p>
    <w:p>
      <w:pPr>
        <w:pStyle w:val="ListBullet"/>
        <w:spacing w:after="80" w:line="288" w:lineRule="auto"/>
      </w:pPr>
      <w:r>
        <w:rPr>
          <w:rFonts w:ascii="Calibri" w:hAnsi="Calibri"/>
          <w:b w:val="0"/>
          <w:i w:val="0"/>
          <w:color w:val="262321"/>
          <w:sz w:val="22"/>
        </w:rPr>
        <w:t>A permanent AdrianRasmussen.com address.</w:t>
      </w:r>
    </w:p>
    <w:p>
      <w:pPr/>
      <w:r>
        <w:rPr>
          <w:rFonts w:ascii="Calibri" w:hAnsi="Calibri"/>
          <w:b w:val="0"/>
          <w:i w:val="0"/>
          <w:color w:val="262321"/>
          <w:sz w:val="22"/>
        </w:rPr>
        <w:t>Scanning the front opens a server-verified record. Before a public history is launched, it still confirms the exact public code, artwork and edition without revealing ownership or private information.</w:t>
      </w:r>
    </w:p>
    <w:p>
      <w:pPr>
        <w:pStyle w:val="Heading2"/>
        <w:keepNext/>
      </w:pPr>
      <w:r>
        <w:t>Underside: physical possession</w:t>
      </w:r>
    </w:p>
    <w:p>
      <w:pPr>
        <w:pStyle w:val="ListBullet"/>
        <w:spacing w:after="80" w:line="288" w:lineRule="auto"/>
      </w:pPr>
      <w:r>
        <w:rPr>
          <w:rFonts w:ascii="Calibri" w:hAnsi="Calibri"/>
          <w:b w:val="0"/>
          <w:i w:val="0"/>
          <w:color w:val="262321"/>
          <w:sz w:val="22"/>
        </w:rPr>
        <w:t>A permanent Ownership Code using human-safe characters.</w:t>
      </w:r>
    </w:p>
    <w:p>
      <w:pPr>
        <w:pStyle w:val="ListBullet"/>
        <w:spacing w:after="80" w:line="288" w:lineRule="auto"/>
      </w:pPr>
      <w:r>
        <w:rPr>
          <w:rFonts w:ascii="Calibri" w:hAnsi="Calibri"/>
          <w:b w:val="0"/>
          <w:i w:val="0"/>
          <w:color w:val="262321"/>
          <w:sz w:val="22"/>
        </w:rPr>
        <w:t>The same artwork identifier and edition.</w:t>
      </w:r>
    </w:p>
    <w:p>
      <w:pPr>
        <w:pStyle w:val="ListBullet"/>
        <w:spacing w:after="80" w:line="288" w:lineRule="auto"/>
      </w:pPr>
      <w:r>
        <w:rPr>
          <w:rFonts w:ascii="Calibri" w:hAnsi="Calibri"/>
          <w:b w:val="0"/>
          <w:i w:val="0"/>
          <w:color w:val="262321"/>
          <w:sz w:val="22"/>
        </w:rPr>
        <w:t>A reminder that the code stays with the physical work.</w:t>
      </w:r>
    </w:p>
    <w:p>
      <w:pPr/>
      <w:r>
        <w:rPr>
          <w:rFonts w:ascii="Calibri" w:hAnsi="Calibri"/>
          <w:b w:val="0"/>
          <w:i w:val="0"/>
          <w:color w:val="262321"/>
          <w:sz w:val="22"/>
        </w:rPr>
        <w:t>The code is not rotated during ordinary transfers. It lives with the art. A person who possesses the piece can eventually recover it into their verified account, but the code never silently overrides a current keeper.</w:t>
      </w:r>
    </w:p>
    <w:p>
      <w:pPr>
        <w:shd w:fill="EBE8E1"/>
        <w:pBdr>
          <w:left w:val="single" w:sz="18" w:space="8" w:color="8A744E"/>
        </w:pBdr>
        <w:spacing w:before="160" w:after="200" w:line="288" w:lineRule="auto"/>
        <w:ind w:left="259" w:right="173"/>
      </w:pPr>
      <w:r>
        <w:rPr>
          <w:rFonts w:ascii="Calibri" w:hAnsi="Calibri"/>
          <w:b/>
          <w:i w:val="0"/>
          <w:color w:val="8A744E"/>
          <w:sz w:val="18"/>
        </w:rPr>
        <w:t>FABRICATION RULE</w:t>
      </w:r>
      <w:r>
        <w:rPr>
          <w:rFonts w:ascii="Georgia" w:hAnsi="Georgia"/>
          <w:b w:val="0"/>
          <w:i w:val="0"/>
          <w:color w:val="262321"/>
          <w:sz w:val="23"/>
        </w:rPr>
        <w:br/>
        <w:t>Production begins with one qualification plate, not a batch. The real metal must pass recovery, phone-camera, lighting, angle, attachment, abrasion and packed-position tests before a sale plate is activated.</w:t>
      </w:r>
    </w:p>
    <w:p>
      <w:pPr>
        <w:pStyle w:val="Heading2"/>
        <w:keepNext/>
      </w:pPr>
      <w:r>
        <w:t>Two protected packages</w:t>
      </w:r>
    </w:p>
    <w:p>
      <w:pPr/>
      <w:r>
        <w:rPr>
          <w:rFonts w:ascii="Calibri" w:hAnsi="Calibri"/>
          <w:b w:val="0"/>
          <w:i w:val="0"/>
          <w:color w:val="262321"/>
          <w:sz w:val="22"/>
        </w:rPr>
        <w:t>The engraver receives only a controlled vendor package with outlined vector files, checksums and fabrication instructions. Adrian retains a separate owner archive containing the private manifest and recovery information. The two archives are never casually combined.</w:t>
      </w:r>
    </w:p>
    <w:p>
      <w:r>
        <w:br w:type="page"/>
      </w:r>
    </w:p>
    <w:p>
      <w:pPr>
        <w:pStyle w:val="Heading1"/>
        <w:keepNext/>
      </w:pPr>
      <w:r>
        <w:t>One truth, two windows</w:t>
      </w:r>
    </w:p>
    <w:p>
      <w:pPr/>
      <w:r>
        <w:rPr>
          <w:rFonts w:ascii="Calibri" w:hAnsi="Calibri"/>
          <w:b w:val="0"/>
          <w:i w:val="0"/>
          <w:color w:val="262321"/>
          <w:sz w:val="22"/>
        </w:rPr>
        <w:t>AdrianRasmussen.com is the permanent home and only writable authority. It holds identity, keeper state, transfers, inscriptions, provenance, privacy controls and recovery evidence.</w:t>
      </w:r>
    </w:p>
    <w:p>
      <w:pPr/>
      <w:r>
        <w:rPr>
          <w:rFonts w:ascii="Calibri" w:hAnsi="Calibri"/>
          <w:b w:val="0"/>
          <w:i w:val="0"/>
          <w:color w:val="262321"/>
          <w:sz w:val="22"/>
        </w:rPr>
        <w:t>Mandala Codes is a second window onto the same world. It may show the complete collection, but begins with a Mandala-focused filter. It receives a signed public projection and cannot modify ownership. If Mandala disappears, Adrian's registry remains complete.</w:t>
      </w:r>
    </w:p>
    <w:p>
      <w:pPr>
        <w:pStyle w:val="Heading2"/>
        <w:keepNext/>
      </w:pPr>
      <w:r>
        <w:t>Why this separation matters</w:t>
      </w:r>
    </w:p>
    <w:p>
      <w:pPr>
        <w:pStyle w:val="ListBullet"/>
        <w:spacing w:after="80" w:line="288" w:lineRule="auto"/>
      </w:pPr>
      <w:r>
        <w:rPr>
          <w:rFonts w:ascii="Calibri" w:hAnsi="Calibri"/>
          <w:b w:val="0"/>
          <w:i w:val="0"/>
          <w:color w:val="262321"/>
          <w:sz w:val="22"/>
        </w:rPr>
        <w:t>There is one current keeper, never one answer on each website.</w:t>
      </w:r>
    </w:p>
    <w:p>
      <w:pPr>
        <w:pStyle w:val="ListBullet"/>
        <w:spacing w:after="80" w:line="288" w:lineRule="auto"/>
      </w:pPr>
      <w:r>
        <w:rPr>
          <w:rFonts w:ascii="Calibri" w:hAnsi="Calibri"/>
          <w:b w:val="0"/>
          <w:i w:val="0"/>
          <w:color w:val="262321"/>
          <w:sz w:val="22"/>
        </w:rPr>
        <w:t>A transfer completes on Adrian before it appears anywhere else.</w:t>
      </w:r>
    </w:p>
    <w:p>
      <w:pPr>
        <w:pStyle w:val="ListBullet"/>
        <w:spacing w:after="80" w:line="288" w:lineRule="auto"/>
      </w:pPr>
      <w:r>
        <w:rPr>
          <w:rFonts w:ascii="Calibri" w:hAnsi="Calibri"/>
          <w:b w:val="0"/>
          <w:i w:val="0"/>
          <w:color w:val="262321"/>
          <w:sz w:val="22"/>
        </w:rPr>
        <w:t>Public maps can evolve without risking private custody records.</w:t>
      </w:r>
    </w:p>
    <w:p>
      <w:pPr>
        <w:pStyle w:val="ListBullet"/>
        <w:spacing w:after="80" w:line="288" w:lineRule="auto"/>
      </w:pPr>
      <w:r>
        <w:rPr>
          <w:rFonts w:ascii="Calibri" w:hAnsi="Calibri"/>
          <w:b w:val="0"/>
          <w:i w:val="0"/>
          <w:color w:val="262321"/>
          <w:sz w:val="22"/>
        </w:rPr>
        <w:t>The project can outlive one presentation site or one artistic series.</w:t>
      </w:r>
    </w:p>
    <w:p>
      <w:pPr>
        <w:shd w:fill="EBE8E1"/>
        <w:pBdr>
          <w:left w:val="single" w:sz="18" w:space="8" w:color="8A744E"/>
        </w:pBdr>
        <w:spacing w:before="160" w:after="200" w:line="288" w:lineRule="auto"/>
        <w:ind w:left="259" w:right="173"/>
      </w:pPr>
      <w:r>
        <w:rPr>
          <w:rFonts w:ascii="Calibri" w:hAnsi="Calibri"/>
          <w:b/>
          <w:i w:val="0"/>
          <w:color w:val="8A744E"/>
          <w:sz w:val="18"/>
        </w:rPr>
        <w:t>DESIGN PRINCIPLE</w:t>
      </w:r>
      <w:r>
        <w:rPr>
          <w:rFonts w:ascii="Georgia" w:hAnsi="Georgia"/>
          <w:b w:val="0"/>
          <w:i w:val="0"/>
          <w:color w:val="262321"/>
          <w:sz w:val="23"/>
        </w:rPr>
        <w:br/>
        <w:t>Two maps can show different points of view while remaining faithful to one ledger.</w:t>
      </w:r>
    </w:p>
    <w:p>
      <w:pPr>
        <w:pStyle w:val="Heading2"/>
        <w:keepNext/>
      </w:pPr>
      <w:r>
        <w:t>The map as a living constellation</w:t>
      </w:r>
    </w:p>
    <w:p>
      <w:pPr/>
      <w:r>
        <w:rPr>
          <w:rFonts w:ascii="Calibri" w:hAnsi="Calibri"/>
          <w:b w:val="0"/>
          <w:i w:val="0"/>
          <w:color w:val="262321"/>
          <w:sz w:val="22"/>
        </w:rPr>
        <w:t>The map can connect artworks, exhibitions, broad locations, keepers who choose to be visible, dreams that they choose to share, and future coherence relationships. Exact addresses, birthdates and private custody data are never required for the public map.</w:t>
      </w:r>
    </w:p>
    <w:p>
      <w:r>
        <w:br w:type="page"/>
      </w:r>
    </w:p>
    <w:p>
      <w:pPr>
        <w:pStyle w:val="Heading1"/>
        <w:keepNext/>
      </w:pPr>
      <w:r>
        <w:t>How ownership moves</w:t>
      </w:r>
    </w:p>
    <w:p>
      <w:pPr>
        <w:pStyle w:val="Heading2"/>
        <w:keepNext/>
      </w:pPr>
      <w:r>
        <w:t>First keeper</w:t>
      </w:r>
    </w:p>
    <w:p>
      <w:pPr/>
      <w:r>
        <w:rPr>
          <w:rFonts w:ascii="Calibri" w:hAnsi="Calibri"/>
          <w:b w:val="0"/>
          <w:i w:val="0"/>
          <w:color w:val="262321"/>
          <w:sz w:val="22"/>
        </w:rPr>
        <w:t>The first keeper creates or uses an account with a verified email, a full name and a private birthdate. They enter the Ownership Code from the underside. If the plate is active and unclaimed, the artwork binds to that account and the first keeper receives the complete private artwork archive.</w:t>
      </w:r>
    </w:p>
    <w:p>
      <w:pPr>
        <w:pStyle w:val="Heading2"/>
        <w:keepNext/>
      </w:pPr>
      <w:r>
        <w:t>An ordinary sale</w:t>
      </w:r>
    </w:p>
    <w:p>
      <w:pPr>
        <w:pStyle w:val="ListNumber"/>
        <w:spacing w:after="100" w:line="288" w:lineRule="auto"/>
      </w:pPr>
      <w:r>
        <w:rPr>
          <w:rFonts w:ascii="Calibri" w:hAnsi="Calibri"/>
          <w:b w:val="0"/>
          <w:i w:val="0"/>
          <w:color w:val="262321"/>
          <w:sz w:val="22"/>
        </w:rPr>
        <w:t>The buyer physically receives the work and enters its Ownership Code.</w:t>
      </w:r>
    </w:p>
    <w:p>
      <w:pPr>
        <w:pStyle w:val="ListNumber"/>
        <w:spacing w:after="100" w:line="288" w:lineRule="auto"/>
      </w:pPr>
      <w:r>
        <w:rPr>
          <w:rFonts w:ascii="Calibri" w:hAnsi="Calibri"/>
          <w:b w:val="0"/>
          <w:i w:val="0"/>
          <w:color w:val="262321"/>
          <w:sz w:val="22"/>
        </w:rPr>
        <w:t>The current keeper receives the buyer's verified name, email and explanation.</w:t>
      </w:r>
    </w:p>
    <w:p>
      <w:pPr>
        <w:pStyle w:val="ListNumber"/>
        <w:spacing w:after="100" w:line="288" w:lineRule="auto"/>
      </w:pPr>
      <w:r>
        <w:rPr>
          <w:rFonts w:ascii="Calibri" w:hAnsi="Calibri"/>
          <w:b w:val="0"/>
          <w:i w:val="0"/>
          <w:color w:val="262321"/>
          <w:sz w:val="22"/>
        </w:rPr>
        <w:t>The current keeper presses Approve transfer.</w:t>
      </w:r>
    </w:p>
    <w:p>
      <w:pPr>
        <w:pStyle w:val="ListNumber"/>
        <w:spacing w:after="100" w:line="288" w:lineRule="auto"/>
      </w:pPr>
      <w:r>
        <w:rPr>
          <w:rFonts w:ascii="Calibri" w:hAnsi="Calibri"/>
          <w:b w:val="0"/>
          <w:i w:val="0"/>
          <w:color w:val="262321"/>
          <w:sz w:val="22"/>
        </w:rPr>
        <w:t>The canonical keeper changes immediately and both parties are notified.</w:t>
      </w:r>
    </w:p>
    <w:p>
      <w:pPr>
        <w:pStyle w:val="ListNumber"/>
        <w:spacing w:after="100" w:line="288" w:lineRule="auto"/>
      </w:pPr>
      <w:r>
        <w:rPr>
          <w:rFonts w:ascii="Calibri" w:hAnsi="Calibri"/>
          <w:b w:val="0"/>
          <w:i w:val="0"/>
          <w:color w:val="262321"/>
          <w:sz w:val="22"/>
        </w:rPr>
        <w:t>The permanent code stays with the artwork and the complete artwork history unlocks for the new keeper.</w:t>
      </w:r>
    </w:p>
    <w:p>
      <w:pPr>
        <w:pStyle w:val="Heading2"/>
        <w:keepNext/>
      </w:pPr>
      <w:r>
        <w:t>When nobody answers</w:t>
      </w:r>
    </w:p>
    <w:p>
      <w:pPr/>
      <w:r>
        <w:rPr>
          <w:rFonts w:ascii="Calibri" w:hAnsi="Calibri"/>
          <w:b w:val="0"/>
          <w:i w:val="0"/>
          <w:color w:val="262321"/>
          <w:sz w:val="22"/>
        </w:rPr>
        <w:t>If the current keeper does not respond, the registry sends notices at the opening of the claim and on days 10, 20 and 27. At the first steward run after day 30, continued silence allows physical possession plus the correct code to recover the artwork. An individual dead mailbox cannot orphan the piece forever; a system-wide email outage pauses automation.</w:t>
      </w:r>
    </w:p>
    <w:p>
      <w:pPr>
        <w:pStyle w:val="Heading2"/>
        <w:keepNext/>
      </w:pPr>
      <w:r>
        <w:t>When the keeper says no</w:t>
      </w:r>
    </w:p>
    <w:p>
      <w:pPr/>
      <w:r>
        <w:rPr>
          <w:rFonts w:ascii="Calibri" w:hAnsi="Calibri"/>
          <w:b w:val="0"/>
          <w:i w:val="0"/>
          <w:color w:val="262321"/>
          <w:sz w:val="22"/>
        </w:rPr>
        <w:t>An explicit denial stops automatic transfer. The keeper supplies a reason, the claimant receives it through a masked email relay, and the case becomes a dispute rather than an automated handoff. Theft and legal disputes are preserved for communication, police or court resolution; neither an infrastructure custodian nor a single administrator may simply choose a winner.</w:t>
      </w:r>
    </w:p>
    <w:p>
      <w:pPr>
        <w:pStyle w:val="Heading2"/>
        <w:keepNext/>
      </w:pPr>
      <w:r>
        <w:t>Evidence and privacy</w:t>
      </w:r>
    </w:p>
    <w:p>
      <w:pPr/>
      <w:r>
        <w:rPr>
          <w:rFonts w:ascii="Calibri" w:hAnsi="Calibri"/>
          <w:b w:val="0"/>
          <w:i w:val="0"/>
          <w:color w:val="262321"/>
          <w:sz w:val="22"/>
        </w:rPr>
        <w:t>The keeper sees the claimant's verified name, email and explanation. IP address, user agent and technical evidence remain restricted to registry administration and lawful dispute handling. The Ownership Code never appears in email or a URL.</w:t>
      </w:r>
    </w:p>
    <w:p>
      <w:r>
        <w:br w:type="page"/>
      </w:r>
    </w:p>
    <w:p>
      <w:pPr>
        <w:pStyle w:val="Heading1"/>
        <w:keepNext/>
      </w:pPr>
      <w:r>
        <w:t>What the artwork remembers</w:t>
      </w:r>
    </w:p>
    <w:p>
      <w:pPr/>
      <w:r>
        <w:rPr>
          <w:rFonts w:ascii="Calibri" w:hAnsi="Calibri"/>
          <w:b w:val="0"/>
          <w:i w:val="0"/>
          <w:color w:val="262321"/>
          <w:sz w:val="22"/>
        </w:rPr>
        <w:t>The registry carries an artwork-attached archive. It is broader than a public provenance list and more enduring than one owner's files.</w:t>
      </w:r>
    </w:p>
    <w:p>
      <w:pPr>
        <w:pStyle w:val="Heading2"/>
        <w:keepNext/>
      </w:pPr>
      <w:r>
        <w:t>Creation and material history</w:t>
      </w:r>
    </w:p>
    <w:p>
      <w:pPr>
        <w:pStyle w:val="ListBullet"/>
        <w:spacing w:after="80" w:line="288" w:lineRule="auto"/>
      </w:pPr>
      <w:r>
        <w:rPr>
          <w:rFonts w:ascii="Calibri" w:hAnsi="Calibri"/>
          <w:b w:val="0"/>
          <w:i w:val="0"/>
          <w:color w:val="262321"/>
          <w:sz w:val="22"/>
        </w:rPr>
        <w:t>Where and when the artwork was created.</w:t>
      </w:r>
    </w:p>
    <w:p>
      <w:pPr>
        <w:pStyle w:val="ListBullet"/>
        <w:spacing w:after="80" w:line="288" w:lineRule="auto"/>
      </w:pPr>
      <w:r>
        <w:rPr>
          <w:rFonts w:ascii="Calibri" w:hAnsi="Calibri"/>
          <w:b w:val="0"/>
          <w:i w:val="0"/>
          <w:color w:val="262321"/>
          <w:sz w:val="22"/>
        </w:rPr>
        <w:t>Who created it and which craftspeople touched it, including Balinese carvers, finishers and collaborators.</w:t>
      </w:r>
    </w:p>
    <w:p>
      <w:pPr>
        <w:pStyle w:val="ListBullet"/>
        <w:spacing w:after="80" w:line="288" w:lineRule="auto"/>
      </w:pPr>
      <w:r>
        <w:rPr>
          <w:rFonts w:ascii="Calibri" w:hAnsi="Calibri"/>
          <w:b w:val="0"/>
          <w:i w:val="0"/>
          <w:color w:val="262321"/>
          <w:sz w:val="22"/>
        </w:rPr>
        <w:t>Wood species, source, treatment and finish.</w:t>
      </w:r>
    </w:p>
    <w:p>
      <w:pPr>
        <w:pStyle w:val="ListBullet"/>
        <w:spacing w:after="80" w:line="288" w:lineRule="auto"/>
      </w:pPr>
      <w:r>
        <w:rPr>
          <w:rFonts w:ascii="Calibri" w:hAnsi="Calibri"/>
          <w:b w:val="0"/>
          <w:i w:val="0"/>
          <w:color w:val="262321"/>
          <w:sz w:val="22"/>
        </w:rPr>
        <w:t>Crystals, gemstones, metals and other materials.</w:t>
      </w:r>
    </w:p>
    <w:p>
      <w:pPr>
        <w:pStyle w:val="ListBullet"/>
        <w:spacing w:after="80" w:line="288" w:lineRule="auto"/>
      </w:pPr>
      <w:r>
        <w:rPr>
          <w:rFonts w:ascii="Calibri" w:hAnsi="Calibri"/>
          <w:b w:val="0"/>
          <w:i w:val="0"/>
          <w:color w:val="262321"/>
          <w:sz w:val="22"/>
        </w:rPr>
        <w:t>Construction methods, repairs and restoration.</w:t>
      </w:r>
    </w:p>
    <w:p>
      <w:pPr>
        <w:pStyle w:val="Heading2"/>
        <w:keepNext/>
      </w:pPr>
      <w:r>
        <w:t>Custody and cultural history</w:t>
      </w:r>
    </w:p>
    <w:p>
      <w:pPr>
        <w:pStyle w:val="ListBullet"/>
        <w:spacing w:after="80" w:line="288" w:lineRule="auto"/>
      </w:pPr>
      <w:r>
        <w:rPr>
          <w:rFonts w:ascii="Calibri" w:hAnsi="Calibri"/>
          <w:b w:val="0"/>
          <w:i w:val="0"/>
          <w:color w:val="262321"/>
          <w:sz w:val="22"/>
        </w:rPr>
        <w:t>Storage, transport and broad location records.</w:t>
      </w:r>
    </w:p>
    <w:p>
      <w:pPr>
        <w:pStyle w:val="ListBullet"/>
        <w:spacing w:after="80" w:line="288" w:lineRule="auto"/>
      </w:pPr>
      <w:r>
        <w:rPr>
          <w:rFonts w:ascii="Calibri" w:hAnsi="Calibri"/>
          <w:b w:val="0"/>
          <w:i w:val="0"/>
          <w:color w:val="262321"/>
          <w:sz w:val="22"/>
        </w:rPr>
        <w:t>Exhibitions, venues and installations.</w:t>
      </w:r>
    </w:p>
    <w:p>
      <w:pPr>
        <w:pStyle w:val="ListBullet"/>
        <w:spacing w:after="80" w:line="288" w:lineRule="auto"/>
      </w:pPr>
      <w:r>
        <w:rPr>
          <w:rFonts w:ascii="Calibri" w:hAnsi="Calibri"/>
          <w:b w:val="0"/>
          <w:i w:val="0"/>
          <w:color w:val="262321"/>
          <w:sz w:val="22"/>
        </w:rPr>
        <w:t>Photographs, certificates and selected documents.</w:t>
      </w:r>
    </w:p>
    <w:p>
      <w:pPr>
        <w:pStyle w:val="ListBullet"/>
        <w:spacing w:after="80" w:line="288" w:lineRule="auto"/>
      </w:pPr>
      <w:r>
        <w:rPr>
          <w:rFonts w:ascii="Calibri" w:hAnsi="Calibri"/>
          <w:b w:val="0"/>
          <w:i w:val="0"/>
          <w:color w:val="262321"/>
          <w:sz w:val="22"/>
        </w:rPr>
        <w:t>Financial history, currency, channel and artwork-related records.</w:t>
      </w:r>
    </w:p>
    <w:p>
      <w:pPr/>
      <w:r>
        <w:rPr>
          <w:rFonts w:ascii="Calibri" w:hAnsi="Calibri"/>
          <w:b w:val="0"/>
          <w:i w:val="0"/>
          <w:color w:val="262321"/>
          <w:sz w:val="22"/>
        </w:rPr>
        <w:t>Adrian can build these records while he is the keeper. After transfer, the current keeper controls new custody and location records. Adrian may propose a historical or exhibition entry, but the keeper confirms it before private location information is stored or shown.</w:t>
      </w:r>
    </w:p>
    <w:p>
      <w:pPr>
        <w:pStyle w:val="Heading2"/>
        <w:keepNext/>
      </w:pPr>
      <w:r>
        <w:t>What does not travel with the artwork</w:t>
      </w:r>
    </w:p>
    <w:p>
      <w:pPr/>
      <w:r>
        <w:rPr>
          <w:rFonts w:ascii="Calibri" w:hAnsi="Calibri"/>
          <w:b w:val="0"/>
          <w:i w:val="0"/>
          <w:color w:val="262321"/>
          <w:sz w:val="22"/>
        </w:rPr>
        <w:t>The new keeper receives everything about the artwork, not the former keeper's security profile. Birthdates, login data, IP evidence, payment credentials, unrelated account notes and exact private addresses do not pass forward. Artwork documents are redacted of unrelated personal information before joining the permanent archive.</w:t>
      </w:r>
    </w:p>
    <w:p>
      <w:r>
        <w:br w:type="page"/>
      </w:r>
    </w:p>
    <w:p>
      <w:pPr>
        <w:pStyle w:val="Heading1"/>
        <w:keepNext/>
      </w:pPr>
      <w:r>
        <w:t>Private forever does not mean public forever</w:t>
      </w:r>
    </w:p>
    <w:p>
      <w:pPr/>
      <w:r>
        <w:rPr>
          <w:rFonts w:ascii="Calibri" w:hAnsi="Calibri"/>
          <w:b w:val="0"/>
          <w:i w:val="0"/>
          <w:color w:val="262321"/>
          <w:sz w:val="22"/>
        </w:rPr>
        <w:t>A confirmed record remains part of the artwork's history, but visibility can change. The keeper may show a dream today, hide it tomorrow and make it visible again later. Hiding changes presentation, not history.</w:t>
      </w:r>
    </w:p>
    <w:tbl>
      <w:tblPr>
        <w:tblW w:type="dxa" w:w="9360"/>
        <w:jc w:val="left"/>
        <w:tblLayout w:type="fixed"/>
        <w:tblLook w:firstColumn="1" w:firstRow="1" w:lastColumn="0" w:lastRow="0" w:noHBand="0" w:noVBand="1" w:val="04A0"/>
        <w:tblInd w:w="120" w:type="dxa"/>
      </w:tblPr>
      <w:tblGrid>
        <w:gridCol w:w="3000"/>
        <w:gridCol w:w="3360"/>
        <w:gridCol w:w="3000"/>
      </w:tblGrid>
      <w:tr>
        <w:trPr>
          <w:tblHeader w:val="true"/>
        </w:trPr>
        <w:tc>
          <w:tcPr>
            <w:tcW w:type="dxa" w:w="3000"/>
            <w:shd w:fill="EBE8E1"/>
            <w:tcMar>
              <w:top w:w="120" w:type="dxa"/>
              <w:start w:w="140" w:type="dxa"/>
              <w:bottom w:w="120" w:type="dxa"/>
              <w:end w:w="140" w:type="dxa"/>
            </w:tcMar>
            <w:vAlign w:val="center"/>
          </w:tcPr>
          <w:p>
            <w:pPr>
              <w:jc w:val="left"/>
            </w:pPr>
            <w:r>
              <w:rPr>
                <w:rFonts w:ascii="Calibri" w:hAnsi="Calibri"/>
                <w:b/>
                <w:i w:val="0"/>
                <w:color w:val="262321"/>
                <w:sz w:val="19"/>
              </w:rPr>
              <w:t>Public story</w:t>
            </w:r>
          </w:p>
        </w:tc>
        <w:tc>
          <w:tcPr>
            <w:tcW w:type="dxa" w:w="3360"/>
            <w:shd w:fill="EBE8E1"/>
            <w:tcMar>
              <w:top w:w="120" w:type="dxa"/>
              <w:start w:w="140" w:type="dxa"/>
              <w:bottom w:w="120" w:type="dxa"/>
              <w:end w:w="140" w:type="dxa"/>
            </w:tcMar>
            <w:vAlign w:val="center"/>
          </w:tcPr>
          <w:p>
            <w:pPr>
              <w:jc w:val="left"/>
            </w:pPr>
            <w:r>
              <w:rPr>
                <w:rFonts w:ascii="Calibri" w:hAnsi="Calibri"/>
                <w:b/>
                <w:i w:val="0"/>
                <w:color w:val="262321"/>
                <w:sz w:val="19"/>
              </w:rPr>
              <w:t>Keeper-private archive</w:t>
            </w:r>
          </w:p>
        </w:tc>
        <w:tc>
          <w:tcPr>
            <w:tcW w:type="dxa" w:w="3000"/>
            <w:shd w:fill="EBE8E1"/>
            <w:tcMar>
              <w:top w:w="120" w:type="dxa"/>
              <w:start w:w="140" w:type="dxa"/>
              <w:bottom w:w="120" w:type="dxa"/>
              <w:end w:w="140" w:type="dxa"/>
            </w:tcMar>
            <w:vAlign w:val="center"/>
          </w:tcPr>
          <w:p>
            <w:pPr>
              <w:jc w:val="left"/>
            </w:pPr>
            <w:r>
              <w:rPr>
                <w:rFonts w:ascii="Calibri" w:hAnsi="Calibri"/>
                <w:b/>
                <w:i w:val="0"/>
                <w:color w:val="262321"/>
                <w:sz w:val="19"/>
              </w:rPr>
              <w:t>Registry evidence</w:t>
            </w:r>
          </w:p>
        </w:tc>
      </w:tr>
      <w:tr>
        <w:tc>
          <w:tcPr>
            <w:tcW w:type="dxa" w:w="3000"/>
            <w:shd w:fill="F5F4F0"/>
            <w:tcMar>
              <w:top w:w="120" w:type="dxa"/>
              <w:start w:w="140" w:type="dxa"/>
              <w:bottom w:w="120" w:type="dxa"/>
              <w:end w:w="140" w:type="dxa"/>
            </w:tcMar>
            <w:vAlign w:val="center"/>
          </w:tcPr>
          <w:p>
            <w:pPr>
              <w:spacing w:after="0" w:line="264" w:lineRule="auto"/>
            </w:pPr>
            <w:r>
              <w:rPr>
                <w:rFonts w:ascii="Calibri" w:hAnsi="Calibri"/>
                <w:b w:val="0"/>
                <w:i w:val="0"/>
                <w:color w:val="262321"/>
                <w:sz w:val="18"/>
              </w:rPr>
              <w:t>Artwork identity, selected story, public materials, exhibitions, opted-in keeper profile and dreams.</w:t>
            </w:r>
          </w:p>
        </w:tc>
        <w:tc>
          <w:tcPr>
            <w:tcW w:type="dxa" w:w="3360"/>
            <w:shd w:fill="F5F4F0"/>
            <w:tcMar>
              <w:top w:w="120" w:type="dxa"/>
              <w:start w:w="140" w:type="dxa"/>
              <w:bottom w:w="120" w:type="dxa"/>
              <w:end w:w="140" w:type="dxa"/>
            </w:tcMar>
            <w:vAlign w:val="center"/>
          </w:tcPr>
          <w:p>
            <w:pPr>
              <w:spacing w:after="0" w:line="264" w:lineRule="auto"/>
            </w:pPr>
            <w:r>
              <w:rPr>
                <w:rFonts w:ascii="Calibri" w:hAnsi="Calibri"/>
                <w:b w:val="0"/>
                <w:i w:val="0"/>
                <w:color w:val="262321"/>
                <w:sz w:val="18"/>
              </w:rPr>
              <w:t>Full artwork-attached history, prices, documents, private materials, maker records and custody details.</w:t>
            </w:r>
          </w:p>
        </w:tc>
        <w:tc>
          <w:tcPr>
            <w:tcW w:type="dxa" w:w="3000"/>
            <w:shd w:fill="F5F4F0"/>
            <w:tcMar>
              <w:top w:w="120" w:type="dxa"/>
              <w:start w:w="140" w:type="dxa"/>
              <w:bottom w:w="120" w:type="dxa"/>
              <w:end w:w="140" w:type="dxa"/>
            </w:tcMar>
            <w:vAlign w:val="center"/>
          </w:tcPr>
          <w:p>
            <w:pPr>
              <w:spacing w:after="0" w:line="264" w:lineRule="auto"/>
            </w:pPr>
            <w:r>
              <w:rPr>
                <w:rFonts w:ascii="Calibri" w:hAnsi="Calibri"/>
                <w:b w:val="0"/>
                <w:i w:val="0"/>
                <w:color w:val="262321"/>
                <w:sz w:val="18"/>
              </w:rPr>
              <w:t>Claims, IP/device evidence, authentication data, delivery records and security audits.</w:t>
            </w:r>
          </w:p>
        </w:tc>
      </w:tr>
      <w:tr>
        <w:tc>
          <w:tcPr>
            <w:tcW w:type="dxa" w:w="3000"/>
            <w:shd w:fill="FFFFFF"/>
            <w:tcMar>
              <w:top w:w="120" w:type="dxa"/>
              <w:start w:w="140" w:type="dxa"/>
              <w:bottom w:w="120" w:type="dxa"/>
              <w:end w:w="140" w:type="dxa"/>
            </w:tcMar>
            <w:vAlign w:val="center"/>
          </w:tcPr>
          <w:p>
            <w:pPr>
              <w:spacing w:after="0" w:line="264" w:lineRule="auto"/>
            </w:pPr>
            <w:r>
              <w:rPr>
                <w:rFonts w:ascii="Calibri" w:hAnsi="Calibri"/>
                <w:b w:val="0"/>
                <w:i w:val="0"/>
                <w:color w:val="262321"/>
                <w:sz w:val="18"/>
              </w:rPr>
              <w:t>Can be shown or hidden without deleting the underlying record.</w:t>
            </w:r>
          </w:p>
        </w:tc>
        <w:tc>
          <w:tcPr>
            <w:tcW w:type="dxa" w:w="3360"/>
            <w:shd w:fill="FFFFFF"/>
            <w:tcMar>
              <w:top w:w="120" w:type="dxa"/>
              <w:start w:w="140" w:type="dxa"/>
              <w:bottom w:w="120" w:type="dxa"/>
              <w:end w:w="140" w:type="dxa"/>
            </w:tcMar>
            <w:vAlign w:val="center"/>
          </w:tcPr>
          <w:p>
            <w:pPr>
              <w:spacing w:after="0" w:line="264" w:lineRule="auto"/>
            </w:pPr>
            <w:r>
              <w:rPr>
                <w:rFonts w:ascii="Calibri" w:hAnsi="Calibri"/>
                <w:b w:val="0"/>
                <w:i w:val="0"/>
                <w:color w:val="262321"/>
                <w:sz w:val="18"/>
              </w:rPr>
              <w:t>Transfers to each confirmed keeper with the artwork, after unrelated personal data is removed.</w:t>
            </w:r>
          </w:p>
        </w:tc>
        <w:tc>
          <w:tcPr>
            <w:tcW w:type="dxa" w:w="3000"/>
            <w:shd w:fill="FFFFFF"/>
            <w:tcMar>
              <w:top w:w="120" w:type="dxa"/>
              <w:start w:w="140" w:type="dxa"/>
              <w:bottom w:w="120" w:type="dxa"/>
              <w:end w:w="140" w:type="dxa"/>
            </w:tcMar>
            <w:vAlign w:val="center"/>
          </w:tcPr>
          <w:p>
            <w:pPr>
              <w:spacing w:after="0" w:line="264" w:lineRule="auto"/>
            </w:pPr>
            <w:r>
              <w:rPr>
                <w:rFonts w:ascii="Calibri" w:hAnsi="Calibri"/>
                <w:b w:val="0"/>
                <w:i w:val="0"/>
                <w:color w:val="262321"/>
                <w:sz w:val="18"/>
              </w:rPr>
              <w:t>Restricted to the smallest authorized role; never becomes ordinary collector content.</w:t>
            </w:r>
          </w:p>
        </w:tc>
      </w:tr>
    </w:tbl>
    <w:p/>
    <w:p>
      <w:pPr>
        <w:pStyle w:val="Heading2"/>
        <w:keepNext/>
      </w:pPr>
      <w:r>
        <w:t>Temporary disclosure before transfer</w:t>
      </w:r>
    </w:p>
    <w:p>
      <w:pPr/>
      <w:r>
        <w:rPr>
          <w:rFonts w:ascii="Calibri" w:hAnsi="Calibri"/>
          <w:b w:val="0"/>
          <w:i w:val="0"/>
          <w:color w:val="262321"/>
          <w:sz w:val="22"/>
        </w:rPr>
        <w:t>A claimant does not automatically see the private archive. They may request access. The current keeper chooses individual records and a short viewing period. After a confirmed transfer, the new keeper receives the complete artwork-attached archive.</w:t>
      </w:r>
    </w:p>
    <w:p>
      <w:pPr>
        <w:pStyle w:val="Heading2"/>
        <w:keepNext/>
      </w:pPr>
      <w:r>
        <w:t>Corrections and necessary removal</w:t>
      </w:r>
    </w:p>
    <w:p>
      <w:pPr/>
      <w:r>
        <w:rPr>
          <w:rFonts w:ascii="Calibri" w:hAnsi="Calibri"/>
          <w:b w:val="0"/>
          <w:i w:val="0"/>
          <w:color w:val="262321"/>
          <w:sz w:val="22"/>
        </w:rPr>
        <w:t>History is corrected by adding a linked record, not quietly rewriting the past. If privacy or law requires harmful content to be removed, the encrypted content may be erased while its non-readable hash, category, time and correction reason remain as evidence that a record once existed.</w:t>
      </w:r>
    </w:p>
    <w:p>
      <w:r>
        <w:br w:type="page"/>
      </w:r>
    </w:p>
    <w:p>
      <w:pPr>
        <w:pStyle w:val="Heading1"/>
        <w:keepNext/>
      </w:pPr>
      <w:r>
        <w:t>Inscriptions, dedications and dreams</w:t>
      </w:r>
    </w:p>
    <w:p>
      <w:pPr/>
      <w:r>
        <w:rPr>
          <w:rFonts w:ascii="Calibri" w:hAnsi="Calibri"/>
          <w:b w:val="0"/>
          <w:i w:val="0"/>
          <w:color w:val="262321"/>
          <w:sz w:val="22"/>
        </w:rPr>
        <w:t>The registry gives the human story a deliberate place without forcing anyone to be public.</w:t>
      </w:r>
    </w:p>
    <w:p>
      <w:pPr>
        <w:pStyle w:val="Heading2"/>
        <w:keepNext/>
      </w:pPr>
      <w:r>
        <w:t>Four forms of inscription</w:t>
      </w:r>
    </w:p>
    <w:p>
      <w:pPr>
        <w:pStyle w:val="ListBullet"/>
        <w:spacing w:after="80" w:line="288" w:lineRule="auto"/>
      </w:pPr>
      <w:r>
        <w:rPr>
          <w:rFonts w:ascii="Calibri" w:hAnsi="Calibri"/>
          <w:b w:val="0"/>
          <w:i w:val="0"/>
          <w:color w:val="262321"/>
          <w:sz w:val="22"/>
        </w:rPr>
        <w:t>Creator inscription: Adrian's message at the origin of the work.</w:t>
      </w:r>
    </w:p>
    <w:p>
      <w:pPr>
        <w:pStyle w:val="ListBullet"/>
        <w:spacing w:after="80" w:line="288" w:lineRule="auto"/>
      </w:pPr>
      <w:r>
        <w:rPr>
          <w:rFonts w:ascii="Calibri" w:hAnsi="Calibri"/>
          <w:b w:val="0"/>
          <w:i w:val="0"/>
          <w:color w:val="262321"/>
          <w:sz w:val="22"/>
        </w:rPr>
        <w:t>Gift dedication: one message from the purchaser before the recipient first claims the piece.</w:t>
      </w:r>
    </w:p>
    <w:p>
      <w:pPr>
        <w:pStyle w:val="ListBullet"/>
        <w:spacing w:after="80" w:line="288" w:lineRule="auto"/>
      </w:pPr>
      <w:r>
        <w:rPr>
          <w:rFonts w:ascii="Calibri" w:hAnsi="Calibri"/>
          <w:b w:val="0"/>
          <w:i w:val="0"/>
          <w:color w:val="262321"/>
          <w:sz w:val="22"/>
        </w:rPr>
        <w:t>Origin inscription: one message from the first keeper who brought the work into its first custodial form.</w:t>
      </w:r>
    </w:p>
    <w:p>
      <w:pPr>
        <w:pStyle w:val="ListBullet"/>
        <w:spacing w:after="80" w:line="288" w:lineRule="auto"/>
      </w:pPr>
      <w:r>
        <w:rPr>
          <w:rFonts w:ascii="Calibri" w:hAnsi="Calibri"/>
          <w:b w:val="0"/>
          <w:i w:val="0"/>
          <w:color w:val="262321"/>
          <w:sz w:val="22"/>
        </w:rPr>
        <w:t>Annual keeper inscription: one opportunity each year within fourteen days before or after the keeper's birthday.</w:t>
      </w:r>
    </w:p>
    <w:p>
      <w:pPr/>
      <w:r>
        <w:rPr>
          <w:rFonts w:ascii="Calibri" w:hAnsi="Calibri"/>
          <w:b w:val="0"/>
          <w:i w:val="0"/>
          <w:color w:val="262321"/>
          <w:sz w:val="22"/>
        </w:rPr>
        <w:t>Every inscription begins as a private draft. It can be edited for seven days and sealed early by confirmation. Once sealed, the words remain part of the private history. Public visibility can still be turned on or off.</w:t>
      </w:r>
    </w:p>
    <w:p>
      <w:pPr>
        <w:pStyle w:val="Heading2"/>
        <w:keepNext/>
      </w:pPr>
      <w:r>
        <w:t>A keeper's public presence</w:t>
      </w:r>
    </w:p>
    <w:p>
      <w:pPr/>
      <w:r>
        <w:rPr>
          <w:rFonts w:ascii="Calibri" w:hAnsi="Calibri"/>
          <w:b w:val="0"/>
          <w:i w:val="0"/>
          <w:color w:val="262321"/>
          <w:sz w:val="22"/>
        </w:rPr>
        <w:t>A keeper may choose to be visible beside the artwork. They can show a selected name, dream or purpose, website, social links and broad location. Each field can be hidden and enabled again independently. If the profile is hidden, the public lineage simply shows a private keeper period.</w:t>
      </w:r>
    </w:p>
    <w:p>
      <w:pPr>
        <w:pStyle w:val="Heading2"/>
        <w:keepNext/>
      </w:pPr>
      <w:r>
        <w:t>Interconnecting people and art</w:t>
      </w:r>
    </w:p>
    <w:p>
      <w:pPr/>
      <w:r>
        <w:rPr>
          <w:rFonts w:ascii="Calibri" w:hAnsi="Calibri"/>
          <w:b w:val="0"/>
          <w:i w:val="0"/>
          <w:color w:val="262321"/>
          <w:sz w:val="22"/>
        </w:rPr>
        <w:t>Public dreams, opted-in keeper profiles and permitted chart coherence can form a wider constellation of people, artworks and intentions. The relationship is invitational rather than compulsory. Birthdates remain private even when coherence is enabled.</w:t>
      </w:r>
    </w:p>
    <w:p>
      <w:r>
        <w:br w:type="page"/>
      </w:r>
    </w:p>
    <w:p>
      <w:pPr>
        <w:pStyle w:val="Heading1"/>
        <w:keepNext/>
      </w:pPr>
      <w:r>
        <w:t>Permanence without pretending</w:t>
      </w:r>
    </w:p>
    <w:p>
      <w:pPr/>
      <w:r>
        <w:rPr>
          <w:rFonts w:ascii="Calibri" w:hAnsi="Calibri"/>
          <w:b w:val="0"/>
          <w:i w:val="0"/>
          <w:color w:val="262321"/>
          <w:sz w:val="22"/>
        </w:rPr>
        <w:t>No ordinary website can honestly promise that a single database will exist unchanged forever. The registry approaches permanence through recoverability, independent evidence and clearly limited authority.</w:t>
      </w:r>
    </w:p>
    <w:p>
      <w:pPr>
        <w:pStyle w:val="Heading2"/>
        <w:keepNext/>
      </w:pPr>
      <w:r>
        <w:t>The recovery set</w:t>
      </w:r>
    </w:p>
    <w:p>
      <w:pPr>
        <w:pStyle w:val="ListBullet"/>
        <w:spacing w:after="80" w:line="288" w:lineRule="auto"/>
      </w:pPr>
      <w:r>
        <w:rPr>
          <w:rFonts w:ascii="Calibri" w:hAnsi="Calibri"/>
          <w:b w:val="0"/>
          <w:i w:val="0"/>
          <w:color w:val="262321"/>
          <w:sz w:val="22"/>
        </w:rPr>
        <w:t>An encrypted export of the canonical database.</w:t>
      </w:r>
    </w:p>
    <w:p>
      <w:pPr>
        <w:pStyle w:val="ListBullet"/>
        <w:spacing w:after="80" w:line="288" w:lineRule="auto"/>
      </w:pPr>
      <w:r>
        <w:rPr>
          <w:rFonts w:ascii="Calibri" w:hAnsi="Calibri"/>
          <w:b w:val="0"/>
          <w:i w:val="0"/>
          <w:color w:val="262321"/>
          <w:sz w:val="22"/>
        </w:rPr>
        <w:t>The exact versioned private storage objects referenced by that export.</w:t>
      </w:r>
    </w:p>
    <w:p>
      <w:pPr>
        <w:pStyle w:val="ListBullet"/>
        <w:spacing w:after="80" w:line="288" w:lineRule="auto"/>
      </w:pPr>
      <w:r>
        <w:rPr>
          <w:rFonts w:ascii="Calibri" w:hAnsi="Calibri"/>
          <w:b w:val="0"/>
          <w:i w:val="0"/>
          <w:color w:val="262321"/>
          <w:sz w:val="22"/>
        </w:rPr>
        <w:t>A manifest tying the database bookmark to every object hash and version.</w:t>
      </w:r>
    </w:p>
    <w:p>
      <w:pPr>
        <w:pStyle w:val="ListBullet"/>
        <w:spacing w:after="80" w:line="288" w:lineRule="auto"/>
      </w:pPr>
      <w:r>
        <w:rPr>
          <w:rFonts w:ascii="Calibri" w:hAnsi="Calibri"/>
          <w:b w:val="0"/>
          <w:i w:val="0"/>
          <w:color w:val="262321"/>
          <w:sz w:val="22"/>
        </w:rPr>
        <w:t>Separately escrowed encryption and verification keys.</w:t>
      </w:r>
    </w:p>
    <w:p>
      <w:pPr>
        <w:pStyle w:val="Heading2"/>
        <w:keepNext/>
      </w:pPr>
      <w:r>
        <w:t>Daily checkpoints</w:t>
      </w:r>
    </w:p>
    <w:p>
      <w:pPr/>
      <w:r>
        <w:rPr>
          <w:rFonts w:ascii="Calibri" w:hAnsi="Calibri"/>
          <w:b w:val="0"/>
          <w:i w:val="0"/>
          <w:color w:val="262321"/>
          <w:sz w:val="22"/>
        </w:rPr>
        <w:t>Each day's artwork anchors contribute to a signed checkpoint linked to the previous day. Checkpoints are published on Adrian, mirrored to Mandala, retained under protected object keys and witnessed outside the primary Cloudflare account. They make unnoticed rewriting detectable; they are not a mystical claim that infrastructure can never fail.</w:t>
      </w:r>
    </w:p>
    <w:p>
      <w:pPr>
        <w:pStyle w:val="Heading2"/>
        <w:keepNext/>
      </w:pPr>
      <w:r>
        <w:t>Custody without ownership</w:t>
      </w:r>
    </w:p>
    <w:p>
      <w:pPr/>
      <w:r>
        <w:rPr>
          <w:rFonts w:ascii="Calibri" w:hAnsi="Calibri"/>
          <w:b w:val="0"/>
          <w:i w:val="0"/>
          <w:color w:val="262321"/>
          <w:sz w:val="22"/>
        </w:rPr>
        <w:t>The system separates the person who can retrieve encrypted backups from the person who holds decryption material. Restoring or changing production requires both. The ordinary custodian can verify, recover and request a reviewed redeployment, but cannot approve claims, transfer artwork or browse keeper archives.</w:t>
      </w:r>
    </w:p>
    <w:p>
      <w:pPr>
        <w:shd w:fill="EBE8E1"/>
        <w:pBdr>
          <w:left w:val="single" w:sz="18" w:space="8" w:color="8A744E"/>
        </w:pBdr>
        <w:spacing w:before="160" w:after="200" w:line="288" w:lineRule="auto"/>
        <w:ind w:left="259" w:right="173"/>
      </w:pPr>
      <w:r>
        <w:rPr>
          <w:rFonts w:ascii="Calibri" w:hAnsi="Calibri"/>
          <w:b/>
          <w:i w:val="0"/>
          <w:color w:val="8A744E"/>
          <w:sz w:val="18"/>
        </w:rPr>
        <w:t>FUTURE MUSEUM STEWARDSHIP</w:t>
      </w:r>
      <w:r>
        <w:rPr>
          <w:rFonts w:ascii="Georgia" w:hAnsi="Georgia"/>
          <w:b w:val="0"/>
          <w:i w:val="0"/>
          <w:color w:val="262321"/>
          <w:sz w:val="23"/>
        </w:rPr>
        <w:br/>
        <w:t>Museum outreach remains inactive until institutions agree to participate. The technical foundation can later invite a museum or foundation to preserve the registry without giving it ownership of the artworks or permission to rewrite their stories.</w:t>
      </w:r>
    </w:p>
    <w:p>
      <w:r>
        <w:br w:type="page"/>
      </w:r>
    </w:p>
    <w:p>
      <w:pPr>
        <w:pStyle w:val="Heading1"/>
        <w:keepNext/>
      </w:pPr>
      <w:r>
        <w:t>The path from concept to use</w:t>
      </w:r>
    </w:p>
    <w:p>
      <w:pPr>
        <w:pStyle w:val="Heading2"/>
        <w:keepNext/>
      </w:pPr>
      <w:r>
        <w:t>1. Qualify the registry</w:t>
      </w:r>
    </w:p>
    <w:p>
      <w:pPr/>
      <w:r>
        <w:rPr>
          <w:rFonts w:ascii="Calibri" w:hAnsi="Calibri"/>
          <w:b w:val="0"/>
          <w:i w:val="0"/>
          <w:color w:val="262321"/>
          <w:sz w:val="22"/>
        </w:rPr>
        <w:t>Issue a clearly labeled system canary, prove recovery from copied database and storage artifacts, and bind the proof to the exact production build, schema, key version and plate generator.</w:t>
      </w:r>
    </w:p>
    <w:p>
      <w:pPr>
        <w:pStyle w:val="Heading2"/>
        <w:keepNext/>
      </w:pPr>
      <w:r>
        <w:t>2. Qualify the metal</w:t>
      </w:r>
    </w:p>
    <w:p>
      <w:pPr/>
      <w:r>
        <w:rPr>
          <w:rFonts w:ascii="Calibri" w:hAnsi="Calibri"/>
          <w:b w:val="0"/>
          <w:i w:val="0"/>
          <w:color w:val="262321"/>
          <w:sz w:val="22"/>
        </w:rPr>
        <w:t>Fabricate one real profile: named vendor, material, thickness, finish, engraving process, depth and attachment method. Test it on current iPhone and Android devices in direct, indoor and dim light, straight and angled, before and after attachment.</w:t>
      </w:r>
    </w:p>
    <w:p>
      <w:pPr>
        <w:pStyle w:val="Heading2"/>
        <w:keepNext/>
      </w:pPr>
      <w:r>
        <w:t>3. Activate the first artwork</w:t>
      </w:r>
    </w:p>
    <w:p>
      <w:pPr/>
      <w:r>
        <w:rPr>
          <w:rFonts w:ascii="Calibri" w:hAnsi="Calibri"/>
          <w:b w:val="0"/>
          <w:i w:val="0"/>
          <w:color w:val="262321"/>
          <w:sz w:val="22"/>
        </w:rPr>
        <w:t>Review the exact artwork and edition before issuing. Download the separate vendor and owner archives. Compare hashes and physical markings, then activate only after every observation passes.</w:t>
      </w:r>
    </w:p>
    <w:p>
      <w:pPr>
        <w:pStyle w:val="Heading2"/>
        <w:keepNext/>
      </w:pPr>
      <w:r>
        <w:t>4. Prove the human workflow</w:t>
      </w:r>
    </w:p>
    <w:p>
      <w:pPr/>
      <w:r>
        <w:rPr>
          <w:rFonts w:ascii="Calibri" w:hAnsi="Calibri"/>
          <w:b w:val="0"/>
          <w:i w:val="0"/>
          <w:color w:val="262321"/>
          <w:sz w:val="22"/>
        </w:rPr>
        <w:t>Use controlled accounts to complete first keeper registration, an immediate approved transfer, a denied claim and a timed silence claim. Disable Mandala's ownership writes before Adrian's canonical transfer system becomes live.</w:t>
      </w:r>
    </w:p>
    <w:p>
      <w:pPr>
        <w:pStyle w:val="Heading2"/>
        <w:keepNext/>
      </w:pPr>
      <w:r>
        <w:t>5. Grow the story</w:t>
      </w:r>
    </w:p>
    <w:p>
      <w:pPr/>
      <w:r>
        <w:rPr>
          <w:rFonts w:ascii="Calibri" w:hAnsi="Calibri"/>
          <w:b w:val="0"/>
          <w:i w:val="0"/>
          <w:color w:val="262321"/>
          <w:sz w:val="22"/>
        </w:rPr>
        <w:t>Add materials, makers, exhibitions, private financial history, inscriptions, public keeper profiles, dream connections, dual maps and daily checkpoint verification in successive gated releases.</w:t>
      </w:r>
    </w:p>
    <w:p>
      <w:pPr>
        <w:shd w:fill="EBE8E1"/>
        <w:pBdr>
          <w:left w:val="single" w:sz="18" w:space="8" w:color="8A744E"/>
        </w:pBdr>
        <w:spacing w:before="160" w:after="200" w:line="288" w:lineRule="auto"/>
        <w:ind w:left="259" w:right="173"/>
      </w:pPr>
      <w:r>
        <w:rPr>
          <w:rFonts w:ascii="Calibri" w:hAnsi="Calibri"/>
          <w:b/>
          <w:i w:val="0"/>
          <w:color w:val="8A744E"/>
          <w:sz w:val="18"/>
        </w:rPr>
        <w:t>PRESENT-DAY BOUNDARY</w:t>
      </w:r>
      <w:r>
        <w:rPr>
          <w:rFonts w:ascii="Georgia" w:hAnsi="Georgia"/>
          <w:b w:val="0"/>
          <w:i w:val="0"/>
          <w:color w:val="262321"/>
          <w:sz w:val="23"/>
        </w:rPr>
        <w:br/>
        <w:t>The QR generator and encrypted identity foundation exist. Permanent production engraving still waits on the copied-artifact recovery canary and real metal qualification. The larger ownership, provenance, inscription and succession system is the approved direction being completed.</w:t>
      </w:r>
    </w:p>
    <w:p>
      <w:r>
        <w:br w:type="page"/>
      </w:r>
    </w:p>
    <w:p>
      <w:pPr>
        <w:pStyle w:val="Heading1"/>
        <w:keepNext/>
      </w:pPr>
      <w:r>
        <w:t>Operating principles</w:t>
      </w:r>
    </w:p>
    <w:p>
      <w:pPr>
        <w:pStyle w:val="ListBullet"/>
        <w:spacing w:after="80" w:line="288" w:lineRule="auto"/>
      </w:pPr>
      <w:r>
        <w:rPr>
          <w:rFonts w:ascii="Calibri" w:hAnsi="Calibri"/>
          <w:b w:val="0"/>
          <w:i w:val="0"/>
          <w:color w:val="262321"/>
          <w:sz w:val="22"/>
        </w:rPr>
        <w:t>The physical artwork is primary; the ledger serves it.</w:t>
      </w:r>
    </w:p>
    <w:p>
      <w:pPr>
        <w:pStyle w:val="ListBullet"/>
        <w:spacing w:after="80" w:line="288" w:lineRule="auto"/>
      </w:pPr>
      <w:r>
        <w:rPr>
          <w:rFonts w:ascii="Calibri" w:hAnsi="Calibri"/>
          <w:b w:val="0"/>
          <w:i w:val="0"/>
          <w:color w:val="262321"/>
          <w:sz w:val="22"/>
        </w:rPr>
        <w:t>One identity and one writable truth.</w:t>
      </w:r>
    </w:p>
    <w:p>
      <w:pPr>
        <w:pStyle w:val="ListBullet"/>
        <w:spacing w:after="80" w:line="288" w:lineRule="auto"/>
      </w:pPr>
      <w:r>
        <w:rPr>
          <w:rFonts w:ascii="Calibri" w:hAnsi="Calibri"/>
          <w:b w:val="0"/>
          <w:i w:val="0"/>
          <w:color w:val="262321"/>
          <w:sz w:val="22"/>
        </w:rPr>
        <w:t>Immediate transfer when both keepers agree.</w:t>
      </w:r>
    </w:p>
    <w:p>
      <w:pPr>
        <w:pStyle w:val="ListBullet"/>
        <w:spacing w:after="80" w:line="288" w:lineRule="auto"/>
      </w:pPr>
      <w:r>
        <w:rPr>
          <w:rFonts w:ascii="Calibri" w:hAnsi="Calibri"/>
          <w:b w:val="0"/>
          <w:i w:val="0"/>
          <w:color w:val="262321"/>
          <w:sz w:val="22"/>
        </w:rPr>
        <w:t>Patient recovery when the old keeper is silent.</w:t>
      </w:r>
    </w:p>
    <w:p>
      <w:pPr>
        <w:pStyle w:val="ListBullet"/>
        <w:spacing w:after="80" w:line="288" w:lineRule="auto"/>
      </w:pPr>
      <w:r>
        <w:rPr>
          <w:rFonts w:ascii="Calibri" w:hAnsi="Calibri"/>
          <w:b w:val="0"/>
          <w:i w:val="0"/>
          <w:color w:val="262321"/>
          <w:sz w:val="22"/>
        </w:rPr>
        <w:t>Explicit denial stops automation and preserves a dispute.</w:t>
      </w:r>
    </w:p>
    <w:p>
      <w:pPr>
        <w:pStyle w:val="ListBullet"/>
        <w:spacing w:after="80" w:line="288" w:lineRule="auto"/>
      </w:pPr>
      <w:r>
        <w:rPr>
          <w:rFonts w:ascii="Calibri" w:hAnsi="Calibri"/>
          <w:b w:val="0"/>
          <w:i w:val="0"/>
          <w:color w:val="262321"/>
          <w:sz w:val="22"/>
        </w:rPr>
        <w:t>Complete artwork history follows the piece; unrelated personal data does not.</w:t>
      </w:r>
    </w:p>
    <w:p>
      <w:pPr>
        <w:pStyle w:val="ListBullet"/>
        <w:spacing w:after="80" w:line="288" w:lineRule="auto"/>
      </w:pPr>
      <w:r>
        <w:rPr>
          <w:rFonts w:ascii="Calibri" w:hAnsi="Calibri"/>
          <w:b w:val="0"/>
          <w:i w:val="0"/>
          <w:color w:val="262321"/>
          <w:sz w:val="22"/>
        </w:rPr>
        <w:t>Private by default, selectively public, reversible in presentation.</w:t>
      </w:r>
    </w:p>
    <w:p>
      <w:pPr>
        <w:pStyle w:val="ListBullet"/>
        <w:spacing w:after="80" w:line="288" w:lineRule="auto"/>
      </w:pPr>
      <w:r>
        <w:rPr>
          <w:rFonts w:ascii="Calibri" w:hAnsi="Calibri"/>
          <w:b w:val="0"/>
          <w:i w:val="0"/>
          <w:color w:val="262321"/>
          <w:sz w:val="22"/>
        </w:rPr>
        <w:t>Permanent records are corrected by addition, not quiet rewriting.</w:t>
      </w:r>
    </w:p>
    <w:p>
      <w:pPr>
        <w:pStyle w:val="ListBullet"/>
        <w:spacing w:after="80" w:line="288" w:lineRule="auto"/>
      </w:pPr>
      <w:r>
        <w:rPr>
          <w:rFonts w:ascii="Calibri" w:hAnsi="Calibri"/>
          <w:b w:val="0"/>
          <w:i w:val="0"/>
          <w:color w:val="262321"/>
          <w:sz w:val="22"/>
        </w:rPr>
        <w:t>Custody of infrastructure is not ownership of art.</w:t>
      </w:r>
    </w:p>
    <w:p>
      <w:pPr>
        <w:pStyle w:val="ListBullet"/>
        <w:spacing w:after="80" w:line="288" w:lineRule="auto"/>
      </w:pPr>
      <w:r>
        <w:rPr>
          <w:rFonts w:ascii="Calibri" w:hAnsi="Calibri"/>
          <w:b w:val="0"/>
          <w:i w:val="0"/>
          <w:color w:val="262321"/>
          <w:sz w:val="22"/>
        </w:rPr>
        <w:t>No production batch before recovery and real-material qualification.</w:t>
      </w:r>
    </w:p>
    <w:p>
      <w:pPr>
        <w:pStyle w:val="Heading2"/>
        <w:keepNext/>
      </w:pPr>
      <w:r>
        <w:t>A final way to describe it</w:t>
      </w:r>
    </w:p>
    <w:p>
      <w:pPr/>
      <w:r>
        <w:rPr>
          <w:rFonts w:ascii="Calibri" w:hAnsi="Calibri"/>
          <w:b w:val="0"/>
          <w:i w:val="0"/>
          <w:color w:val="262321"/>
          <w:sz w:val="22"/>
        </w:rPr>
        <w:t>The Adrian Rasmussen Artwork Registry is a living lineage for physical art. A permanent metal plate connects each work to one enduring identity. Its public face opens the story; its hidden face proves possession. The registry remembers the people, places, materials, dreams and transfers that gather around the object, while allowing each keeper to decide what the world can see. The artwork can move, the websites can change, and the keeper can disappear, but the piece still carries a path home.</w:t>
      </w:r>
    </w:p>
    <w:p>
      <w:pPr>
        <w:pStyle w:val="Heading2"/>
        <w:keepNext/>
      </w:pPr>
      <w:r>
        <w:t>Document relationship</w:t>
      </w:r>
    </w:p>
    <w:p>
      <w:pPr/>
      <w:r>
        <w:rPr>
          <w:rFonts w:ascii="Calibri" w:hAnsi="Calibri"/>
          <w:b w:val="0"/>
          <w:i w:val="0"/>
          <w:color w:val="262321"/>
          <w:sz w:val="22"/>
        </w:rPr>
        <w:t>This charter explains the system in presentable language. The companion technical specification defines exact security, data, recovery, fabrication and rollout requirements for implementation. Where implementation details evolve, the operating principles in this charter remain the product authority.</w:t>
      </w:r>
    </w:p>
    <w:sectPr w:rsidR="00FC693F" w:rsidRPr="0006063C" w:rsidSect="00034616">
      <w:headerReference w:type="default" r:id="rId9"/>
      <w:footerReference w:type="default" r:id="rId10"/>
      <w:pgSz w:w="12240" w:h="15840"/>
      <w:pgMar w:top="1267" w:right="1440" w:bottom="1181"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05B5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05B55"/>
        <w:sz w:val="17"/>
      </w:rPr>
      <w:t>ADRIAN RASMUSSEN  /  ARTWORK REGISTRY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2623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Georgia" w:hAnsi="Georgia"/>
      <w:b w:val="0"/>
      <w:bCs/>
      <w:color w:val="8A744E"/>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Georgia" w:hAnsi="Georgia"/>
      <w:b w:val="0"/>
      <w:bCs/>
      <w:color w:val="52433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5243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262321"/>
      <w:sz w:val="22"/>
    </w:rPr>
  </w:style>
  <w:style w:type="paragraph" w:styleId="ListBullet2">
    <w:name w:val="List Bullet 2"/>
    <w:basedOn w:val="Normal"/>
    <w:uiPriority w:val="99"/>
    <w:unhideWhenUsed/>
    <w:rsid w:val="00326F90"/>
    <w:pPr>
      <w:numPr>
        <w:numId w:val="2"/>
      </w:numPr>
      <w:contextualSpacing/>
    </w:pPr>
    <w:rPr>
      <w:rFonts w:ascii="Calibri" w:hAnsi="Calibri"/>
      <w:color w:val="262321"/>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262321"/>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